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Calibri" w:cs="Calibri" w:eastAsia="Calibri" w:hAnsi="Calibri"/>
          <w:b/>
          <w:bCs/>
          <w:color w:val="2E7D32"/>
          <w:sz w:val="56"/>
          <w:szCs w:val="56"/>
        </w:rPr>
        <w:t xml:space="preserve">HYDRO SMART</w:t>
      </w:r>
    </w:p>
    <w:p>
      <w:pPr>
        <w:spacing w:after="300"/>
        <w:jc w:val="center"/>
      </w:pPr>
      <w:r>
        <w:rPr>
          <w:rFonts w:ascii="Calibri" w:cs="Calibri" w:eastAsia="Calibri" w:hAnsi="Calibri"/>
          <w:color w:val="5A6B5C"/>
          <w:sz w:val="25"/>
          <w:szCs w:val="25"/>
        </w:rPr>
        <w:t xml:space="preserve">Machine Learning Engine and Application Feature Specification</w:t>
      </w:r>
    </w:p>
    <w:p>
      <w:pPr>
        <w:pBdr>
          <w:bottom w:val="single" w:color="D4AF37" w:sz="6"/>
        </w:pBdr>
        <w:spacing w:after="200"/>
      </w:pPr>
    </w:p>
    <w:p>
      <w:pPr>
        <w:spacing w:after="30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000"/>
        <w:gridCol w:w="5400"/>
      </w:tblGrid>
      <w:tr>
        <w:trPr>
          <w:tblHeader/>
        </w:trPr>
        <w:tc>
          <w:tcPr>
            <w:tcW w:type="dxa" w:w="30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Section</w:t>
            </w:r>
          </w:p>
        </w:tc>
        <w:tc>
          <w:tcPr>
            <w:tcW w:type="dxa" w:w="54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Contents</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Part A</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ML recommendation engine: algorithm, features, training and inference</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Part B</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Application modules: detailed feature specification</w:t>
            </w:r>
          </w:p>
        </w:tc>
      </w:tr>
    </w:tbl>
    <w:p>
      <w:pPr>
        <w:spacing w:after="300"/>
      </w:pPr>
    </w:p>
    <w:p>
      <w:pPr>
        <w:spacing w:after="120" w:line="276"/>
        <w:jc w:val="center"/>
      </w:pPr>
      <w:r>
        <w:rPr>
          <w:rFonts w:ascii="Calibri" w:cs="Calibri" w:eastAsia="Calibri" w:hAnsi="Calibri"/>
          <w:i/>
          <w:iCs/>
          <w:color w:val="5A6B5C"/>
          <w:sz w:val="20"/>
          <w:szCs w:val="20"/>
        </w:rPr>
        <w:t xml:space="preserve">All metrics in this document were produced by executing the training pipeline, not estimated.</w:t>
      </w:r>
    </w:p>
    <w:p>
      <w:r>
        <w:br w:type="page"/>
      </w:r>
    </w:p>
    <w:p>
      <w:pPr>
        <w:spacing w:after="200"/>
      </w:pPr>
      <w:r>
        <w:rPr>
          <w:rFonts w:ascii="Calibri" w:cs="Calibri" w:eastAsia="Calibri" w:hAnsi="Calibri"/>
          <w:b/>
          <w:bCs/>
          <w:color w:val="2E7D32"/>
          <w:sz w:val="32"/>
          <w:szCs w:val="32"/>
        </w:rPr>
        <w:t xml:space="preserve">PART A - MACHINE LEARNING ENGINE</w:t>
      </w:r>
    </w:p>
    <w:p>
      <w:pPr>
        <w:pBdr>
          <w:bottom w:val="single" w:color="D4AF37" w:sz="6"/>
        </w:pBdr>
        <w:spacing w:after="200"/>
      </w:pPr>
    </w:p>
    <w:p>
      <w:pPr>
        <w:pStyle w:val="Heading1"/>
        <w:spacing w:after="160" w:before="320"/>
      </w:pPr>
      <w:r>
        <w:rPr>
          <w:rFonts w:ascii="Calibri" w:cs="Calibri" w:eastAsia="Calibri" w:hAnsi="Calibri"/>
          <w:b/>
          <w:bCs/>
          <w:color w:val="2E7D32"/>
          <w:sz w:val="30"/>
          <w:szCs w:val="30"/>
        </w:rPr>
        <w:t xml:space="preserve">A1. Purpose and Problem Formulation</w:t>
      </w:r>
    </w:p>
    <w:p>
      <w:pPr>
        <w:spacing w:after="120" w:line="276"/>
      </w:pPr>
      <w:r>
        <w:rPr>
          <w:rFonts w:ascii="Calibri" w:cs="Calibri" w:eastAsia="Calibri" w:hAnsi="Calibri"/>
          <w:sz w:val="22"/>
          <w:szCs w:val="22"/>
        </w:rPr>
        <w:t xml:space="preserve">The engine answers one question: given the current climate at the user's location and the time of year, which hydroponic crop is most suitable to grow?</w:t>
      </w:r>
    </w:p>
    <w:p>
      <w:pPr>
        <w:spacing w:after="120" w:line="276"/>
      </w:pPr>
      <w:r>
        <w:rPr>
          <w:rFonts w:ascii="Calibri" w:cs="Calibri" w:eastAsia="Calibri" w:hAnsi="Calibri"/>
          <w:sz w:val="22"/>
          <w:szCs w:val="22"/>
        </w:rPr>
        <w:t xml:space="preserve">This is framed as a supervised multi-class classification problem. The model receives four inputs the application can obtain automatically, and returns a probability distribution over 20 candidate crops.</w:t>
      </w:r>
    </w:p>
    <w:p>
      <w:pPr>
        <w:spacing w:after="8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600"/>
        <w:gridCol w:w="5800"/>
      </w:tblGrid>
      <w:tr>
        <w:trPr>
          <w:tblHeader/>
        </w:trPr>
        <w:tc>
          <w:tcPr>
            <w:tcW w:type="dxa" w:w="26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Property</w:t>
            </w:r>
          </w:p>
        </w:tc>
        <w:tc>
          <w:tcPr>
            <w:tcW w:type="dxa" w:w="58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Task type</w:t>
            </w:r>
          </w:p>
        </w:tc>
        <w:tc>
          <w:tcPr>
            <w:tcW w:type="dxa" w:w="5800"/>
            <w:tcMar>
              <w:top w:type="dxa" w:w="70"/>
              <w:left w:type="dxa" w:w="110"/>
              <w:bottom w:type="dxa" w:w="70"/>
              <w:right w:type="dxa" w:w="110"/>
            </w:tcMar>
          </w:tcPr>
          <w:p>
            <w:pPr>
              <w:spacing w:after="0"/>
            </w:pPr>
            <w:r>
              <w:rPr>
                <w:rFonts w:ascii="Calibri" w:cs="Calibri" w:eastAsia="Calibri" w:hAnsi="Calibri"/>
                <w:sz w:val="19"/>
                <w:szCs w:val="19"/>
              </w:rPr>
              <w:t xml:space="preserve">Multi-class classification</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Classes</w:t>
            </w:r>
          </w:p>
        </w:tc>
        <w:tc>
          <w:tcPr>
            <w:tcW w:type="dxa" w:w="5800"/>
            <w:tcMar>
              <w:top w:type="dxa" w:w="70"/>
              <w:left w:type="dxa" w:w="110"/>
              <w:bottom w:type="dxa" w:w="70"/>
              <w:right w:type="dxa" w:w="110"/>
            </w:tcMar>
          </w:tcPr>
          <w:p>
            <w:pPr>
              <w:spacing w:after="0"/>
            </w:pPr>
            <w:r>
              <w:rPr>
                <w:rFonts w:ascii="Calibri" w:cs="Calibri" w:eastAsia="Calibri" w:hAnsi="Calibri"/>
                <w:sz w:val="19"/>
                <w:szCs w:val="19"/>
              </w:rPr>
              <w:t xml:space="preserve">20 hydroponic crops</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Raw inputs</w:t>
            </w:r>
          </w:p>
        </w:tc>
        <w:tc>
          <w:tcPr>
            <w:tcW w:type="dxa" w:w="5800"/>
            <w:tcMar>
              <w:top w:type="dxa" w:w="70"/>
              <w:left w:type="dxa" w:w="110"/>
              <w:bottom w:type="dxa" w:w="70"/>
              <w:right w:type="dxa" w:w="110"/>
            </w:tcMar>
          </w:tcPr>
          <w:p>
            <w:pPr>
              <w:spacing w:after="0"/>
            </w:pPr>
            <w:r>
              <w:rPr>
                <w:rFonts w:ascii="Calibri" w:cs="Calibri" w:eastAsia="Calibri" w:hAnsi="Calibri"/>
                <w:sz w:val="19"/>
                <w:szCs w:val="19"/>
              </w:rPr>
              <w:t xml:space="preserve">temperature, humidity, location, month</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Engineered features</w:t>
            </w:r>
          </w:p>
        </w:tc>
        <w:tc>
          <w:tcPr>
            <w:tcW w:type="dxa" w:w="5800"/>
            <w:tcMar>
              <w:top w:type="dxa" w:w="70"/>
              <w:left w:type="dxa" w:w="110"/>
              <w:bottom w:type="dxa" w:w="70"/>
              <w:right w:type="dxa" w:w="110"/>
            </w:tcMar>
          </w:tcPr>
          <w:p>
            <w:pPr>
              <w:spacing w:after="0"/>
            </w:pPr>
            <w:r>
              <w:rPr>
                <w:rFonts w:ascii="Calibri" w:cs="Calibri" w:eastAsia="Calibri" w:hAnsi="Calibri"/>
                <w:sz w:val="19"/>
                <w:szCs w:val="19"/>
              </w:rPr>
              <w:t xml:space="preserve">9 (see A4)</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Output</w:t>
            </w:r>
          </w:p>
        </w:tc>
        <w:tc>
          <w:tcPr>
            <w:tcW w:type="dxa" w:w="5800"/>
            <w:tcMar>
              <w:top w:type="dxa" w:w="70"/>
              <w:left w:type="dxa" w:w="110"/>
              <w:bottom w:type="dxa" w:w="70"/>
              <w:right w:type="dxa" w:w="110"/>
            </w:tcMar>
          </w:tcPr>
          <w:p>
            <w:pPr>
              <w:spacing w:after="0"/>
            </w:pPr>
            <w:r>
              <w:rPr>
                <w:rFonts w:ascii="Calibri" w:cs="Calibri" w:eastAsia="Calibri" w:hAnsi="Calibri"/>
                <w:sz w:val="19"/>
                <w:szCs w:val="19"/>
              </w:rPr>
              <w:t xml:space="preserve">Probability distribution across all 20 classes</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Training samples</w:t>
            </w:r>
          </w:p>
        </w:tc>
        <w:tc>
          <w:tcPr>
            <w:tcW w:type="dxa" w:w="5800"/>
            <w:tcMar>
              <w:top w:type="dxa" w:w="70"/>
              <w:left w:type="dxa" w:w="110"/>
              <w:bottom w:type="dxa" w:w="70"/>
              <w:right w:type="dxa" w:w="110"/>
            </w:tcMar>
          </w:tcPr>
          <w:p>
            <w:pPr>
              <w:spacing w:after="0"/>
            </w:pPr>
            <w:r>
              <w:rPr>
                <w:rFonts w:ascii="Calibri" w:cs="Calibri" w:eastAsia="Calibri" w:hAnsi="Calibri"/>
                <w:sz w:val="19"/>
                <w:szCs w:val="19"/>
              </w:rPr>
              <w:t xml:space="preserve">150,000</w:t>
            </w:r>
          </w:p>
        </w:tc>
      </w:tr>
    </w:tbl>
    <w:p>
      <w:pPr>
        <w:pStyle w:val="Heading1"/>
        <w:spacing w:after="160" w:before="320"/>
      </w:pPr>
      <w:r>
        <w:rPr>
          <w:rFonts w:ascii="Calibri" w:cs="Calibri" w:eastAsia="Calibri" w:hAnsi="Calibri"/>
          <w:b/>
          <w:bCs/>
          <w:color w:val="2E7D32"/>
          <w:sz w:val="30"/>
          <w:szCs w:val="30"/>
        </w:rPr>
        <w:t xml:space="preserve">A2. System Architecture</w:t>
      </w:r>
    </w:p>
    <w:p>
      <w:pPr>
        <w:spacing w:after="120" w:line="276"/>
      </w:pPr>
      <w:r>
        <w:rPr>
          <w:rFonts w:ascii="Calibri" w:cs="Calibri" w:eastAsia="Calibri" w:hAnsi="Calibri"/>
          <w:sz w:val="22"/>
          <w:szCs w:val="22"/>
        </w:rPr>
        <w:t xml:space="preserve">The engine is deployed as a stateless REST service, separate from the mobile application. The model is trained offline, serialised, and loaded once at service startup; inference is a pure function of the request.</w:t>
      </w:r>
    </w:p>
    <w:p>
      <w:pPr>
        <w:spacing w:after="80"/>
      </w:pPr>
    </w:p>
    <w:p>
      <w:pPr>
        <w:shd w:fill="F2F5F2" w:color="auto" w:val="clear"/>
        <w:spacing w:after="140" w:before="80"/>
      </w:pPr>
      <w:r>
        <w:rPr>
          <w:rFonts w:ascii="Consolas" w:cs="Consolas" w:eastAsia="Consolas" w:hAnsi="Consolas"/>
          <w:sz w:val="18"/>
          <w:szCs w:val="18"/>
        </w:rPr>
        <w:t xml:space="preserve">Flutter app  ──HTTPS──►  FastAPI service  ──►  HistGradientBoosting model</w:t>
      </w:r>
    </w:p>
    <w:p>
      <w:pPr>
        <w:spacing w:after="120" w:line="276"/>
      </w:pPr>
      <w:r>
        <w:rPr>
          <w:rFonts w:ascii="Calibri" w:cs="Calibri" w:eastAsia="Calibri" w:hAnsi="Calibri"/>
          <w:sz w:val="22"/>
          <w:szCs w:val="22"/>
        </w:rPr>
        <w:t xml:space="preserve">Separating the model from the app keeps the mobile binary small, allows the model to be retrained and redeployed without shipping an app update, and means a single trained artifact serves every installed device.</w:t>
      </w:r>
    </w:p>
    <w:p>
      <w:pPr>
        <w:pStyle w:val="Heading1"/>
        <w:spacing w:after="160" w:before="320"/>
      </w:pPr>
      <w:r>
        <w:rPr>
          <w:rFonts w:ascii="Calibri" w:cs="Calibri" w:eastAsia="Calibri" w:hAnsi="Calibri"/>
          <w:b/>
          <w:bCs/>
          <w:color w:val="2E7D32"/>
          <w:sz w:val="30"/>
          <w:szCs w:val="30"/>
        </w:rPr>
        <w:t xml:space="preserve">A3. Algorithm: Histogram-Based Gradient Boosting</w:t>
      </w:r>
    </w:p>
    <w:p>
      <w:pPr>
        <w:spacing w:after="120" w:line="276"/>
      </w:pPr>
      <w:r>
        <w:rPr>
          <w:rFonts w:ascii="Calibri" w:cs="Calibri" w:eastAsia="Calibri" w:hAnsi="Calibri"/>
          <w:sz w:val="22"/>
          <w:szCs w:val="22"/>
        </w:rPr>
        <w:t xml:space="preserve">The classifier is scikit-learn's HistGradientBoostingClassifier - an ensemble of decision trees built sequentially, where each new tree is fitted to correct the residual errors of the trees before it.</w:t>
      </w:r>
    </w:p>
    <w:p>
      <w:pPr>
        <w:pStyle w:val="Heading2"/>
        <w:spacing w:after="120" w:before="240"/>
      </w:pPr>
      <w:r>
        <w:rPr>
          <w:rFonts w:ascii="Calibri" w:cs="Calibri" w:eastAsia="Calibri" w:hAnsi="Calibri"/>
          <w:b/>
          <w:bCs/>
          <w:color w:val="1B3A1F"/>
          <w:sz w:val="25"/>
          <w:szCs w:val="25"/>
        </w:rPr>
        <w:t xml:space="preserve">A3.1 How it works</w:t>
      </w:r>
    </w:p>
    <w:p>
      <w:pPr>
        <w:pStyle w:val="ListParagraph"/>
        <w:numPr>
          <w:ilvl w:val="0"/>
          <w:numId w:val="2"/>
        </w:numPr>
        <w:spacing w:after="80" w:line="276"/>
      </w:pPr>
      <w:r>
        <w:rPr>
          <w:rFonts w:ascii="Calibri" w:cs="Calibri" w:eastAsia="Calibri" w:hAnsi="Calibri"/>
          <w:sz w:val="22"/>
          <w:szCs w:val="22"/>
        </w:rPr>
        <w:t xml:space="preserve">Continuous features are bucketed into 256 discrete bins. Split-finding then scans bins rather than individual sample values, which is what makes the method fast on large datasets.</w:t>
      </w:r>
    </w:p>
    <w:p>
      <w:pPr>
        <w:pStyle w:val="ListParagraph"/>
        <w:numPr>
          <w:ilvl w:val="0"/>
          <w:numId w:val="2"/>
        </w:numPr>
        <w:spacing w:after="80" w:line="276"/>
      </w:pPr>
      <w:r>
        <w:rPr>
          <w:rFonts w:ascii="Calibri" w:cs="Calibri" w:eastAsia="Calibri" w:hAnsi="Calibri"/>
          <w:sz w:val="22"/>
          <w:szCs w:val="22"/>
        </w:rPr>
        <w:t xml:space="preserve">An initial constant prediction is made, and the gradient of the loss with respect to that prediction is computed for every sample.</w:t>
      </w:r>
    </w:p>
    <w:p>
      <w:pPr>
        <w:pStyle w:val="ListParagraph"/>
        <w:numPr>
          <w:ilvl w:val="0"/>
          <w:numId w:val="2"/>
        </w:numPr>
        <w:spacing w:after="80" w:line="276"/>
      </w:pPr>
      <w:r>
        <w:rPr>
          <w:rFonts w:ascii="Calibri" w:cs="Calibri" w:eastAsia="Calibri" w:hAnsi="Calibri"/>
          <w:sz w:val="22"/>
          <w:szCs w:val="22"/>
        </w:rPr>
        <w:t xml:space="preserve">A shallow decision tree is fitted to those gradients, and its output is added to the running prediction, scaled by the learning rate.</w:t>
      </w:r>
    </w:p>
    <w:p>
      <w:pPr>
        <w:pStyle w:val="ListParagraph"/>
        <w:numPr>
          <w:ilvl w:val="0"/>
          <w:numId w:val="2"/>
        </w:numPr>
        <w:spacing w:after="80" w:line="276"/>
      </w:pPr>
      <w:r>
        <w:rPr>
          <w:rFonts w:ascii="Calibri" w:cs="Calibri" w:eastAsia="Calibri" w:hAnsi="Calibri"/>
          <w:sz w:val="22"/>
          <w:szCs w:val="22"/>
        </w:rPr>
        <w:t xml:space="preserve">This repeats for 400 iterations. Each tree corrects what the accumulated ensemble still gets wrong.</w:t>
      </w:r>
    </w:p>
    <w:p>
      <w:pPr>
        <w:pStyle w:val="ListParagraph"/>
        <w:numPr>
          <w:ilvl w:val="0"/>
          <w:numId w:val="2"/>
        </w:numPr>
        <w:spacing w:after="80" w:line="276"/>
      </w:pPr>
      <w:r>
        <w:rPr>
          <w:rFonts w:ascii="Calibri" w:cs="Calibri" w:eastAsia="Calibri" w:hAnsi="Calibri"/>
          <w:sz w:val="22"/>
          <w:szCs w:val="22"/>
        </w:rPr>
        <w:t xml:space="preserve">For classification, the accumulated scores pass through a softmax to yield calibrated class probabilities.</w:t>
      </w:r>
    </w:p>
    <w:p>
      <w:pPr>
        <w:pStyle w:val="Heading2"/>
        <w:spacing w:after="120" w:before="240"/>
      </w:pPr>
      <w:r>
        <w:rPr>
          <w:rFonts w:ascii="Calibri" w:cs="Calibri" w:eastAsia="Calibri" w:hAnsi="Calibri"/>
          <w:b/>
          <w:bCs/>
          <w:color w:val="1B3A1F"/>
          <w:sz w:val="25"/>
          <w:szCs w:val="25"/>
        </w:rPr>
        <w:t xml:space="preserve">A3.2 Configuration</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800"/>
        <w:gridCol w:w="1700"/>
        <w:gridCol w:w="3900"/>
      </w:tblGrid>
      <w:tr>
        <w:trPr>
          <w:tblHeader/>
        </w:trPr>
        <w:tc>
          <w:tcPr>
            <w:tcW w:type="dxa" w:w="28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Hyperparameter</w:t>
            </w:r>
          </w:p>
        </w:tc>
        <w:tc>
          <w:tcPr>
            <w:tcW w:type="dxa" w:w="17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c>
          <w:tcPr>
            <w:tcW w:type="dxa" w:w="39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Rationale</w:t>
            </w:r>
          </w:p>
        </w:tc>
      </w:tr>
      <w:tr>
        <w:tc>
          <w:tcPr>
            <w:tcW w:type="dxa" w:w="2800"/>
            <w:tcMar>
              <w:top w:type="dxa" w:w="70"/>
              <w:left w:type="dxa" w:w="110"/>
              <w:bottom w:type="dxa" w:w="70"/>
              <w:right w:type="dxa" w:w="110"/>
            </w:tcMar>
          </w:tcPr>
          <w:p>
            <w:pPr>
              <w:spacing w:after="0"/>
            </w:pPr>
            <w:r>
              <w:rPr>
                <w:rFonts w:ascii="Consolas" w:cs="Consolas" w:eastAsia="Consolas" w:hAnsi="Consolas"/>
                <w:sz w:val="19"/>
                <w:szCs w:val="19"/>
              </w:rPr>
              <w:t xml:space="preserve">max_iter</w:t>
            </w:r>
          </w:p>
        </w:tc>
        <w:tc>
          <w:tcPr>
            <w:tcW w:type="dxa" w:w="1700"/>
            <w:tcMar>
              <w:top w:type="dxa" w:w="70"/>
              <w:left w:type="dxa" w:w="110"/>
              <w:bottom w:type="dxa" w:w="70"/>
              <w:right w:type="dxa" w:w="110"/>
            </w:tcMar>
          </w:tcPr>
          <w:p>
            <w:pPr>
              <w:spacing w:after="0"/>
            </w:pPr>
            <w:r>
              <w:rPr>
                <w:rFonts w:ascii="Calibri" w:cs="Calibri" w:eastAsia="Calibri" w:hAnsi="Calibri"/>
                <w:sz w:val="19"/>
                <w:szCs w:val="19"/>
              </w:rPr>
              <w:t xml:space="preserve">400</w:t>
            </w:r>
          </w:p>
        </w:tc>
        <w:tc>
          <w:tcPr>
            <w:tcW w:type="dxa" w:w="3900"/>
            <w:tcMar>
              <w:top w:type="dxa" w:w="70"/>
              <w:left w:type="dxa" w:w="110"/>
              <w:bottom w:type="dxa" w:w="70"/>
              <w:right w:type="dxa" w:w="110"/>
            </w:tcMar>
          </w:tcPr>
          <w:p>
            <w:pPr>
              <w:spacing w:after="0"/>
            </w:pPr>
            <w:r>
              <w:rPr>
                <w:rFonts w:ascii="Calibri" w:cs="Calibri" w:eastAsia="Calibri" w:hAnsi="Calibri"/>
                <w:sz w:val="19"/>
                <w:szCs w:val="19"/>
              </w:rPr>
              <w:t xml:space="preserve">Boosting rounds; more rounds fit finer structure</w:t>
            </w:r>
          </w:p>
        </w:tc>
      </w:tr>
      <w:tr>
        <w:tc>
          <w:tcPr>
            <w:tcW w:type="dxa" w:w="2800"/>
            <w:tcMar>
              <w:top w:type="dxa" w:w="70"/>
              <w:left w:type="dxa" w:w="110"/>
              <w:bottom w:type="dxa" w:w="70"/>
              <w:right w:type="dxa" w:w="110"/>
            </w:tcMar>
          </w:tcPr>
          <w:p>
            <w:pPr>
              <w:spacing w:after="0"/>
            </w:pPr>
            <w:r>
              <w:rPr>
                <w:rFonts w:ascii="Consolas" w:cs="Consolas" w:eastAsia="Consolas" w:hAnsi="Consolas"/>
                <w:sz w:val="19"/>
                <w:szCs w:val="19"/>
              </w:rPr>
              <w:t xml:space="preserve">learning_rate</w:t>
            </w:r>
          </w:p>
        </w:tc>
        <w:tc>
          <w:tcPr>
            <w:tcW w:type="dxa" w:w="1700"/>
            <w:tcMar>
              <w:top w:type="dxa" w:w="70"/>
              <w:left w:type="dxa" w:w="110"/>
              <w:bottom w:type="dxa" w:w="70"/>
              <w:right w:type="dxa" w:w="110"/>
            </w:tcMar>
          </w:tcPr>
          <w:p>
            <w:pPr>
              <w:spacing w:after="0"/>
            </w:pPr>
            <w:r>
              <w:rPr>
                <w:rFonts w:ascii="Calibri" w:cs="Calibri" w:eastAsia="Calibri" w:hAnsi="Calibri"/>
                <w:sz w:val="19"/>
                <w:szCs w:val="19"/>
              </w:rPr>
              <w:t xml:space="preserve">0.10</w:t>
            </w:r>
          </w:p>
        </w:tc>
        <w:tc>
          <w:tcPr>
            <w:tcW w:type="dxa" w:w="3900"/>
            <w:tcMar>
              <w:top w:type="dxa" w:w="70"/>
              <w:left w:type="dxa" w:w="110"/>
              <w:bottom w:type="dxa" w:w="70"/>
              <w:right w:type="dxa" w:w="110"/>
            </w:tcMar>
          </w:tcPr>
          <w:p>
            <w:pPr>
              <w:spacing w:after="0"/>
            </w:pPr>
            <w:r>
              <w:rPr>
                <w:rFonts w:ascii="Calibri" w:cs="Calibri" w:eastAsia="Calibri" w:hAnsi="Calibri"/>
                <w:sz w:val="19"/>
                <w:szCs w:val="19"/>
              </w:rPr>
              <w:t xml:space="preserve">Shrinkage per tree; lower trades speed for generalisation</w:t>
            </w:r>
          </w:p>
        </w:tc>
      </w:tr>
      <w:tr>
        <w:tc>
          <w:tcPr>
            <w:tcW w:type="dxa" w:w="2800"/>
            <w:tcMar>
              <w:top w:type="dxa" w:w="70"/>
              <w:left w:type="dxa" w:w="110"/>
              <w:bottom w:type="dxa" w:w="70"/>
              <w:right w:type="dxa" w:w="110"/>
            </w:tcMar>
          </w:tcPr>
          <w:p>
            <w:pPr>
              <w:spacing w:after="0"/>
            </w:pPr>
            <w:r>
              <w:rPr>
                <w:rFonts w:ascii="Consolas" w:cs="Consolas" w:eastAsia="Consolas" w:hAnsi="Consolas"/>
                <w:sz w:val="19"/>
                <w:szCs w:val="19"/>
              </w:rPr>
              <w:t xml:space="preserve">min_samples_leaf</w:t>
            </w:r>
          </w:p>
        </w:tc>
        <w:tc>
          <w:tcPr>
            <w:tcW w:type="dxa" w:w="1700"/>
            <w:tcMar>
              <w:top w:type="dxa" w:w="70"/>
              <w:left w:type="dxa" w:w="110"/>
              <w:bottom w:type="dxa" w:w="70"/>
              <w:right w:type="dxa" w:w="110"/>
            </w:tcMar>
          </w:tcPr>
          <w:p>
            <w:pPr>
              <w:spacing w:after="0"/>
            </w:pPr>
            <w:r>
              <w:rPr>
                <w:rFonts w:ascii="Calibri" w:cs="Calibri" w:eastAsia="Calibri" w:hAnsi="Calibri"/>
                <w:sz w:val="19"/>
                <w:szCs w:val="19"/>
              </w:rPr>
              <w:t xml:space="preserve">20</w:t>
            </w:r>
          </w:p>
        </w:tc>
        <w:tc>
          <w:tcPr>
            <w:tcW w:type="dxa" w:w="3900"/>
            <w:tcMar>
              <w:top w:type="dxa" w:w="70"/>
              <w:left w:type="dxa" w:w="110"/>
              <w:bottom w:type="dxa" w:w="70"/>
              <w:right w:type="dxa" w:w="110"/>
            </w:tcMar>
          </w:tcPr>
          <w:p>
            <w:pPr>
              <w:spacing w:after="0"/>
            </w:pPr>
            <w:r>
              <w:rPr>
                <w:rFonts w:ascii="Calibri" w:cs="Calibri" w:eastAsia="Calibri" w:hAnsi="Calibri"/>
                <w:sz w:val="19"/>
                <w:szCs w:val="19"/>
              </w:rPr>
              <w:t xml:space="preserve">Prevents leaves fitted to noise</w:t>
            </w:r>
          </w:p>
        </w:tc>
      </w:tr>
      <w:tr>
        <w:tc>
          <w:tcPr>
            <w:tcW w:type="dxa" w:w="2800"/>
            <w:tcMar>
              <w:top w:type="dxa" w:w="70"/>
              <w:left w:type="dxa" w:w="110"/>
              <w:bottom w:type="dxa" w:w="70"/>
              <w:right w:type="dxa" w:w="110"/>
            </w:tcMar>
          </w:tcPr>
          <w:p>
            <w:pPr>
              <w:spacing w:after="0"/>
            </w:pPr>
            <w:r>
              <w:rPr>
                <w:rFonts w:ascii="Consolas" w:cs="Consolas" w:eastAsia="Consolas" w:hAnsi="Consolas"/>
                <w:sz w:val="19"/>
                <w:szCs w:val="19"/>
              </w:rPr>
              <w:t xml:space="preserve">l2_regularization</w:t>
            </w:r>
          </w:p>
        </w:tc>
        <w:tc>
          <w:tcPr>
            <w:tcW w:type="dxa" w:w="1700"/>
            <w:tcMar>
              <w:top w:type="dxa" w:w="70"/>
              <w:left w:type="dxa" w:w="110"/>
              <w:bottom w:type="dxa" w:w="70"/>
              <w:right w:type="dxa" w:w="110"/>
            </w:tcMar>
          </w:tcPr>
          <w:p>
            <w:pPr>
              <w:spacing w:after="0"/>
            </w:pPr>
            <w:r>
              <w:rPr>
                <w:rFonts w:ascii="Calibri" w:cs="Calibri" w:eastAsia="Calibri" w:hAnsi="Calibri"/>
                <w:sz w:val="19"/>
                <w:szCs w:val="19"/>
              </w:rPr>
              <w:t xml:space="preserve">0.1</w:t>
            </w:r>
          </w:p>
        </w:tc>
        <w:tc>
          <w:tcPr>
            <w:tcW w:type="dxa" w:w="3900"/>
            <w:tcMar>
              <w:top w:type="dxa" w:w="70"/>
              <w:left w:type="dxa" w:w="110"/>
              <w:bottom w:type="dxa" w:w="70"/>
              <w:right w:type="dxa" w:w="110"/>
            </w:tcMar>
          </w:tcPr>
          <w:p>
            <w:pPr>
              <w:spacing w:after="0"/>
            </w:pPr>
            <w:r>
              <w:rPr>
                <w:rFonts w:ascii="Calibri" w:cs="Calibri" w:eastAsia="Calibri" w:hAnsi="Calibri"/>
                <w:sz w:val="19"/>
                <w:szCs w:val="19"/>
              </w:rPr>
              <w:t xml:space="preserve">Penalises large leaf values, limiting overfit</w:t>
            </w:r>
          </w:p>
        </w:tc>
      </w:tr>
      <w:tr>
        <w:tc>
          <w:tcPr>
            <w:tcW w:type="dxa" w:w="2800"/>
            <w:tcMar>
              <w:top w:type="dxa" w:w="70"/>
              <w:left w:type="dxa" w:w="110"/>
              <w:bottom w:type="dxa" w:w="70"/>
              <w:right w:type="dxa" w:w="110"/>
            </w:tcMar>
          </w:tcPr>
          <w:p>
            <w:pPr>
              <w:spacing w:after="0"/>
            </w:pPr>
            <w:r>
              <w:rPr>
                <w:rFonts w:ascii="Consolas" w:cs="Consolas" w:eastAsia="Consolas" w:hAnsi="Consolas"/>
                <w:sz w:val="19"/>
                <w:szCs w:val="19"/>
              </w:rPr>
              <w:t xml:space="preserve">early_stopping</w:t>
            </w:r>
          </w:p>
        </w:tc>
        <w:tc>
          <w:tcPr>
            <w:tcW w:type="dxa" w:w="1700"/>
            <w:tcMar>
              <w:top w:type="dxa" w:w="70"/>
              <w:left w:type="dxa" w:w="110"/>
              <w:bottom w:type="dxa" w:w="70"/>
              <w:right w:type="dxa" w:w="110"/>
            </w:tcMar>
          </w:tcPr>
          <w:p>
            <w:pPr>
              <w:spacing w:after="0"/>
            </w:pPr>
            <w:r>
              <w:rPr>
                <w:rFonts w:ascii="Calibri" w:cs="Calibri" w:eastAsia="Calibri" w:hAnsi="Calibri"/>
                <w:sz w:val="19"/>
                <w:szCs w:val="19"/>
              </w:rPr>
              <w:t xml:space="preserve">False</w:t>
            </w:r>
          </w:p>
        </w:tc>
        <w:tc>
          <w:tcPr>
            <w:tcW w:type="dxa" w:w="3900"/>
            <w:tcMar>
              <w:top w:type="dxa" w:w="70"/>
              <w:left w:type="dxa" w:w="110"/>
              <w:bottom w:type="dxa" w:w="70"/>
              <w:right w:type="dxa" w:w="110"/>
            </w:tcMar>
          </w:tcPr>
          <w:p>
            <w:pPr>
              <w:spacing w:after="0"/>
            </w:pPr>
            <w:r>
              <w:rPr>
                <w:rFonts w:ascii="Calibri" w:cs="Calibri" w:eastAsia="Calibri" w:hAnsi="Calibri"/>
                <w:sz w:val="19"/>
                <w:szCs w:val="19"/>
              </w:rPr>
              <w:t xml:space="preserve">Full budget used; run is deterministic and reproducible</w:t>
            </w:r>
          </w:p>
        </w:tc>
      </w:tr>
      <w:tr>
        <w:tc>
          <w:tcPr>
            <w:tcW w:type="dxa" w:w="2800"/>
            <w:tcMar>
              <w:top w:type="dxa" w:w="70"/>
              <w:left w:type="dxa" w:w="110"/>
              <w:bottom w:type="dxa" w:w="70"/>
              <w:right w:type="dxa" w:w="110"/>
            </w:tcMar>
          </w:tcPr>
          <w:p>
            <w:pPr>
              <w:spacing w:after="0"/>
            </w:pPr>
            <w:r>
              <w:rPr>
                <w:rFonts w:ascii="Consolas" w:cs="Consolas" w:eastAsia="Consolas" w:hAnsi="Consolas"/>
                <w:sz w:val="19"/>
                <w:szCs w:val="19"/>
              </w:rPr>
              <w:t xml:space="preserve">random_state</w:t>
            </w:r>
          </w:p>
        </w:tc>
        <w:tc>
          <w:tcPr>
            <w:tcW w:type="dxa" w:w="1700"/>
            <w:tcMar>
              <w:top w:type="dxa" w:w="70"/>
              <w:left w:type="dxa" w:w="110"/>
              <w:bottom w:type="dxa" w:w="70"/>
              <w:right w:type="dxa" w:w="110"/>
            </w:tcMar>
          </w:tcPr>
          <w:p>
            <w:pPr>
              <w:spacing w:after="0"/>
            </w:pPr>
            <w:r>
              <w:rPr>
                <w:rFonts w:ascii="Calibri" w:cs="Calibri" w:eastAsia="Calibri" w:hAnsi="Calibri"/>
                <w:sz w:val="19"/>
                <w:szCs w:val="19"/>
              </w:rPr>
              <w:t xml:space="preserve">42</w:t>
            </w:r>
          </w:p>
        </w:tc>
        <w:tc>
          <w:tcPr>
            <w:tcW w:type="dxa" w:w="3900"/>
            <w:tcMar>
              <w:top w:type="dxa" w:w="70"/>
              <w:left w:type="dxa" w:w="110"/>
              <w:bottom w:type="dxa" w:w="70"/>
              <w:right w:type="dxa" w:w="110"/>
            </w:tcMar>
          </w:tcPr>
          <w:p>
            <w:pPr>
              <w:spacing w:after="0"/>
            </w:pPr>
            <w:r>
              <w:rPr>
                <w:rFonts w:ascii="Calibri" w:cs="Calibri" w:eastAsia="Calibri" w:hAnsi="Calibri"/>
                <w:sz w:val="19"/>
                <w:szCs w:val="19"/>
              </w:rPr>
              <w:t xml:space="preserve">Fixes seeding so results are repeatable</w:t>
            </w:r>
          </w:p>
        </w:tc>
      </w:tr>
    </w:tbl>
    <w:p>
      <w:pPr>
        <w:pStyle w:val="Heading2"/>
        <w:spacing w:after="120" w:before="240"/>
      </w:pPr>
      <w:r>
        <w:rPr>
          <w:rFonts w:ascii="Calibri" w:cs="Calibri" w:eastAsia="Calibri" w:hAnsi="Calibri"/>
          <w:b/>
          <w:bCs/>
          <w:color w:val="1B3A1F"/>
          <w:sz w:val="25"/>
          <w:szCs w:val="25"/>
        </w:rPr>
        <w:t xml:space="preserve">A3.3 Why boosting rather than a random forest</w:t>
      </w:r>
    </w:p>
    <w:p>
      <w:pPr>
        <w:spacing w:after="120" w:line="276"/>
      </w:pPr>
      <w:r>
        <w:rPr>
          <w:rFonts w:ascii="Calibri" w:cs="Calibri" w:eastAsia="Calibri" w:hAnsi="Calibri"/>
          <w:sz w:val="22"/>
          <w:szCs w:val="22"/>
        </w:rPr>
        <w:t xml:space="preserve">The previous implementation used a RandomForestClassifier. Replacing it with gradient boosting was the single largest improvement in the project, and it resolved a deployment failure at the same time.</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900"/>
        <w:gridCol w:w="2100"/>
        <w:gridCol w:w="2100"/>
        <w:gridCol w:w="1300"/>
      </w:tblGrid>
      <w:tr>
        <w:trPr>
          <w:tblHeader/>
        </w:trPr>
        <w:tc>
          <w:tcPr>
            <w:tcW w:type="dxa" w:w="29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21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Random Forest</w:t>
            </w:r>
          </w:p>
        </w:tc>
        <w:tc>
          <w:tcPr>
            <w:tcW w:type="dxa" w:w="21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Gradient Boosting</w:t>
            </w:r>
          </w:p>
        </w:tc>
        <w:tc>
          <w:tcPr>
            <w:tcW w:type="dxa" w:w="13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Change</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Test accuracy</w:t>
            </w:r>
          </w:p>
        </w:tc>
        <w:tc>
          <w:tcPr>
            <w:tcW w:type="dxa" w:w="2100"/>
            <w:tcMar>
              <w:top w:type="dxa" w:w="70"/>
              <w:left w:type="dxa" w:w="110"/>
              <w:bottom w:type="dxa" w:w="70"/>
              <w:right w:type="dxa" w:w="110"/>
            </w:tcMar>
          </w:tcPr>
          <w:p>
            <w:pPr>
              <w:spacing w:after="0"/>
            </w:pPr>
            <w:r>
              <w:rPr>
                <w:rFonts w:ascii="Calibri" w:cs="Calibri" w:eastAsia="Calibri" w:hAnsi="Calibri"/>
                <w:sz w:val="19"/>
                <w:szCs w:val="19"/>
              </w:rPr>
              <w:t xml:space="preserve">81.90 %</w:t>
            </w:r>
          </w:p>
        </w:tc>
        <w:tc>
          <w:tcPr>
            <w:tcW w:type="dxa" w:w="2100"/>
            <w:tcMar>
              <w:top w:type="dxa" w:w="70"/>
              <w:left w:type="dxa" w:w="110"/>
              <w:bottom w:type="dxa" w:w="70"/>
              <w:right w:type="dxa" w:w="110"/>
            </w:tcMar>
          </w:tcPr>
          <w:p>
            <w:pPr>
              <w:spacing w:after="0"/>
            </w:pPr>
            <w:r>
              <w:rPr>
                <w:rFonts w:ascii="Calibri" w:cs="Calibri" w:eastAsia="Calibri" w:hAnsi="Calibri"/>
                <w:sz w:val="19"/>
                <w:szCs w:val="19"/>
              </w:rPr>
              <w:t xml:space="preserve">87.57 %</w:t>
            </w:r>
          </w:p>
        </w:tc>
        <w:tc>
          <w:tcPr>
            <w:tcW w:type="dxa" w:w="1300"/>
            <w:tcMar>
              <w:top w:type="dxa" w:w="70"/>
              <w:left w:type="dxa" w:w="110"/>
              <w:bottom w:type="dxa" w:w="70"/>
              <w:right w:type="dxa" w:w="110"/>
            </w:tcMar>
          </w:tcPr>
          <w:p>
            <w:pPr>
              <w:spacing w:after="0"/>
            </w:pPr>
            <w:r>
              <w:rPr>
                <w:rFonts w:ascii="Calibri" w:cs="Calibri" w:eastAsia="Calibri" w:hAnsi="Calibri"/>
                <w:sz w:val="19"/>
                <w:szCs w:val="19"/>
              </w:rPr>
              <w:t xml:space="preserve">+5.7 pts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Cross-validation</w:t>
            </w:r>
          </w:p>
        </w:tc>
        <w:tc>
          <w:tcPr>
            <w:tcW w:type="dxa" w:w="2100"/>
            <w:tcMar>
              <w:top w:type="dxa" w:w="70"/>
              <w:left w:type="dxa" w:w="110"/>
              <w:bottom w:type="dxa" w:w="70"/>
              <w:right w:type="dxa" w:w="110"/>
            </w:tcMar>
          </w:tcPr>
          <w:p>
            <w:pPr>
              <w:spacing w:after="0"/>
            </w:pPr>
            <w:r>
              <w:rPr>
                <w:rFonts w:ascii="Calibri" w:cs="Calibri" w:eastAsia="Calibri" w:hAnsi="Calibri"/>
                <w:sz w:val="19"/>
                <w:szCs w:val="19"/>
              </w:rPr>
              <w:t xml:space="preserve">82.10 % +/- 0.44</w:t>
            </w:r>
          </w:p>
        </w:tc>
        <w:tc>
          <w:tcPr>
            <w:tcW w:type="dxa" w:w="2100"/>
            <w:tcMar>
              <w:top w:type="dxa" w:w="70"/>
              <w:left w:type="dxa" w:w="110"/>
              <w:bottom w:type="dxa" w:w="70"/>
              <w:right w:type="dxa" w:w="110"/>
            </w:tcMar>
          </w:tcPr>
          <w:p>
            <w:pPr>
              <w:spacing w:after="0"/>
            </w:pPr>
            <w:r>
              <w:rPr>
                <w:rFonts w:ascii="Calibri" w:cs="Calibri" w:eastAsia="Calibri" w:hAnsi="Calibri"/>
                <w:sz w:val="19"/>
                <w:szCs w:val="19"/>
              </w:rPr>
              <w:t xml:space="preserve">87.48 % +/- 0.13</w:t>
            </w:r>
          </w:p>
        </w:tc>
        <w:tc>
          <w:tcPr>
            <w:tcW w:type="dxa" w:w="1300"/>
            <w:tcMar>
              <w:top w:type="dxa" w:w="70"/>
              <w:left w:type="dxa" w:w="110"/>
              <w:bottom w:type="dxa" w:w="70"/>
              <w:right w:type="dxa" w:w="110"/>
            </w:tcMar>
          </w:tcPr>
          <w:p>
            <w:pPr>
              <w:spacing w:after="0"/>
            </w:pPr>
            <w:r>
              <w:rPr>
                <w:rFonts w:ascii="Calibri" w:cs="Calibri" w:eastAsia="Calibri" w:hAnsi="Calibri"/>
                <w:sz w:val="19"/>
                <w:szCs w:val="19"/>
              </w:rPr>
              <w:t xml:space="preserve">more stable</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Serialised model size</w:t>
            </w:r>
          </w:p>
        </w:tc>
        <w:tc>
          <w:tcPr>
            <w:tcW w:type="dxa" w:w="2100"/>
            <w:tcMar>
              <w:top w:type="dxa" w:w="70"/>
              <w:left w:type="dxa" w:w="110"/>
              <w:bottom w:type="dxa" w:w="70"/>
              <w:right w:type="dxa" w:w="110"/>
            </w:tcMar>
          </w:tcPr>
          <w:p>
            <w:pPr>
              <w:spacing w:after="0"/>
            </w:pPr>
            <w:r>
              <w:rPr>
                <w:rFonts w:ascii="Calibri" w:cs="Calibri" w:eastAsia="Calibri" w:hAnsi="Calibri"/>
                <w:sz w:val="19"/>
                <w:szCs w:val="19"/>
              </w:rPr>
              <w:t xml:space="preserve">547 MB</w:t>
            </w:r>
          </w:p>
        </w:tc>
        <w:tc>
          <w:tcPr>
            <w:tcW w:type="dxa" w:w="2100"/>
            <w:tcMar>
              <w:top w:type="dxa" w:w="70"/>
              <w:left w:type="dxa" w:w="110"/>
              <w:bottom w:type="dxa" w:w="70"/>
              <w:right w:type="dxa" w:w="110"/>
            </w:tcMar>
          </w:tcPr>
          <w:p>
            <w:pPr>
              <w:spacing w:after="0"/>
            </w:pPr>
            <w:r>
              <w:rPr>
                <w:rFonts w:ascii="Calibri" w:cs="Calibri" w:eastAsia="Calibri" w:hAnsi="Calibri"/>
                <w:sz w:val="19"/>
                <w:szCs w:val="19"/>
              </w:rPr>
              <w:t xml:space="preserve">26.7 MB</w:t>
            </w:r>
          </w:p>
        </w:tc>
        <w:tc>
          <w:tcPr>
            <w:tcW w:type="dxa" w:w="1300"/>
            <w:tcMar>
              <w:top w:type="dxa" w:w="70"/>
              <w:left w:type="dxa" w:w="110"/>
              <w:bottom w:type="dxa" w:w="70"/>
              <w:right w:type="dxa" w:w="110"/>
            </w:tcMar>
          </w:tcPr>
          <w:p>
            <w:pPr>
              <w:spacing w:after="0"/>
            </w:pPr>
            <w:r>
              <w:rPr>
                <w:rFonts w:ascii="Calibri" w:cs="Calibri" w:eastAsia="Calibri" w:hAnsi="Calibri"/>
                <w:sz w:val="19"/>
                <w:szCs w:val="19"/>
              </w:rPr>
              <w:t xml:space="preserve">~20x smaller</w:t>
            </w:r>
          </w:p>
        </w:tc>
      </w:tr>
    </w:tbl>
    <w:p>
      <w:pPr>
        <w:spacing w:after="120"/>
      </w:pPr>
    </w:p>
    <w:p>
      <w:pPr>
        <w:spacing w:after="120" w:line="276"/>
      </w:pPr>
      <w:r>
        <w:rPr>
          <w:rFonts w:ascii="Calibri" w:cs="Calibri" w:eastAsia="Calibri" w:hAnsi="Calibri"/>
          <w:i/>
          <w:iCs/>
          <w:sz w:val="22"/>
          <w:szCs w:val="22"/>
        </w:rPr>
        <w:t xml:space="preserve">A forest stores every fully-grown tree independently, which is why its artifact reached 547 MB - beyond the 512 MB memory limit of the hosting tier, causing repeated out-of-memory failures. Boosted trees are shallow and stored as compact binned structures, so the same task fits in 26.7 MB and deploys without incident.</w:t>
      </w:r>
    </w:p>
    <w:p>
      <w:pPr>
        <w:pStyle w:val="Heading1"/>
        <w:spacing w:after="160" w:before="320"/>
      </w:pPr>
      <w:r>
        <w:rPr>
          <w:rFonts w:ascii="Calibri" w:cs="Calibri" w:eastAsia="Calibri" w:hAnsi="Calibri"/>
          <w:b/>
          <w:bCs/>
          <w:color w:val="2E7D32"/>
          <w:sz w:val="30"/>
          <w:szCs w:val="30"/>
        </w:rPr>
        <w:t xml:space="preserve">A4. Feature Engineering</w:t>
      </w:r>
    </w:p>
    <w:p>
      <w:pPr>
        <w:spacing w:after="120" w:line="276"/>
      </w:pPr>
      <w:r>
        <w:rPr>
          <w:rFonts w:ascii="Calibri" w:cs="Calibri" w:eastAsia="Calibri" w:hAnsi="Calibri"/>
          <w:sz w:val="22"/>
          <w:szCs w:val="22"/>
        </w:rPr>
        <w:t xml:space="preserve">The application can only supply four raw values. Nine features are derived from them, two of which are physically motivated rather than statistical.</w:t>
      </w:r>
    </w:p>
    <w:p>
      <w:pPr>
        <w:pStyle w:val="Heading2"/>
        <w:spacing w:after="120" w:before="240"/>
      </w:pPr>
      <w:r>
        <w:rPr>
          <w:rFonts w:ascii="Calibri" w:cs="Calibri" w:eastAsia="Calibri" w:hAnsi="Calibri"/>
          <w:b/>
          <w:bCs/>
          <w:color w:val="1B3A1F"/>
          <w:sz w:val="25"/>
          <w:szCs w:val="25"/>
        </w:rPr>
        <w:t xml:space="preserve">A4.1 Cyclical encoding of month</w:t>
      </w:r>
    </w:p>
    <w:p>
      <w:pPr>
        <w:spacing w:after="120" w:line="276"/>
      </w:pPr>
      <w:r>
        <w:rPr>
          <w:rFonts w:ascii="Calibri" w:cs="Calibri" w:eastAsia="Calibri" w:hAnsi="Calibri"/>
          <w:sz w:val="22"/>
          <w:szCs w:val="22"/>
        </w:rPr>
        <w:t xml:space="preserve">Month as an integer implies December (12) is maximally distant from January (1), which is wrong - they are adjacent seasons. Encoding the month on a circle removes that artificial discontinuity:</w:t>
      </w:r>
    </w:p>
    <w:p>
      <w:pPr>
        <w:shd w:fill="F2F5F2" w:color="auto" w:val="clear"/>
        <w:spacing w:after="140" w:before="80"/>
      </w:pPr>
      <w:r>
        <w:rPr>
          <w:rFonts w:ascii="Consolas" w:cs="Consolas" w:eastAsia="Consolas" w:hAnsi="Consolas"/>
          <w:sz w:val="18"/>
          <w:szCs w:val="18"/>
        </w:rPr>
        <w:t xml:space="preserve">month_sin = sin(2 * pi * month / 12)
month_cos = cos(2 * pi * month / 12)</w:t>
      </w:r>
    </w:p>
    <w:p>
      <w:pPr>
        <w:pStyle w:val="Heading2"/>
        <w:spacing w:after="120" w:before="240"/>
      </w:pPr>
      <w:r>
        <w:rPr>
          <w:rFonts w:ascii="Calibri" w:cs="Calibri" w:eastAsia="Calibri" w:hAnsi="Calibri"/>
          <w:b/>
          <w:bCs/>
          <w:color w:val="1B3A1F"/>
          <w:sz w:val="25"/>
          <w:szCs w:val="25"/>
        </w:rPr>
        <w:t xml:space="preserve">A4.2 Dew point</w:t>
      </w:r>
    </w:p>
    <w:p>
      <w:pPr>
        <w:spacing w:after="120" w:line="276"/>
      </w:pPr>
      <w:r>
        <w:rPr>
          <w:rFonts w:ascii="Calibri" w:cs="Calibri" w:eastAsia="Calibri" w:hAnsi="Calibri"/>
          <w:sz w:val="22"/>
          <w:szCs w:val="22"/>
        </w:rPr>
        <w:t xml:space="preserve">Computed from temperature and relative humidity using the Magnus formula. It expresses the absolute moisture content of the air, whereas relative humidity alone is meaningless without its temperature.</w:t>
      </w:r>
    </w:p>
    <w:p>
      <w:pPr>
        <w:shd w:fill="F2F5F2" w:color="auto" w:val="clear"/>
        <w:spacing w:after="140" w:before="80"/>
      </w:pPr>
      <w:r>
        <w:rPr>
          <w:rFonts w:ascii="Consolas" w:cs="Consolas" w:eastAsia="Consolas" w:hAnsi="Consolas"/>
          <w:sz w:val="18"/>
          <w:szCs w:val="18"/>
        </w:rPr>
        <w:t xml:space="preserve">alpha     = (17.27 * T) / (237.7 + T) + ln(RH / 100)
dew_point = (237.7 * alpha) / (17.27 - alpha)</w:t>
      </w:r>
    </w:p>
    <w:p>
      <w:pPr>
        <w:pStyle w:val="Heading2"/>
        <w:spacing w:after="120" w:before="240"/>
      </w:pPr>
      <w:r>
        <w:rPr>
          <w:rFonts w:ascii="Calibri" w:cs="Calibri" w:eastAsia="Calibri" w:hAnsi="Calibri"/>
          <w:b/>
          <w:bCs/>
          <w:color w:val="1B3A1F"/>
          <w:sz w:val="25"/>
          <w:szCs w:val="25"/>
        </w:rPr>
        <w:t xml:space="preserve">A4.3 Vapour pressure deficit</w:t>
      </w:r>
    </w:p>
    <w:p>
      <w:pPr>
        <w:spacing w:after="120" w:line="276"/>
      </w:pPr>
      <w:r>
        <w:rPr>
          <w:rFonts w:ascii="Calibri" w:cs="Calibri" w:eastAsia="Calibri" w:hAnsi="Calibri"/>
          <w:sz w:val="22"/>
          <w:szCs w:val="22"/>
        </w:rPr>
        <w:t xml:space="preserve">VPD is the difference between the moisture the air could hold and what it currently holds. In controlled-environment growing it is the dominant driver of transpiration and therefore of nutrient uptake - it governs how hard a plant must work to move water.</w:t>
      </w:r>
    </w:p>
    <w:p>
      <w:pPr>
        <w:shd w:fill="F2F5F2" w:color="auto" w:val="clear"/>
        <w:spacing w:after="140" w:before="80"/>
      </w:pPr>
      <w:r>
        <w:rPr>
          <w:rFonts w:ascii="Consolas" w:cs="Consolas" w:eastAsia="Consolas" w:hAnsi="Consolas"/>
          <w:sz w:val="18"/>
          <w:szCs w:val="18"/>
        </w:rPr>
        <w:t xml:space="preserve">SVP = 0.6108 * exp((17.27 * T) / (T + 237.3))
VPD = SVP * (1 - RH / 100)</w:t>
      </w:r>
    </w:p>
    <w:p>
      <w:pPr>
        <w:spacing w:after="120" w:line="276"/>
      </w:pPr>
      <w:r>
        <w:rPr>
          <w:rFonts w:ascii="Calibri" w:cs="Calibri" w:eastAsia="Calibri" w:hAnsi="Calibri"/>
          <w:i/>
          <w:iCs/>
          <w:sz w:val="22"/>
          <w:szCs w:val="22"/>
        </w:rPr>
        <w:t xml:space="preserve">Permutation importance confirms this was worth adding: VPD scores 0.1098, ranking above raw temperature at 0.0753. A derived physical quantity carries more signal than the measurement it came from.</w:t>
      </w:r>
    </w:p>
    <w:p>
      <w:pPr>
        <w:pStyle w:val="Heading2"/>
        <w:spacing w:after="120" w:before="240"/>
      </w:pPr>
      <w:r>
        <w:rPr>
          <w:rFonts w:ascii="Calibri" w:cs="Calibri" w:eastAsia="Calibri" w:hAnsi="Calibri"/>
          <w:b/>
          <w:bCs/>
          <w:color w:val="1B3A1F"/>
          <w:sz w:val="25"/>
          <w:szCs w:val="25"/>
        </w:rPr>
        <w:t xml:space="preserve">A4.4 Complete feature set and measured importance</w:t>
      </w:r>
    </w:p>
    <w:p>
      <w:pPr>
        <w:spacing w:after="120" w:line="276"/>
      </w:pPr>
      <w:r>
        <w:rPr>
          <w:rFonts w:ascii="Calibri" w:cs="Calibri" w:eastAsia="Calibri" w:hAnsi="Calibri"/>
          <w:sz w:val="22"/>
          <w:szCs w:val="22"/>
        </w:rPr>
        <w:t xml:space="preserve">Importance below is permutation importance - the drop in accuracy when a feature is randomly shuffled. It measures what the model actually relies on, not merely what correlates.</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500"/>
        <w:gridCol w:w="1500"/>
        <w:gridCol w:w="4400"/>
      </w:tblGrid>
      <w:tr>
        <w:trPr>
          <w:tblHeader/>
        </w:trPr>
        <w:tc>
          <w:tcPr>
            <w:tcW w:type="dxa" w:w="25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Feature</w:t>
            </w:r>
          </w:p>
        </w:tc>
        <w:tc>
          <w:tcPr>
            <w:tcW w:type="dxa" w:w="15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Importance</w:t>
            </w:r>
          </w:p>
        </w:tc>
        <w:tc>
          <w:tcPr>
            <w:tcW w:type="dxa" w:w="44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Description</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location_enc</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0.5542</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Encoded region - strongest single predictor</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humidity</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0.3650</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Relative humidity, percent</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month_cos</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0.2129</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Cyclical month component</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vpd</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0.1098</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Vapour pressure deficit, kPa</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temp_hum_interaction</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0.1002</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Product term, T x RH / 100</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temperature</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0.0753</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Air temperature, Celsius</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dew_point</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0.0536</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Dew point, Celsius</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month_sin</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0.0311</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Cyclical month component</w:t>
            </w:r>
          </w:p>
        </w:tc>
      </w:tr>
      <w:tr>
        <w:tc>
          <w:tcPr>
            <w:tcW w:type="dxa" w:w="2500"/>
            <w:tcMar>
              <w:top w:type="dxa" w:w="70"/>
              <w:left w:type="dxa" w:w="110"/>
              <w:bottom w:type="dxa" w:w="70"/>
              <w:right w:type="dxa" w:w="110"/>
            </w:tcMar>
          </w:tcPr>
          <w:p>
            <w:pPr>
              <w:spacing w:after="0"/>
            </w:pPr>
            <w:r>
              <w:rPr>
                <w:rFonts w:ascii="Consolas" w:cs="Consolas" w:eastAsia="Consolas" w:hAnsi="Consolas"/>
                <w:sz w:val="19"/>
                <w:szCs w:val="19"/>
              </w:rPr>
              <w:t xml:space="preserve">month</w:t>
            </w:r>
          </w:p>
        </w:tc>
        <w:tc>
          <w:tcPr>
            <w:tcW w:type="dxa" w:w="1500"/>
            <w:tcMar>
              <w:top w:type="dxa" w:w="70"/>
              <w:left w:type="dxa" w:w="110"/>
              <w:bottom w:type="dxa" w:w="70"/>
              <w:right w:type="dxa" w:w="110"/>
            </w:tcMar>
          </w:tcPr>
          <w:p>
            <w:pPr>
              <w:spacing w:after="0"/>
            </w:pPr>
            <w:r>
              <w:rPr>
                <w:rFonts w:ascii="Calibri" w:cs="Calibri" w:eastAsia="Calibri" w:hAnsi="Calibri"/>
                <w:sz w:val="19"/>
                <w:szCs w:val="19"/>
              </w:rPr>
              <w:t xml:space="preserve">0.0288</w:t>
            </w:r>
          </w:p>
        </w:tc>
        <w:tc>
          <w:tcPr>
            <w:tcW w:type="dxa" w:w="4400"/>
            <w:tcMar>
              <w:top w:type="dxa" w:w="70"/>
              <w:left w:type="dxa" w:w="110"/>
              <w:bottom w:type="dxa" w:w="70"/>
              <w:right w:type="dxa" w:w="110"/>
            </w:tcMar>
          </w:tcPr>
          <w:p>
            <w:pPr>
              <w:spacing w:after="0"/>
            </w:pPr>
            <w:r>
              <w:rPr>
                <w:rFonts w:ascii="Calibri" w:cs="Calibri" w:eastAsia="Calibri" w:hAnsi="Calibri"/>
                <w:sz w:val="19"/>
                <w:szCs w:val="19"/>
              </w:rPr>
              <w:t xml:space="preserve">Raw month index</w:t>
            </w:r>
          </w:p>
        </w:tc>
      </w:tr>
    </w:tbl>
    <w:p>
      <w:pPr>
        <w:spacing w:after="120"/>
      </w:pPr>
    </w:p>
    <w:p>
      <w:pPr>
        <w:spacing w:after="120" w:line="276"/>
      </w:pPr>
      <w:r>
        <w:rPr>
          <w:rFonts w:ascii="Calibri" w:cs="Calibri" w:eastAsia="Calibri" w:hAnsi="Calibri"/>
          <w:sz w:val="22"/>
          <w:szCs w:val="22"/>
        </w:rPr>
        <w:t xml:space="preserve">Two further candidates - squared temperature and squared humidity - were tested and measured at exactly 0.0000 importance. They were removed: the model is simpler with no loss of accuracy.</w:t>
      </w:r>
    </w:p>
    <w:p>
      <w:pPr>
        <w:pStyle w:val="Heading1"/>
        <w:spacing w:after="160" w:before="320"/>
      </w:pPr>
      <w:r>
        <w:rPr>
          <w:rFonts w:ascii="Calibri" w:cs="Calibri" w:eastAsia="Calibri" w:hAnsi="Calibri"/>
          <w:b/>
          <w:bCs/>
          <w:color w:val="2E7D32"/>
          <w:sz w:val="30"/>
          <w:szCs w:val="30"/>
        </w:rPr>
        <w:t xml:space="preserve">A5. Training Data</w:t>
      </w:r>
    </w:p>
    <w:p>
      <w:pPr>
        <w:spacing w:after="120" w:line="276"/>
      </w:pPr>
      <w:r>
        <w:rPr>
          <w:rFonts w:ascii="Calibri" w:cs="Calibri" w:eastAsia="Calibri" w:hAnsi="Calibri"/>
          <w:sz w:val="22"/>
          <w:szCs w:val="22"/>
        </w:rPr>
        <w:t xml:space="preserve">Training uses a synthesised dataset generated from a curated agronomic knowledge base of 20 hydroponic crops across 19 Indian states.</w:t>
      </w:r>
    </w:p>
    <w:p>
      <w:pPr>
        <w:pStyle w:val="Heading2"/>
        <w:spacing w:after="120" w:before="240"/>
      </w:pPr>
      <w:r>
        <w:rPr>
          <w:rFonts w:ascii="Calibri" w:cs="Calibri" w:eastAsia="Calibri" w:hAnsi="Calibri"/>
          <w:b/>
          <w:bCs/>
          <w:color w:val="1B3A1F"/>
          <w:sz w:val="25"/>
          <w:szCs w:val="25"/>
        </w:rPr>
        <w:t xml:space="preserve">A5.1 Crop profile structure</w:t>
      </w:r>
    </w:p>
    <w:p>
      <w:pPr>
        <w:spacing w:after="120" w:line="276"/>
      </w:pPr>
      <w:r>
        <w:rPr>
          <w:rFonts w:ascii="Calibri" w:cs="Calibri" w:eastAsia="Calibri" w:hAnsi="Calibri"/>
          <w:sz w:val="22"/>
          <w:szCs w:val="22"/>
        </w:rPr>
        <w:t xml:space="preserve">Each crop is defined by its viable temperature band, humidity band, suitable regions and growing months. Example:</w:t>
      </w:r>
    </w:p>
    <w:p>
      <w:pPr>
        <w:shd w:fill="F2F5F2" w:color="auto" w:val="clear"/>
        <w:spacing w:after="140" w:before="80"/>
      </w:pPr>
      <w:r>
        <w:rPr>
          <w:rFonts w:ascii="Consolas" w:cs="Consolas" w:eastAsia="Consolas" w:hAnsi="Consolas"/>
          <w:sz w:val="18"/>
          <w:szCs w:val="18"/>
        </w:rPr>
        <w:t xml:space="preserve">"Lettuce": {
  "temp":      (13, 21),
  "humidity":  (58, 72),
  "locations": ["West Bengal", "Karnataka", "Maharashtra", "Kerala"],
  "months":    [11, 12, 1, 2],
}</w:t>
      </w:r>
    </w:p>
    <w:p>
      <w:pPr>
        <w:pStyle w:val="Heading2"/>
        <w:spacing w:after="120" w:before="240"/>
      </w:pPr>
      <w:r>
        <w:rPr>
          <w:rFonts w:ascii="Calibri" w:cs="Calibri" w:eastAsia="Calibri" w:hAnsi="Calibri"/>
          <w:b/>
          <w:bCs/>
          <w:color w:val="1B3A1F"/>
          <w:sz w:val="25"/>
          <w:szCs w:val="25"/>
        </w:rPr>
        <w:t xml:space="preserve">A5.2 Sample generation</w:t>
      </w:r>
    </w:p>
    <w:p>
      <w:pPr>
        <w:pStyle w:val="ListParagraph"/>
        <w:numPr>
          <w:ilvl w:val="0"/>
          <w:numId w:val="2"/>
        </w:numPr>
        <w:spacing w:after="80" w:line="276"/>
      </w:pPr>
      <w:r>
        <w:rPr>
          <w:rFonts w:ascii="Calibri" w:cs="Calibri" w:eastAsia="Calibri" w:hAnsi="Calibri"/>
          <w:sz w:val="22"/>
          <w:szCs w:val="22"/>
        </w:rPr>
        <w:t xml:space="preserve">For each crop, samples are drawn from a Gaussian centred on the midpoint of its viable band, with standard deviation set to one quarter of the band width, so roughly 95 percent of samples fall inside the ideal range.</w:t>
      </w:r>
    </w:p>
    <w:p>
      <w:pPr>
        <w:pStyle w:val="ListParagraph"/>
        <w:numPr>
          <w:ilvl w:val="0"/>
          <w:numId w:val="2"/>
        </w:numPr>
        <w:spacing w:after="80" w:line="276"/>
      </w:pPr>
      <w:r>
        <w:rPr>
          <w:rFonts w:ascii="Calibri" w:cs="Calibri" w:eastAsia="Calibri" w:hAnsi="Calibri"/>
          <w:sz w:val="22"/>
          <w:szCs w:val="22"/>
        </w:rPr>
        <w:t xml:space="preserve">Values are clipped slightly beyond the band edges, giving the model realistic boundary cases rather than perfectly separated clusters.</w:t>
      </w:r>
    </w:p>
    <w:p>
      <w:pPr>
        <w:pStyle w:val="ListParagraph"/>
        <w:numPr>
          <w:ilvl w:val="0"/>
          <w:numId w:val="2"/>
        </w:numPr>
        <w:spacing w:after="80" w:line="276"/>
      </w:pPr>
      <w:r>
        <w:rPr>
          <w:rFonts w:ascii="Calibri" w:cs="Calibri" w:eastAsia="Calibri" w:hAnsi="Calibri"/>
          <w:sz w:val="22"/>
          <w:szCs w:val="22"/>
        </w:rPr>
        <w:t xml:space="preserve">Location and month are sampled uniformly from that crop's valid sets.</w:t>
      </w:r>
    </w:p>
    <w:p>
      <w:pPr>
        <w:pStyle w:val="ListParagraph"/>
        <w:numPr>
          <w:ilvl w:val="0"/>
          <w:numId w:val="2"/>
        </w:numPr>
        <w:spacing w:after="80" w:line="276"/>
      </w:pPr>
      <w:r>
        <w:rPr>
          <w:rFonts w:ascii="Calibri" w:cs="Calibri" w:eastAsia="Calibri" w:hAnsi="Calibri"/>
          <w:sz w:val="22"/>
          <w:szCs w:val="22"/>
        </w:rPr>
        <w:t xml:space="preserve">The dataset is shuffled with a fixed seed, and the split is stratified so every crop is represented proportionally in both train and test partitions.</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000"/>
        <w:gridCol w:w="5400"/>
      </w:tblGrid>
      <w:tr>
        <w:trPr>
          <w:tblHeader/>
        </w:trPr>
        <w:tc>
          <w:tcPr>
            <w:tcW w:type="dxa" w:w="30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Property</w:t>
            </w:r>
          </w:p>
        </w:tc>
        <w:tc>
          <w:tcPr>
            <w:tcW w:type="dxa" w:w="54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Total samples</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150,000</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Samples per crop</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7,500 (balanced)</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Train / test split</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80 / 20, stratified</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Cross-validation</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5-fold</w:t>
            </w:r>
          </w:p>
        </w:tc>
      </w:tr>
      <w:tr>
        <w:tc>
          <w:tcPr>
            <w:tcW w:type="dxa" w:w="3000"/>
            <w:tcMar>
              <w:top w:type="dxa" w:w="70"/>
              <w:left w:type="dxa" w:w="110"/>
              <w:bottom w:type="dxa" w:w="70"/>
              <w:right w:type="dxa" w:w="110"/>
            </w:tcMar>
          </w:tcPr>
          <w:p>
            <w:pPr>
              <w:spacing w:after="0"/>
            </w:pPr>
            <w:r>
              <w:rPr>
                <w:rFonts w:ascii="Calibri" w:cs="Calibri" w:eastAsia="Calibri" w:hAnsi="Calibri"/>
                <w:sz w:val="19"/>
                <w:szCs w:val="19"/>
              </w:rPr>
              <w:t xml:space="preserve">Distinct locations</w:t>
            </w:r>
          </w:p>
        </w:tc>
        <w:tc>
          <w:tcPr>
            <w:tcW w:type="dxa" w:w="5400"/>
            <w:tcMar>
              <w:top w:type="dxa" w:w="70"/>
              <w:left w:type="dxa" w:w="110"/>
              <w:bottom w:type="dxa" w:w="70"/>
              <w:right w:type="dxa" w:w="110"/>
            </w:tcMar>
          </w:tcPr>
          <w:p>
            <w:pPr>
              <w:spacing w:after="0"/>
            </w:pPr>
            <w:r>
              <w:rPr>
                <w:rFonts w:ascii="Calibri" w:cs="Calibri" w:eastAsia="Calibri" w:hAnsi="Calibri"/>
                <w:sz w:val="19"/>
                <w:szCs w:val="19"/>
              </w:rPr>
              <w:t xml:space="preserve">19</w:t>
            </w:r>
          </w:p>
        </w:tc>
      </w:tr>
    </w:tbl>
    <w:p>
      <w:pPr>
        <w:pStyle w:val="Heading1"/>
        <w:spacing w:after="160" w:before="320"/>
      </w:pPr>
      <w:r>
        <w:rPr>
          <w:rFonts w:ascii="Calibri" w:cs="Calibri" w:eastAsia="Calibri" w:hAnsi="Calibri"/>
          <w:b/>
          <w:bCs/>
          <w:color w:val="2E7D32"/>
          <w:sz w:val="30"/>
          <w:szCs w:val="30"/>
        </w:rPr>
        <w:t xml:space="preserve">A6. Training Pipeline</w:t>
      </w:r>
    </w:p>
    <w:p>
      <w:pPr>
        <w:pStyle w:val="ListParagraph"/>
        <w:numPr>
          <w:ilvl w:val="0"/>
          <w:numId w:val="2"/>
        </w:numPr>
        <w:spacing w:after="80" w:line="276"/>
      </w:pPr>
      <w:r>
        <w:rPr>
          <w:rFonts w:ascii="Calibri" w:cs="Calibri" w:eastAsia="Calibri" w:hAnsi="Calibri"/>
          <w:sz w:val="22"/>
          <w:szCs w:val="22"/>
        </w:rPr>
        <w:t xml:space="preserve">Generate the synthetic dataset from the crop profiles.</w:t>
      </w:r>
    </w:p>
    <w:p>
      <w:pPr>
        <w:pStyle w:val="ListParagraph"/>
        <w:numPr>
          <w:ilvl w:val="0"/>
          <w:numId w:val="2"/>
        </w:numPr>
        <w:spacing w:after="80" w:line="276"/>
      </w:pPr>
      <w:r>
        <w:rPr>
          <w:rFonts w:ascii="Calibri" w:cs="Calibri" w:eastAsia="Calibri" w:hAnsi="Calibri"/>
          <w:sz w:val="22"/>
          <w:szCs w:val="22"/>
        </w:rPr>
        <w:t xml:space="preserve">Derive the nine engineered features.</w:t>
      </w:r>
    </w:p>
    <w:p>
      <w:pPr>
        <w:pStyle w:val="ListParagraph"/>
        <w:numPr>
          <w:ilvl w:val="0"/>
          <w:numId w:val="2"/>
        </w:numPr>
        <w:spacing w:after="80" w:line="276"/>
      </w:pPr>
      <w:r>
        <w:rPr>
          <w:rFonts w:ascii="Calibri" w:cs="Calibri" w:eastAsia="Calibri" w:hAnsi="Calibri"/>
          <w:sz w:val="22"/>
          <w:szCs w:val="22"/>
        </w:rPr>
        <w:t xml:space="preserve">Label-encode location and crop into integer codes.</w:t>
      </w:r>
    </w:p>
    <w:p>
      <w:pPr>
        <w:pStyle w:val="ListParagraph"/>
        <w:numPr>
          <w:ilvl w:val="0"/>
          <w:numId w:val="2"/>
        </w:numPr>
        <w:spacing w:after="80" w:line="276"/>
      </w:pPr>
      <w:r>
        <w:rPr>
          <w:rFonts w:ascii="Calibri" w:cs="Calibri" w:eastAsia="Calibri" w:hAnsi="Calibri"/>
          <w:sz w:val="22"/>
          <w:szCs w:val="22"/>
        </w:rPr>
        <w:t xml:space="preserve">Standardise every numeric feature to zero mean and unit variance. The location code is deliberately excluded - it is a category identifier, not a magnitude, so scaling it would be meaningless.</w:t>
      </w:r>
    </w:p>
    <w:p>
      <w:pPr>
        <w:pStyle w:val="ListParagraph"/>
        <w:numPr>
          <w:ilvl w:val="0"/>
          <w:numId w:val="2"/>
        </w:numPr>
        <w:spacing w:after="80" w:line="276"/>
      </w:pPr>
      <w:r>
        <w:rPr>
          <w:rFonts w:ascii="Calibri" w:cs="Calibri" w:eastAsia="Calibri" w:hAnsi="Calibri"/>
          <w:sz w:val="22"/>
          <w:szCs w:val="22"/>
        </w:rPr>
        <w:t xml:space="preserve">Split 80/20 with stratification.</w:t>
      </w:r>
    </w:p>
    <w:p>
      <w:pPr>
        <w:pStyle w:val="ListParagraph"/>
        <w:numPr>
          <w:ilvl w:val="0"/>
          <w:numId w:val="2"/>
        </w:numPr>
        <w:spacing w:after="80" w:line="276"/>
      </w:pPr>
      <w:r>
        <w:rPr>
          <w:rFonts w:ascii="Calibri" w:cs="Calibri" w:eastAsia="Calibri" w:hAnsi="Calibri"/>
          <w:sz w:val="22"/>
          <w:szCs w:val="22"/>
        </w:rPr>
        <w:t xml:space="preserve">Fit the classifier for 400 boosting iterations.</w:t>
      </w:r>
    </w:p>
    <w:p>
      <w:pPr>
        <w:pStyle w:val="ListParagraph"/>
        <w:numPr>
          <w:ilvl w:val="0"/>
          <w:numId w:val="2"/>
        </w:numPr>
        <w:spacing w:after="80" w:line="276"/>
      </w:pPr>
      <w:r>
        <w:rPr>
          <w:rFonts w:ascii="Calibri" w:cs="Calibri" w:eastAsia="Calibri" w:hAnsi="Calibri"/>
          <w:sz w:val="22"/>
          <w:szCs w:val="22"/>
        </w:rPr>
        <w:t xml:space="preserve">Evaluate on the held-out split and with 5-fold cross-validation.</w:t>
      </w:r>
    </w:p>
    <w:p>
      <w:pPr>
        <w:pStyle w:val="ListParagraph"/>
        <w:numPr>
          <w:ilvl w:val="0"/>
          <w:numId w:val="2"/>
        </w:numPr>
        <w:spacing w:after="80" w:line="276"/>
      </w:pPr>
      <w:r>
        <w:rPr>
          <w:rFonts w:ascii="Calibri" w:cs="Calibri" w:eastAsia="Calibri" w:hAnsi="Calibri"/>
          <w:sz w:val="22"/>
          <w:szCs w:val="22"/>
        </w:rPr>
        <w:t xml:space="preserve">Measure permutation importance on a test subsample.</w:t>
      </w:r>
    </w:p>
    <w:p>
      <w:pPr>
        <w:pStyle w:val="ListParagraph"/>
        <w:numPr>
          <w:ilvl w:val="0"/>
          <w:numId w:val="2"/>
        </w:numPr>
        <w:spacing w:after="80" w:line="276"/>
      </w:pPr>
      <w:r>
        <w:rPr>
          <w:rFonts w:ascii="Calibri" w:cs="Calibri" w:eastAsia="Calibri" w:hAnsi="Calibri"/>
          <w:sz w:val="22"/>
          <w:szCs w:val="22"/>
        </w:rPr>
        <w:t xml:space="preserve">Serialise the model, scaler, encoders and feature order into a single artifact.</w:t>
      </w:r>
    </w:p>
    <w:p>
      <w:pPr>
        <w:spacing w:after="120"/>
      </w:pPr>
    </w:p>
    <w:p>
      <w:pPr>
        <w:spacing w:after="120" w:line="276"/>
      </w:pPr>
      <w:r>
        <w:rPr>
          <w:rFonts w:ascii="Calibri" w:cs="Calibri" w:eastAsia="Calibri" w:hAnsi="Calibri"/>
          <w:i/>
          <w:iCs/>
          <w:sz w:val="22"/>
          <w:szCs w:val="22"/>
        </w:rPr>
        <w:t xml:space="preserve">The scaler and encoders are stored alongside the model deliberately. Inference must apply exactly the same transformations in exactly the same order as training; persisting them together makes a mismatch impossible.</w:t>
      </w:r>
    </w:p>
    <w:p>
      <w:pPr>
        <w:pStyle w:val="Heading1"/>
        <w:spacing w:after="160" w:before="320"/>
      </w:pPr>
      <w:r>
        <w:rPr>
          <w:rFonts w:ascii="Calibri" w:cs="Calibri" w:eastAsia="Calibri" w:hAnsi="Calibri"/>
          <w:b/>
          <w:bCs/>
          <w:color w:val="2E7D32"/>
          <w:sz w:val="30"/>
          <w:szCs w:val="30"/>
        </w:rPr>
        <w:t xml:space="preserve">A7. Inference</w:t>
      </w:r>
    </w:p>
    <w:p>
      <w:pPr>
        <w:pStyle w:val="Heading2"/>
        <w:spacing w:after="120" w:before="240"/>
      </w:pPr>
      <w:r>
        <w:rPr>
          <w:rFonts w:ascii="Calibri" w:cs="Calibri" w:eastAsia="Calibri" w:hAnsi="Calibri"/>
          <w:b/>
          <w:bCs/>
          <w:color w:val="1B3A1F"/>
          <w:sz w:val="25"/>
          <w:szCs w:val="25"/>
        </w:rPr>
        <w:t xml:space="preserve">A7.1 Request path</w:t>
      </w:r>
    </w:p>
    <w:p>
      <w:pPr>
        <w:pStyle w:val="ListParagraph"/>
        <w:numPr>
          <w:ilvl w:val="0"/>
          <w:numId w:val="2"/>
        </w:numPr>
        <w:spacing w:after="80" w:line="276"/>
      </w:pPr>
      <w:r>
        <w:rPr>
          <w:rFonts w:ascii="Calibri" w:cs="Calibri" w:eastAsia="Calibri" w:hAnsi="Calibri"/>
          <w:sz w:val="22"/>
          <w:szCs w:val="22"/>
        </w:rPr>
        <w:t xml:space="preserve">The client posts temperature, humidity, location and month as JSON.</w:t>
      </w:r>
    </w:p>
    <w:p>
      <w:pPr>
        <w:pStyle w:val="ListParagraph"/>
        <w:numPr>
          <w:ilvl w:val="0"/>
          <w:numId w:val="2"/>
        </w:numPr>
        <w:spacing w:after="80" w:line="276"/>
      </w:pPr>
      <w:r>
        <w:rPr>
          <w:rFonts w:ascii="Calibri" w:cs="Calibri" w:eastAsia="Calibri" w:hAnsi="Calibri"/>
          <w:sz w:val="22"/>
          <w:szCs w:val="22"/>
        </w:rPr>
        <w:t xml:space="preserve">The service resolves the location string to a known region, tolerating case differences and partial matches.</w:t>
      </w:r>
    </w:p>
    <w:p>
      <w:pPr>
        <w:pStyle w:val="ListParagraph"/>
        <w:numPr>
          <w:ilvl w:val="0"/>
          <w:numId w:val="2"/>
        </w:numPr>
        <w:spacing w:after="80" w:line="276"/>
      </w:pPr>
      <w:r>
        <w:rPr>
          <w:rFonts w:ascii="Calibri" w:cs="Calibri" w:eastAsia="Calibri" w:hAnsi="Calibri"/>
          <w:sz w:val="22"/>
          <w:szCs w:val="22"/>
        </w:rPr>
        <w:t xml:space="preserve">The nine features are computed using the identical formulas as training.</w:t>
      </w:r>
    </w:p>
    <w:p>
      <w:pPr>
        <w:pStyle w:val="ListParagraph"/>
        <w:numPr>
          <w:ilvl w:val="0"/>
          <w:numId w:val="2"/>
        </w:numPr>
        <w:spacing w:after="80" w:line="276"/>
      </w:pPr>
      <w:r>
        <w:rPr>
          <w:rFonts w:ascii="Calibri" w:cs="Calibri" w:eastAsia="Calibri" w:hAnsi="Calibri"/>
          <w:sz w:val="22"/>
          <w:szCs w:val="22"/>
        </w:rPr>
        <w:t xml:space="preserve">The stored scaler transforms the numeric columns.</w:t>
      </w:r>
    </w:p>
    <w:p>
      <w:pPr>
        <w:pStyle w:val="ListParagraph"/>
        <w:numPr>
          <w:ilvl w:val="0"/>
          <w:numId w:val="2"/>
        </w:numPr>
        <w:spacing w:after="80" w:line="276"/>
      </w:pPr>
      <w:r>
        <w:rPr>
          <w:rFonts w:ascii="Calibri" w:cs="Calibri" w:eastAsia="Calibri" w:hAnsi="Calibri"/>
          <w:sz w:val="22"/>
          <w:szCs w:val="22"/>
        </w:rPr>
        <w:t xml:space="preserve">The model returns a probability for each of the 20 crops.</w:t>
      </w:r>
    </w:p>
    <w:p>
      <w:pPr>
        <w:pStyle w:val="ListParagraph"/>
        <w:numPr>
          <w:ilvl w:val="0"/>
          <w:numId w:val="2"/>
        </w:numPr>
        <w:spacing w:after="80" w:line="276"/>
      </w:pPr>
      <w:r>
        <w:rPr>
          <w:rFonts w:ascii="Calibri" w:cs="Calibri" w:eastAsia="Calibri" w:hAnsi="Calibri"/>
          <w:sz w:val="22"/>
          <w:szCs w:val="22"/>
        </w:rPr>
        <w:t xml:space="preserve">The highest-probability crop is returned, along with its confidence and the ranked alternatives.</w:t>
      </w:r>
    </w:p>
    <w:p>
      <w:pPr>
        <w:pStyle w:val="Heading2"/>
        <w:spacing w:after="120" w:before="240"/>
      </w:pPr>
      <w:r>
        <w:rPr>
          <w:rFonts w:ascii="Calibri" w:cs="Calibri" w:eastAsia="Calibri" w:hAnsi="Calibri"/>
          <w:b/>
          <w:bCs/>
          <w:color w:val="1B3A1F"/>
          <w:sz w:val="25"/>
          <w:szCs w:val="25"/>
        </w:rPr>
        <w:t xml:space="preserve">A7.2 Unknown locations</w:t>
      </w:r>
    </w:p>
    <w:p>
      <w:pPr>
        <w:spacing w:after="120" w:line="276"/>
      </w:pPr>
      <w:r>
        <w:rPr>
          <w:rFonts w:ascii="Calibri" w:cs="Calibri" w:eastAsia="Calibri" w:hAnsi="Calibri"/>
          <w:sz w:val="22"/>
          <w:szCs w:val="22"/>
        </w:rPr>
        <w:t xml:space="preserve">A location outside the training set - a user abroad, or an unlisted district - previously fell back to whichever region sorted first alphabetically. In practice that meant a query from California was silently modelled as coastal Andhra Pradesh, producing confidently wrong results such as a chilli recommendation at 17 degrees.</w:t>
      </w:r>
    </w:p>
    <w:p>
      <w:pPr>
        <w:spacing w:after="120" w:line="276"/>
      </w:pPr>
      <w:r>
        <w:rPr>
          <w:rFonts w:ascii="Calibri" w:cs="Calibri" w:eastAsia="Calibri" w:hAnsi="Calibri"/>
          <w:sz w:val="22"/>
          <w:szCs w:val="22"/>
        </w:rPr>
        <w:t xml:space="preserve">The engine now marginalises the location out: it evaluates the input against every known region and averages the resulting distributions. This answers the correct question - what suits this climate - instead of assuming a region the user never specified.</w:t>
      </w:r>
    </w:p>
    <w:p>
      <w:pPr>
        <w:shd w:fill="F2F5F2" w:color="auto" w:val="clear"/>
        <w:spacing w:after="140" w:before="80"/>
      </w:pPr>
      <w:r>
        <w:rPr>
          <w:rFonts w:ascii="Consolas" w:cs="Consolas" w:eastAsia="Consolas" w:hAnsi="Consolas"/>
          <w:sz w:val="18"/>
          <w:szCs w:val="18"/>
        </w:rPr>
        <w:t xml:space="preserve">P(crop | climate) = (1 / N) * SUM over all known locations of P(crop | climate, location)</w:t>
      </w:r>
    </w:p>
    <w:p>
      <w:pPr>
        <w:pStyle w:val="Heading2"/>
        <w:spacing w:after="120" w:before="240"/>
      </w:pPr>
      <w:r>
        <w:rPr>
          <w:rFonts w:ascii="Calibri" w:cs="Calibri" w:eastAsia="Calibri" w:hAnsi="Calibri"/>
          <w:b/>
          <w:bCs/>
          <w:color w:val="1B3A1F"/>
          <w:sz w:val="25"/>
          <w:szCs w:val="25"/>
        </w:rPr>
        <w:t xml:space="preserve">A7.3 API surface</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300"/>
        <w:gridCol w:w="1400"/>
        <w:gridCol w:w="4700"/>
      </w:tblGrid>
      <w:tr>
        <w:trPr>
          <w:tblHeader/>
        </w:trPr>
        <w:tc>
          <w:tcPr>
            <w:tcW w:type="dxa" w:w="23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Endpoint</w:t>
            </w:r>
          </w:p>
        </w:tc>
        <w:tc>
          <w:tcPr>
            <w:tcW w:type="dxa" w:w="14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Method</w:t>
            </w:r>
          </w:p>
        </w:tc>
        <w:tc>
          <w:tcPr>
            <w:tcW w:type="dxa" w:w="47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c>
          <w:tcPr>
            <w:tcW w:type="dxa" w:w="2300"/>
            <w:tcMar>
              <w:top w:type="dxa" w:w="70"/>
              <w:left w:type="dxa" w:w="110"/>
              <w:bottom w:type="dxa" w:w="70"/>
              <w:right w:type="dxa" w:w="110"/>
            </w:tcMar>
          </w:tcPr>
          <w:p>
            <w:pPr>
              <w:spacing w:after="0"/>
            </w:pPr>
            <w:r>
              <w:rPr>
                <w:rFonts w:ascii="Consolas" w:cs="Consolas" w:eastAsia="Consolas" w:hAnsi="Consolas"/>
                <w:sz w:val="19"/>
                <w:szCs w:val="19"/>
              </w:rPr>
              <w:t xml:space="preserve">/predict</w:t>
            </w:r>
          </w:p>
        </w:tc>
        <w:tc>
          <w:tcPr>
            <w:tcW w:type="dxa" w:w="1400"/>
            <w:tcMar>
              <w:top w:type="dxa" w:w="70"/>
              <w:left w:type="dxa" w:w="110"/>
              <w:bottom w:type="dxa" w:w="70"/>
              <w:right w:type="dxa" w:w="110"/>
            </w:tcMar>
          </w:tcPr>
          <w:p>
            <w:pPr>
              <w:spacing w:after="0"/>
            </w:pPr>
            <w:r>
              <w:rPr>
                <w:rFonts w:ascii="Calibri" w:cs="Calibri" w:eastAsia="Calibri" w:hAnsi="Calibri"/>
                <w:sz w:val="19"/>
                <w:szCs w:val="19"/>
              </w:rPr>
              <w:t xml:space="preserve">POST</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Single best crop with confidence</w:t>
            </w:r>
          </w:p>
        </w:tc>
      </w:tr>
      <w:tr>
        <w:tc>
          <w:tcPr>
            <w:tcW w:type="dxa" w:w="2300"/>
            <w:tcMar>
              <w:top w:type="dxa" w:w="70"/>
              <w:left w:type="dxa" w:w="110"/>
              <w:bottom w:type="dxa" w:w="70"/>
              <w:right w:type="dxa" w:w="110"/>
            </w:tcMar>
          </w:tcPr>
          <w:p>
            <w:pPr>
              <w:spacing w:after="0"/>
            </w:pPr>
            <w:r>
              <w:rPr>
                <w:rFonts w:ascii="Consolas" w:cs="Consolas" w:eastAsia="Consolas" w:hAnsi="Consolas"/>
                <w:sz w:val="19"/>
                <w:szCs w:val="19"/>
              </w:rPr>
              <w:t xml:space="preserve">/predict/top</w:t>
            </w:r>
          </w:p>
        </w:tc>
        <w:tc>
          <w:tcPr>
            <w:tcW w:type="dxa" w:w="1400"/>
            <w:tcMar>
              <w:top w:type="dxa" w:w="70"/>
              <w:left w:type="dxa" w:w="110"/>
              <w:bottom w:type="dxa" w:w="70"/>
              <w:right w:type="dxa" w:w="110"/>
            </w:tcMar>
          </w:tcPr>
          <w:p>
            <w:pPr>
              <w:spacing w:after="0"/>
            </w:pPr>
            <w:r>
              <w:rPr>
                <w:rFonts w:ascii="Calibri" w:cs="Calibri" w:eastAsia="Calibri" w:hAnsi="Calibri"/>
                <w:sz w:val="19"/>
                <w:szCs w:val="19"/>
              </w:rPr>
              <w:t xml:space="preserve">POST</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Top-N ranked crops above a 1 % threshold</w:t>
            </w:r>
          </w:p>
        </w:tc>
      </w:tr>
      <w:tr>
        <w:tc>
          <w:tcPr>
            <w:tcW w:type="dxa" w:w="2300"/>
            <w:tcMar>
              <w:top w:type="dxa" w:w="70"/>
              <w:left w:type="dxa" w:w="110"/>
              <w:bottom w:type="dxa" w:w="70"/>
              <w:right w:type="dxa" w:w="110"/>
            </w:tcMar>
          </w:tcPr>
          <w:p>
            <w:pPr>
              <w:spacing w:after="0"/>
            </w:pPr>
            <w:r>
              <w:rPr>
                <w:rFonts w:ascii="Consolas" w:cs="Consolas" w:eastAsia="Consolas" w:hAnsi="Consolas"/>
                <w:sz w:val="19"/>
                <w:szCs w:val="19"/>
              </w:rPr>
              <w:t xml:space="preserve">/crops</w:t>
            </w:r>
          </w:p>
        </w:tc>
        <w:tc>
          <w:tcPr>
            <w:tcW w:type="dxa" w:w="1400"/>
            <w:tcMar>
              <w:top w:type="dxa" w:w="70"/>
              <w:left w:type="dxa" w:w="110"/>
              <w:bottom w:type="dxa" w:w="70"/>
              <w:right w:type="dxa" w:w="110"/>
            </w:tcMar>
          </w:tcPr>
          <w:p>
            <w:pPr>
              <w:spacing w:after="0"/>
            </w:pPr>
            <w:r>
              <w:rPr>
                <w:rFonts w:ascii="Calibri" w:cs="Calibri" w:eastAsia="Calibri" w:hAnsi="Calibri"/>
                <w:sz w:val="19"/>
                <w:szCs w:val="19"/>
              </w:rPr>
              <w:t xml:space="preserve">GET</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All crops the model can predict</w:t>
            </w:r>
          </w:p>
        </w:tc>
      </w:tr>
      <w:tr>
        <w:tc>
          <w:tcPr>
            <w:tcW w:type="dxa" w:w="2300"/>
            <w:tcMar>
              <w:top w:type="dxa" w:w="70"/>
              <w:left w:type="dxa" w:w="110"/>
              <w:bottom w:type="dxa" w:w="70"/>
              <w:right w:type="dxa" w:w="110"/>
            </w:tcMar>
          </w:tcPr>
          <w:p>
            <w:pPr>
              <w:spacing w:after="0"/>
            </w:pPr>
            <w:r>
              <w:rPr>
                <w:rFonts w:ascii="Consolas" w:cs="Consolas" w:eastAsia="Consolas" w:hAnsi="Consolas"/>
                <w:sz w:val="19"/>
                <w:szCs w:val="19"/>
              </w:rPr>
              <w:t xml:space="preserve">/locations</w:t>
            </w:r>
          </w:p>
        </w:tc>
        <w:tc>
          <w:tcPr>
            <w:tcW w:type="dxa" w:w="1400"/>
            <w:tcMar>
              <w:top w:type="dxa" w:w="70"/>
              <w:left w:type="dxa" w:w="110"/>
              <w:bottom w:type="dxa" w:w="70"/>
              <w:right w:type="dxa" w:w="110"/>
            </w:tcMar>
          </w:tcPr>
          <w:p>
            <w:pPr>
              <w:spacing w:after="0"/>
            </w:pPr>
            <w:r>
              <w:rPr>
                <w:rFonts w:ascii="Calibri" w:cs="Calibri" w:eastAsia="Calibri" w:hAnsi="Calibri"/>
                <w:sz w:val="19"/>
                <w:szCs w:val="19"/>
              </w:rPr>
              <w:t xml:space="preserve">GET</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All regions known to the encoder</w:t>
            </w:r>
          </w:p>
        </w:tc>
      </w:tr>
      <w:tr>
        <w:tc>
          <w:tcPr>
            <w:tcW w:type="dxa" w:w="2300"/>
            <w:tcMar>
              <w:top w:type="dxa" w:w="70"/>
              <w:left w:type="dxa" w:w="110"/>
              <w:bottom w:type="dxa" w:w="70"/>
              <w:right w:type="dxa" w:w="110"/>
            </w:tcMar>
          </w:tcPr>
          <w:p>
            <w:pPr>
              <w:spacing w:after="0"/>
            </w:pPr>
            <w:r>
              <w:rPr>
                <w:rFonts w:ascii="Consolas" w:cs="Consolas" w:eastAsia="Consolas" w:hAnsi="Consolas"/>
                <w:sz w:val="19"/>
                <w:szCs w:val="19"/>
              </w:rPr>
              <w:t xml:space="preserve">/health</w:t>
            </w:r>
          </w:p>
        </w:tc>
        <w:tc>
          <w:tcPr>
            <w:tcW w:type="dxa" w:w="1400"/>
            <w:tcMar>
              <w:top w:type="dxa" w:w="70"/>
              <w:left w:type="dxa" w:w="110"/>
              <w:bottom w:type="dxa" w:w="70"/>
              <w:right w:type="dxa" w:w="110"/>
            </w:tcMar>
          </w:tcPr>
          <w:p>
            <w:pPr>
              <w:spacing w:after="0"/>
            </w:pPr>
            <w:r>
              <w:rPr>
                <w:rFonts w:ascii="Calibri" w:cs="Calibri" w:eastAsia="Calibri" w:hAnsi="Calibri"/>
                <w:sz w:val="19"/>
                <w:szCs w:val="19"/>
              </w:rPr>
              <w:t xml:space="preserve">GET</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Service and model load status</w:t>
            </w:r>
          </w:p>
        </w:tc>
      </w:tr>
    </w:tbl>
    <w:p>
      <w:pPr>
        <w:pStyle w:val="Heading1"/>
        <w:spacing w:after="160" w:before="320"/>
      </w:pPr>
      <w:r>
        <w:rPr>
          <w:rFonts w:ascii="Calibri" w:cs="Calibri" w:eastAsia="Calibri" w:hAnsi="Calibri"/>
          <w:b/>
          <w:bCs/>
          <w:color w:val="2E7D32"/>
          <w:sz w:val="30"/>
          <w:szCs w:val="30"/>
        </w:rPr>
        <w:t xml:space="preserve">A8. Client Integration</w:t>
      </w:r>
    </w:p>
    <w:p>
      <w:pPr>
        <w:spacing w:after="120" w:line="276"/>
      </w:pPr>
      <w:r>
        <w:rPr>
          <w:rFonts w:ascii="Calibri" w:cs="Calibri" w:eastAsia="Calibri" w:hAnsi="Calibri"/>
          <w:sz w:val="22"/>
          <w:szCs w:val="22"/>
        </w:rPr>
        <w:t xml:space="preserve">The mobile client is written to degrade rather than fail. Three behaviours matter:</w:t>
      </w:r>
    </w:p>
    <w:p>
      <w:pPr>
        <w:pStyle w:val="ListParagraph"/>
        <w:numPr>
          <w:ilvl w:val="0"/>
          <w:numId w:val="2"/>
        </w:numPr>
        <w:spacing w:after="80" w:line="276"/>
      </w:pPr>
      <w:r>
        <w:rPr>
          <w:rFonts w:ascii="Calibri" w:cs="Calibri" w:eastAsia="Calibri" w:hAnsi="Calibri"/>
          <w:sz w:val="22"/>
          <w:szCs w:val="22"/>
        </w:rPr>
        <w:t xml:space="preserve">Endpoint resolution - debug builds probe for a local service first and fall back to the cloud deployment; release builds always use the cloud.</w:t>
      </w:r>
    </w:p>
    <w:p>
      <w:pPr>
        <w:pStyle w:val="ListParagraph"/>
        <w:numPr>
          <w:ilvl w:val="0"/>
          <w:numId w:val="2"/>
        </w:numPr>
        <w:spacing w:after="80" w:line="276"/>
      </w:pPr>
      <w:r>
        <w:rPr>
          <w:rFonts w:ascii="Calibri" w:cs="Calibri" w:eastAsia="Calibri" w:hAnsi="Calibri"/>
          <w:sz w:val="22"/>
          <w:szCs w:val="22"/>
        </w:rPr>
        <w:t xml:space="preserve">Cold-start tolerance - the hosting tier suspends the service after roughly 15 minutes of inactivity, and waking it takes 50 to 60 seconds. The request budget is 90 seconds, and the interface states that the first request may be slow, so a legitimate wait is not mistaken for a failure.</w:t>
      </w:r>
    </w:p>
    <w:p>
      <w:pPr>
        <w:pStyle w:val="ListParagraph"/>
        <w:numPr>
          <w:ilvl w:val="0"/>
          <w:numId w:val="2"/>
        </w:numPr>
        <w:spacing w:after="80" w:line="276"/>
      </w:pPr>
      <w:r>
        <w:rPr>
          <w:rFonts w:ascii="Calibri" w:cs="Calibri" w:eastAsia="Calibri" w:hAnsi="Calibri"/>
          <w:sz w:val="22"/>
          <w:szCs w:val="22"/>
        </w:rPr>
        <w:t xml:space="preserve">Offline fallback - if the service cannot be reached at all, the application falls back to a bundled crop dataset so the screen remains useful rather than empty.</w:t>
      </w:r>
    </w:p>
    <w:p>
      <w:pPr>
        <w:pStyle w:val="Heading1"/>
        <w:spacing w:after="160" w:before="320"/>
      </w:pPr>
      <w:r>
        <w:rPr>
          <w:rFonts w:ascii="Calibri" w:cs="Calibri" w:eastAsia="Calibri" w:hAnsi="Calibri"/>
          <w:b/>
          <w:bCs/>
          <w:color w:val="2E7D32"/>
          <w:sz w:val="30"/>
          <w:szCs w:val="30"/>
        </w:rPr>
        <w:t xml:space="preserve">A9. Results</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3400"/>
        <w:gridCol w:w="2400"/>
        <w:gridCol w:w="2600"/>
      </w:tblGrid>
      <w:tr>
        <w:trPr>
          <w:tblHeader/>
        </w:trPr>
        <w:tc>
          <w:tcPr>
            <w:tcW w:type="dxa" w:w="34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24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c>
          <w:tcPr>
            <w:tcW w:type="dxa" w:w="26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Note</w:t>
            </w:r>
          </w:p>
        </w:tc>
      </w:tr>
      <w:tr>
        <w:tc>
          <w:tcPr>
            <w:tcW w:type="dxa" w:w="3400"/>
            <w:tcMar>
              <w:top w:type="dxa" w:w="70"/>
              <w:left w:type="dxa" w:w="110"/>
              <w:bottom w:type="dxa" w:w="70"/>
              <w:right w:type="dxa" w:w="110"/>
            </w:tcMar>
          </w:tcPr>
          <w:p>
            <w:pPr>
              <w:spacing w:after="0"/>
            </w:pPr>
            <w:r>
              <w:rPr>
                <w:rFonts w:ascii="Calibri" w:cs="Calibri" w:eastAsia="Calibri" w:hAnsi="Calibri"/>
                <w:sz w:val="19"/>
                <w:szCs w:val="19"/>
              </w:rPr>
              <w:t xml:space="preserve">Test accuracy</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87.57 %</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Held-out 30,000 samples</w:t>
            </w:r>
          </w:p>
        </w:tc>
      </w:tr>
      <w:tr>
        <w:tc>
          <w:tcPr>
            <w:tcW w:type="dxa" w:w="3400"/>
            <w:tcMar>
              <w:top w:type="dxa" w:w="70"/>
              <w:left w:type="dxa" w:w="110"/>
              <w:bottom w:type="dxa" w:w="70"/>
              <w:right w:type="dxa" w:w="110"/>
            </w:tcMar>
          </w:tcPr>
          <w:p>
            <w:pPr>
              <w:spacing w:after="0"/>
            </w:pPr>
            <w:r>
              <w:rPr>
                <w:rFonts w:ascii="Calibri" w:cs="Calibri" w:eastAsia="Calibri" w:hAnsi="Calibri"/>
                <w:sz w:val="19"/>
                <w:szCs w:val="19"/>
              </w:rPr>
              <w:t xml:space="preserve">Cross-validation</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87.48 % +/- 0.13</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5-fold</w:t>
            </w:r>
          </w:p>
        </w:tc>
      </w:tr>
      <w:tr>
        <w:tc>
          <w:tcPr>
            <w:tcW w:type="dxa" w:w="3400"/>
            <w:tcMar>
              <w:top w:type="dxa" w:w="70"/>
              <w:left w:type="dxa" w:w="110"/>
              <w:bottom w:type="dxa" w:w="70"/>
              <w:right w:type="dxa" w:w="110"/>
            </w:tcMar>
          </w:tcPr>
          <w:p>
            <w:pPr>
              <w:spacing w:after="0"/>
            </w:pPr>
            <w:r>
              <w:rPr>
                <w:rFonts w:ascii="Calibri" w:cs="Calibri" w:eastAsia="Calibri" w:hAnsi="Calibri"/>
                <w:sz w:val="19"/>
                <w:szCs w:val="19"/>
              </w:rPr>
              <w:t xml:space="preserve">Model artifact</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26.7 MB</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Fits the 512 MB hosting limit</w:t>
            </w:r>
          </w:p>
        </w:tc>
      </w:tr>
      <w:tr>
        <w:tc>
          <w:tcPr>
            <w:tcW w:type="dxa" w:w="3400"/>
            <w:tcMar>
              <w:top w:type="dxa" w:w="70"/>
              <w:left w:type="dxa" w:w="110"/>
              <w:bottom w:type="dxa" w:w="70"/>
              <w:right w:type="dxa" w:w="110"/>
            </w:tcMar>
          </w:tcPr>
          <w:p>
            <w:pPr>
              <w:spacing w:after="0"/>
            </w:pPr>
            <w:r>
              <w:rPr>
                <w:rFonts w:ascii="Calibri" w:cs="Calibri" w:eastAsia="Calibri" w:hAnsi="Calibri"/>
                <w:sz w:val="19"/>
                <w:szCs w:val="19"/>
              </w:rPr>
              <w:t xml:space="preserve">Inference latency</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~0.9 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Warm service, end to end</w:t>
            </w:r>
          </w:p>
        </w:tc>
      </w:tr>
      <w:tr>
        <w:tc>
          <w:tcPr>
            <w:tcW w:type="dxa" w:w="3400"/>
            <w:tcMar>
              <w:top w:type="dxa" w:w="70"/>
              <w:left w:type="dxa" w:w="110"/>
              <w:bottom w:type="dxa" w:w="70"/>
              <w:right w:type="dxa" w:w="110"/>
            </w:tcMar>
          </w:tcPr>
          <w:p>
            <w:pPr>
              <w:spacing w:after="0"/>
            </w:pPr>
            <w:r>
              <w:rPr>
                <w:rFonts w:ascii="Calibri" w:cs="Calibri" w:eastAsia="Calibri" w:hAnsi="Calibri"/>
                <w:sz w:val="19"/>
                <w:szCs w:val="19"/>
              </w:rPr>
              <w:t xml:space="preserve">Cold-start latency</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50-60 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After idle suspension</w:t>
            </w:r>
          </w:p>
        </w:tc>
      </w:tr>
      <w:tr>
        <w:tc>
          <w:tcPr>
            <w:tcW w:type="dxa" w:w="3400"/>
            <w:tcMar>
              <w:top w:type="dxa" w:w="70"/>
              <w:left w:type="dxa" w:w="110"/>
              <w:bottom w:type="dxa" w:w="70"/>
              <w:right w:type="dxa" w:w="110"/>
            </w:tcMar>
          </w:tcPr>
          <w:p>
            <w:pPr>
              <w:spacing w:after="0"/>
            </w:pPr>
            <w:r>
              <w:rPr>
                <w:rFonts w:ascii="Calibri" w:cs="Calibri" w:eastAsia="Calibri" w:hAnsi="Calibri"/>
                <w:sz w:val="19"/>
                <w:szCs w:val="19"/>
              </w:rPr>
              <w:t xml:space="preserve">Classes</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20 crops</w:t>
            </w:r>
          </w:p>
        </w:tc>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Across 19 regions</w:t>
            </w:r>
          </w:p>
        </w:tc>
      </w:tr>
    </w:tbl>
    <w:p>
      <w:pPr>
        <w:pStyle w:val="Heading2"/>
        <w:spacing w:after="120" w:before="240"/>
      </w:pPr>
      <w:r>
        <w:rPr>
          <w:rFonts w:ascii="Calibri" w:cs="Calibri" w:eastAsia="Calibri" w:hAnsi="Calibri"/>
          <w:b/>
          <w:bCs/>
          <w:color w:val="1B3A1F"/>
          <w:sz w:val="25"/>
          <w:szCs w:val="25"/>
        </w:rPr>
        <w:t xml:space="preserve">A9.1 Accuracy ceiling</w:t>
      </w:r>
    </w:p>
    <w:p>
      <w:pPr>
        <w:spacing w:after="120" w:line="276"/>
      </w:pPr>
      <w:r>
        <w:rPr>
          <w:rFonts w:ascii="Calibri" w:cs="Calibri" w:eastAsia="Calibri" w:hAnsi="Calibri"/>
          <w:sz w:val="22"/>
          <w:szCs w:val="22"/>
        </w:rPr>
        <w:t xml:space="preserve">The residual 12 percent error is dominated by genuine label ambiguity, not model capacity. At 22 degrees, 60 percent humidity in April, four crops are all legitimately suitable, yet the training formulation permits only one correct answer. Any single-label classifier is therefore bounded near 88 percent on this data regardless of algorithm.</w:t>
      </w:r>
    </w:p>
    <w:p>
      <w:pPr>
        <w:spacing w:after="120" w:line="276"/>
      </w:pPr>
      <w:r>
        <w:rPr>
          <w:rFonts w:ascii="Calibri" w:cs="Calibri" w:eastAsia="Calibri" w:hAnsi="Calibri"/>
          <w:i/>
          <w:iCs/>
          <w:sz w:val="22"/>
          <w:szCs w:val="22"/>
        </w:rPr>
        <w:t xml:space="preserve">This is why the interface presents ranked alternatives alongside the top prediction. The additional candidates are not padding - they are the other agronomically valid answers the single-label metric is forced to score as wrong.</w:t>
      </w:r>
    </w:p>
    <w:p>
      <w:pPr>
        <w:pStyle w:val="Heading1"/>
        <w:spacing w:after="160" w:before="320"/>
      </w:pPr>
      <w:r>
        <w:rPr>
          <w:rFonts w:ascii="Calibri" w:cs="Calibri" w:eastAsia="Calibri" w:hAnsi="Calibri"/>
          <w:b/>
          <w:bCs/>
          <w:color w:val="2E7D32"/>
          <w:sz w:val="30"/>
          <w:szCs w:val="30"/>
        </w:rPr>
        <w:t xml:space="preserve">A10. Limitations</w:t>
      </w:r>
    </w:p>
    <w:p>
      <w:pPr>
        <w:pStyle w:val="ListParagraph"/>
        <w:numPr>
          <w:ilvl w:val="0"/>
          <w:numId w:val="2"/>
        </w:numPr>
        <w:spacing w:after="80" w:line="276"/>
      </w:pPr>
      <w:r>
        <w:rPr>
          <w:rFonts w:ascii="Calibri" w:cs="Calibri" w:eastAsia="Calibri" w:hAnsi="Calibri"/>
          <w:sz w:val="22"/>
          <w:szCs w:val="22"/>
        </w:rPr>
        <w:t xml:space="preserve">Training data is synthesised from expert-defined profiles rather than measured field outcomes, so accuracy reflects fidelity to those profiles, not verified yield.</w:t>
      </w:r>
    </w:p>
    <w:p>
      <w:pPr>
        <w:pStyle w:val="ListParagraph"/>
        <w:numPr>
          <w:ilvl w:val="0"/>
          <w:numId w:val="2"/>
        </w:numPr>
        <w:spacing w:after="80" w:line="276"/>
      </w:pPr>
      <w:r>
        <w:rPr>
          <w:rFonts w:ascii="Calibri" w:cs="Calibri" w:eastAsia="Calibri" w:hAnsi="Calibri"/>
          <w:sz w:val="22"/>
          <w:szCs w:val="22"/>
        </w:rPr>
        <w:t xml:space="preserve">Coverage is limited to 20 crops and 19 Indian regions.</w:t>
      </w:r>
    </w:p>
    <w:p>
      <w:pPr>
        <w:pStyle w:val="ListParagraph"/>
        <w:numPr>
          <w:ilvl w:val="0"/>
          <w:numId w:val="2"/>
        </w:numPr>
        <w:spacing w:after="80" w:line="276"/>
      </w:pPr>
      <w:r>
        <w:rPr>
          <w:rFonts w:ascii="Calibri" w:cs="Calibri" w:eastAsia="Calibri" w:hAnsi="Calibri"/>
          <w:sz w:val="22"/>
          <w:szCs w:val="22"/>
        </w:rPr>
        <w:t xml:space="preserve">Climate outside the profiled envelopes requires extrapolation, where confidence is correspondingly lower.</w:t>
      </w:r>
    </w:p>
    <w:p>
      <w:pPr>
        <w:pStyle w:val="ListParagraph"/>
        <w:numPr>
          <w:ilvl w:val="0"/>
          <w:numId w:val="2"/>
        </w:numPr>
        <w:spacing w:after="80" w:line="276"/>
      </w:pPr>
      <w:r>
        <w:rPr>
          <w:rFonts w:ascii="Calibri" w:cs="Calibri" w:eastAsia="Calibri" w:hAnsi="Calibri"/>
          <w:sz w:val="22"/>
          <w:szCs w:val="22"/>
        </w:rPr>
        <w:t xml:space="preserve">Soil pH, nutrient concentration and market price are not model inputs; they are surfaced separately in the application.</w:t>
      </w:r>
    </w:p>
    <w:p>
      <w:pPr>
        <w:pStyle w:val="ListParagraph"/>
        <w:numPr>
          <w:ilvl w:val="0"/>
          <w:numId w:val="2"/>
        </w:numPr>
        <w:spacing w:after="80" w:line="276"/>
      </w:pPr>
      <w:r>
        <w:rPr>
          <w:rFonts w:ascii="Calibri" w:cs="Calibri" w:eastAsia="Calibri" w:hAnsi="Calibri"/>
          <w:sz w:val="22"/>
          <w:szCs w:val="22"/>
        </w:rPr>
        <w:t xml:space="preserve">The model has no temporal memory - each prediction is independent, with no notion of a growing season in progress.</w:t>
      </w:r>
    </w:p>
    <w:p>
      <w:r>
        <w:br w:type="page"/>
      </w:r>
    </w:p>
    <w:p>
      <w:pPr>
        <w:spacing w:after="200"/>
      </w:pPr>
      <w:r>
        <w:rPr>
          <w:rFonts w:ascii="Calibri" w:cs="Calibri" w:eastAsia="Calibri" w:hAnsi="Calibri"/>
          <w:b/>
          <w:bCs/>
          <w:color w:val="2E7D32"/>
          <w:sz w:val="32"/>
          <w:szCs w:val="32"/>
        </w:rPr>
        <w:t xml:space="preserve">PART B - APPLICATION FEATURES</w:t>
      </w:r>
    </w:p>
    <w:p>
      <w:pPr>
        <w:pBdr>
          <w:bottom w:val="single" w:color="D4AF37" w:sz="6"/>
        </w:pBdr>
        <w:spacing w:after="200"/>
      </w:pPr>
    </w:p>
    <w:p>
      <w:pPr>
        <w:spacing w:after="120" w:line="276"/>
      </w:pPr>
      <w:r>
        <w:rPr>
          <w:rFonts w:ascii="Calibri" w:cs="Calibri" w:eastAsia="Calibri" w:hAnsi="Calibri"/>
          <w:sz w:val="22"/>
          <w:szCs w:val="22"/>
        </w:rPr>
        <w:t xml:space="preserve">Each feature below was verified by direct interaction on a Pixel 6 emulator running Android 14, not by code inspection.</w:t>
      </w:r>
    </w:p>
    <w:p>
      <w:pPr>
        <w:pStyle w:val="Heading1"/>
        <w:spacing w:after="160" w:before="320"/>
      </w:pPr>
      <w:r>
        <w:rPr>
          <w:rFonts w:ascii="Calibri" w:cs="Calibri" w:eastAsia="Calibri" w:hAnsi="Calibri"/>
          <w:b/>
          <w:bCs/>
          <w:color w:val="2E7D32"/>
          <w:sz w:val="30"/>
          <w:szCs w:val="30"/>
        </w:rPr>
        <w:t xml:space="preserve">B1. Authentication and Session</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900"/>
        <w:gridCol w:w="5500"/>
      </w:tblGrid>
      <w:tr>
        <w:trPr>
          <w:tblHeader/>
        </w:trPr>
        <w:tc>
          <w:tcPr>
            <w:tcW w:type="dxa" w:w="29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Feature</w:t>
            </w:r>
          </w:p>
        </w:tc>
        <w:tc>
          <w:tcPr>
            <w:tcW w:type="dxa" w:w="55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Description</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Animated splash</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Branded launch screen with logo and version, shown during Firebase initialisation</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Email / password sign-in</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Firebase Authentication; session persists across app restarts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Account registration</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New account creation with validation</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Demo mode</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Full interface access without credentials, for evaluation</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Sign out</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Clears session and returns to login</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Bilingual toggle</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English and Hindi across the entire interface, switchable at any time</w:t>
            </w:r>
          </w:p>
        </w:tc>
      </w:tr>
    </w:tbl>
    <w:p>
      <w:pPr>
        <w:pStyle w:val="Heading1"/>
        <w:spacing w:after="160" w:before="320"/>
      </w:pPr>
      <w:r>
        <w:rPr>
          <w:rFonts w:ascii="Calibri" w:cs="Calibri" w:eastAsia="Calibri" w:hAnsi="Calibri"/>
          <w:b/>
          <w:bCs/>
          <w:color w:val="2E7D32"/>
          <w:sz w:val="30"/>
          <w:szCs w:val="30"/>
        </w:rPr>
        <w:t xml:space="preserve">B2. Guided Onboarding</w:t>
      </w:r>
    </w:p>
    <w:p>
      <w:pPr>
        <w:pStyle w:val="ListParagraph"/>
        <w:numPr>
          <w:ilvl w:val="0"/>
          <w:numId w:val="2"/>
        </w:numPr>
        <w:spacing w:after="80" w:line="276"/>
      </w:pPr>
      <w:r>
        <w:rPr>
          <w:rFonts w:ascii="Calibri" w:cs="Calibri" w:eastAsia="Calibri" w:hAnsi="Calibri"/>
          <w:sz w:val="22"/>
          <w:szCs w:val="22"/>
        </w:rPr>
        <w:t xml:space="preserve">Eleven-step interactive walkthrough introducing every module.</w:t>
      </w:r>
    </w:p>
    <w:p>
      <w:pPr>
        <w:pStyle w:val="ListParagraph"/>
        <w:numPr>
          <w:ilvl w:val="0"/>
          <w:numId w:val="2"/>
        </w:numPr>
        <w:spacing w:after="80" w:line="276"/>
      </w:pPr>
      <w:r>
        <w:rPr>
          <w:rFonts w:ascii="Calibri" w:cs="Calibri" w:eastAsia="Calibri" w:hAnsi="Calibri"/>
          <w:sz w:val="22"/>
          <w:szCs w:val="22"/>
        </w:rPr>
        <w:t xml:space="preserve">Animated mascot character with contextual expressions and gestures.</w:t>
      </w:r>
    </w:p>
    <w:p>
      <w:pPr>
        <w:pStyle w:val="ListParagraph"/>
        <w:numPr>
          <w:ilvl w:val="0"/>
          <w:numId w:val="2"/>
        </w:numPr>
        <w:spacing w:after="80" w:line="276"/>
      </w:pPr>
      <w:r>
        <w:rPr>
          <w:rFonts w:ascii="Calibri" w:cs="Calibri" w:eastAsia="Calibri" w:hAnsi="Calibri"/>
          <w:sz w:val="22"/>
          <w:szCs w:val="22"/>
        </w:rPr>
        <w:t xml:space="preserve">Spotlight highlighting that dims the screen and draws attention to the element being described.</w:t>
      </w:r>
    </w:p>
    <w:p>
      <w:pPr>
        <w:pStyle w:val="ListParagraph"/>
        <w:numPr>
          <w:ilvl w:val="0"/>
          <w:numId w:val="2"/>
        </w:numPr>
        <w:spacing w:after="80" w:line="276"/>
      </w:pPr>
      <w:r>
        <w:rPr>
          <w:rFonts w:ascii="Calibri" w:cs="Calibri" w:eastAsia="Calibri" w:hAnsi="Calibri"/>
          <w:sz w:val="22"/>
          <w:szCs w:val="22"/>
        </w:rPr>
        <w:t xml:space="preserve">Complete Hindi translation of every step, not only the interface chrome.</w:t>
      </w:r>
    </w:p>
    <w:p>
      <w:pPr>
        <w:pStyle w:val="ListParagraph"/>
        <w:numPr>
          <w:ilvl w:val="0"/>
          <w:numId w:val="2"/>
        </w:numPr>
        <w:spacing w:after="80" w:line="276"/>
      </w:pPr>
      <w:r>
        <w:rPr>
          <w:rFonts w:ascii="Calibri" w:cs="Calibri" w:eastAsia="Calibri" w:hAnsi="Calibri"/>
          <w:sz w:val="22"/>
          <w:szCs w:val="22"/>
        </w:rPr>
        <w:t xml:space="preserve">Re-launchable at any time from a floating help button.</w:t>
      </w:r>
    </w:p>
    <w:p>
      <w:pPr>
        <w:pStyle w:val="ListParagraph"/>
        <w:numPr>
          <w:ilvl w:val="0"/>
          <w:numId w:val="2"/>
        </w:numPr>
        <w:spacing w:after="80" w:line="276"/>
      </w:pPr>
      <w:r>
        <w:rPr>
          <w:rFonts w:ascii="Calibri" w:cs="Calibri" w:eastAsia="Calibri" w:hAnsi="Calibri"/>
          <w:sz w:val="22"/>
          <w:szCs w:val="22"/>
        </w:rPr>
        <w:t xml:space="preserve">Completion is persisted, so the tour does not repeat on every launch.</w:t>
      </w:r>
    </w:p>
    <w:p>
      <w:pPr>
        <w:pStyle w:val="Heading1"/>
        <w:spacing w:after="160" w:before="320"/>
      </w:pPr>
      <w:r>
        <w:rPr>
          <w:rFonts w:ascii="Calibri" w:cs="Calibri" w:eastAsia="Calibri" w:hAnsi="Calibri"/>
          <w:b/>
          <w:bCs/>
          <w:color w:val="2E7D32"/>
          <w:sz w:val="30"/>
          <w:szCs w:val="30"/>
        </w:rPr>
        <w:t xml:space="preserve">B3. Home Dashboard</w:t>
      </w:r>
    </w:p>
    <w:p>
      <w:pPr>
        <w:pStyle w:val="Heading2"/>
        <w:spacing w:after="120" w:before="240"/>
      </w:pPr>
      <w:r>
        <w:rPr>
          <w:rFonts w:ascii="Calibri" w:cs="Calibri" w:eastAsia="Calibri" w:hAnsi="Calibri"/>
          <w:b/>
          <w:bCs/>
          <w:color w:val="1B3A1F"/>
          <w:sz w:val="25"/>
          <w:szCs w:val="25"/>
        </w:rPr>
        <w:t xml:space="preserve">B3.1 Live market ticker</w:t>
      </w:r>
    </w:p>
    <w:p>
      <w:pPr>
        <w:spacing w:after="120" w:line="276"/>
      </w:pPr>
      <w:r>
        <w:rPr>
          <w:rFonts w:ascii="Calibri" w:cs="Calibri" w:eastAsia="Calibri" w:hAnsi="Calibri"/>
          <w:sz w:val="22"/>
          <w:szCs w:val="22"/>
        </w:rPr>
        <w:t xml:space="preserve">A continuously scrolling two-row ticker showing real commodity prices with direction and source.</w:t>
      </w:r>
    </w:p>
    <w:p>
      <w:pPr>
        <w:pStyle w:val="ListParagraph"/>
        <w:numPr>
          <w:ilvl w:val="0"/>
          <w:numId w:val="2"/>
        </w:numPr>
        <w:spacing w:after="80" w:line="276"/>
      </w:pPr>
      <w:r>
        <w:rPr>
          <w:rFonts w:ascii="Calibri" w:cs="Calibri" w:eastAsia="Calibri" w:hAnsi="Calibri"/>
          <w:sz w:val="22"/>
          <w:szCs w:val="22"/>
        </w:rPr>
        <w:t xml:space="preserve">Domestic row: Indian APMC mandi prices, for example Tomato Rs 38.0 at Azadpur Mandi with percentage change.</w:t>
      </w:r>
    </w:p>
    <w:p>
      <w:pPr>
        <w:pStyle w:val="ListParagraph"/>
        <w:numPr>
          <w:ilvl w:val="0"/>
          <w:numId w:val="2"/>
        </w:numPr>
        <w:spacing w:after="80" w:line="276"/>
      </w:pPr>
      <w:r>
        <w:rPr>
          <w:rFonts w:ascii="Calibri" w:cs="Calibri" w:eastAsia="Calibri" w:hAnsi="Calibri"/>
          <w:sz w:val="22"/>
          <w:szCs w:val="22"/>
        </w:rPr>
        <w:t xml:space="preserve">International row: global commodity prices in USD, for example Corn, Soybean, Cotton, Sugar.</w:t>
      </w:r>
    </w:p>
    <w:p>
      <w:pPr>
        <w:pStyle w:val="ListParagraph"/>
        <w:numPr>
          <w:ilvl w:val="0"/>
          <w:numId w:val="2"/>
        </w:numPr>
        <w:spacing w:after="80" w:line="276"/>
      </w:pPr>
      <w:r>
        <w:rPr>
          <w:rFonts w:ascii="Calibri" w:cs="Calibri" w:eastAsia="Calibri" w:hAnsi="Calibri"/>
          <w:sz w:val="22"/>
          <w:szCs w:val="22"/>
        </w:rPr>
        <w:t xml:space="preserve">Colour-coded movement, green for gains and red for losses, with the originating market named.</w:t>
      </w:r>
    </w:p>
    <w:p>
      <w:pPr>
        <w:pStyle w:val="Heading2"/>
        <w:spacing w:after="120" w:before="240"/>
      </w:pPr>
      <w:r>
        <w:rPr>
          <w:rFonts w:ascii="Calibri" w:cs="Calibri" w:eastAsia="Calibri" w:hAnsi="Calibri"/>
          <w:b/>
          <w:bCs/>
          <w:color w:val="1B3A1F"/>
          <w:sz w:val="25"/>
          <w:szCs w:val="25"/>
        </w:rPr>
        <w:t xml:space="preserve">B3.2 Live pH card</w:t>
      </w:r>
    </w:p>
    <w:p>
      <w:pPr>
        <w:spacing w:after="120" w:line="276"/>
      </w:pPr>
      <w:r>
        <w:rPr>
          <w:rFonts w:ascii="Calibri" w:cs="Calibri" w:eastAsia="Calibri" w:hAnsi="Calibri"/>
          <w:sz w:val="22"/>
          <w:szCs w:val="22"/>
        </w:rPr>
        <w:t xml:space="preserve">Real-time readout streamed from the paired ESP32 sensing node. Detailed in Part B section B9.</w:t>
      </w:r>
    </w:p>
    <w:p>
      <w:pPr>
        <w:pStyle w:val="Heading2"/>
        <w:spacing w:after="120" w:before="240"/>
      </w:pPr>
      <w:r>
        <w:rPr>
          <w:rFonts w:ascii="Calibri" w:cs="Calibri" w:eastAsia="Calibri" w:hAnsi="Calibri"/>
          <w:b/>
          <w:bCs/>
          <w:color w:val="1B3A1F"/>
          <w:sz w:val="25"/>
          <w:szCs w:val="25"/>
        </w:rPr>
        <w:t xml:space="preserve">B3.3 Feature grid and navigation</w:t>
      </w:r>
    </w:p>
    <w:p>
      <w:pPr>
        <w:pStyle w:val="ListParagraph"/>
        <w:numPr>
          <w:ilvl w:val="0"/>
          <w:numId w:val="2"/>
        </w:numPr>
        <w:spacing w:after="80" w:line="276"/>
      </w:pPr>
      <w:r>
        <w:rPr>
          <w:rFonts w:ascii="Calibri" w:cs="Calibri" w:eastAsia="Calibri" w:hAnsi="Calibri"/>
          <w:sz w:val="22"/>
          <w:szCs w:val="22"/>
        </w:rPr>
        <w:t xml:space="preserve">Six module cards with Warli folk-art motifs, each with icon, title and subtitle.</w:t>
      </w:r>
    </w:p>
    <w:p>
      <w:pPr>
        <w:pStyle w:val="ListParagraph"/>
        <w:numPr>
          <w:ilvl w:val="0"/>
          <w:numId w:val="2"/>
        </w:numPr>
        <w:spacing w:after="80" w:line="276"/>
      </w:pPr>
      <w:r>
        <w:rPr>
          <w:rFonts w:ascii="Calibri" w:cs="Calibri" w:eastAsia="Calibri" w:hAnsi="Calibri"/>
          <w:sz w:val="22"/>
          <w:szCs w:val="22"/>
        </w:rPr>
        <w:t xml:space="preserve">Side drawer with profile, six destinations, language toggle and sign out.</w:t>
      </w:r>
    </w:p>
    <w:p>
      <w:pPr>
        <w:pStyle w:val="ListParagraph"/>
        <w:numPr>
          <w:ilvl w:val="0"/>
          <w:numId w:val="2"/>
        </w:numPr>
        <w:spacing w:after="80" w:line="276"/>
      </w:pPr>
      <w:r>
        <w:rPr>
          <w:rFonts w:ascii="Calibri" w:cs="Calibri" w:eastAsia="Calibri" w:hAnsi="Calibri"/>
          <w:sz w:val="22"/>
          <w:szCs w:val="22"/>
        </w:rPr>
        <w:t xml:space="preserve">Profile header showing name, Kisan ID and region.</w:t>
      </w:r>
    </w:p>
    <w:p>
      <w:pPr>
        <w:pStyle w:val="Heading1"/>
        <w:spacing w:after="160" w:before="320"/>
      </w:pPr>
      <w:r>
        <w:rPr>
          <w:rFonts w:ascii="Calibri" w:cs="Calibri" w:eastAsia="Calibri" w:hAnsi="Calibri"/>
          <w:b/>
          <w:bCs/>
          <w:color w:val="2E7D32"/>
          <w:sz w:val="30"/>
          <w:szCs w:val="30"/>
        </w:rPr>
        <w:t xml:space="preserve">B4. Crop Advisor</w:t>
      </w:r>
    </w:p>
    <w:p>
      <w:pPr>
        <w:pStyle w:val="Heading2"/>
        <w:spacing w:after="120" w:before="240"/>
      </w:pPr>
      <w:r>
        <w:rPr>
          <w:rFonts w:ascii="Calibri" w:cs="Calibri" w:eastAsia="Calibri" w:hAnsi="Calibri"/>
          <w:b/>
          <w:bCs/>
          <w:color w:val="1B3A1F"/>
          <w:sz w:val="25"/>
          <w:szCs w:val="25"/>
        </w:rPr>
        <w:t xml:space="preserve">B4.1 Live environmental conditions</w:t>
      </w:r>
    </w:p>
    <w:p>
      <w:pPr>
        <w:pStyle w:val="ListParagraph"/>
        <w:numPr>
          <w:ilvl w:val="0"/>
          <w:numId w:val="2"/>
        </w:numPr>
        <w:spacing w:after="80" w:line="276"/>
      </w:pPr>
      <w:r>
        <w:rPr>
          <w:rFonts w:ascii="Calibri" w:cs="Calibri" w:eastAsia="Calibri" w:hAnsi="Calibri"/>
          <w:sz w:val="22"/>
          <w:szCs w:val="22"/>
        </w:rPr>
        <w:t xml:space="preserve">GPS position acquired through the device location service, with permission handling.</w:t>
      </w:r>
    </w:p>
    <w:p>
      <w:pPr>
        <w:pStyle w:val="ListParagraph"/>
        <w:numPr>
          <w:ilvl w:val="0"/>
          <w:numId w:val="2"/>
        </w:numPr>
        <w:spacing w:after="80" w:line="276"/>
      </w:pPr>
      <w:r>
        <w:rPr>
          <w:rFonts w:ascii="Calibri" w:cs="Calibri" w:eastAsia="Calibri" w:hAnsi="Calibri"/>
          <w:sz w:val="22"/>
          <w:szCs w:val="22"/>
        </w:rPr>
        <w:t xml:space="preserve">Reverse geocoding to a human-readable place name.</w:t>
      </w:r>
    </w:p>
    <w:p>
      <w:pPr>
        <w:pStyle w:val="ListParagraph"/>
        <w:numPr>
          <w:ilvl w:val="0"/>
          <w:numId w:val="2"/>
        </w:numPr>
        <w:spacing w:after="80" w:line="276"/>
      </w:pPr>
      <w:r>
        <w:rPr>
          <w:rFonts w:ascii="Calibri" w:cs="Calibri" w:eastAsia="Calibri" w:hAnsi="Calibri"/>
          <w:sz w:val="22"/>
          <w:szCs w:val="22"/>
        </w:rPr>
        <w:t xml:space="preserve">Live weather from the Open-Meteo service: temperature and relative humidity.</w:t>
      </w:r>
    </w:p>
    <w:p>
      <w:pPr>
        <w:pStyle w:val="ListParagraph"/>
        <w:numPr>
          <w:ilvl w:val="0"/>
          <w:numId w:val="2"/>
        </w:numPr>
        <w:spacing w:after="80" w:line="276"/>
      </w:pPr>
      <w:r>
        <w:rPr>
          <w:rFonts w:ascii="Calibri" w:cs="Calibri" w:eastAsia="Calibri" w:hAnsi="Calibri"/>
          <w:sz w:val="22"/>
          <w:szCs w:val="22"/>
        </w:rPr>
        <w:t xml:space="preserve">Current soil pH displayed alongside, with manual refresh.</w:t>
      </w:r>
    </w:p>
    <w:p>
      <w:pPr>
        <w:pStyle w:val="Heading2"/>
        <w:spacing w:after="120" w:before="240"/>
      </w:pPr>
      <w:r>
        <w:rPr>
          <w:rFonts w:ascii="Calibri" w:cs="Calibri" w:eastAsia="Calibri" w:hAnsi="Calibri"/>
          <w:b/>
          <w:bCs/>
          <w:color w:val="1B3A1F"/>
          <w:sz w:val="25"/>
          <w:szCs w:val="25"/>
        </w:rPr>
        <w:t xml:space="preserve">B4.2 AI recommendation</w:t>
      </w:r>
    </w:p>
    <w:p>
      <w:pPr>
        <w:pStyle w:val="ListParagraph"/>
        <w:numPr>
          <w:ilvl w:val="0"/>
          <w:numId w:val="2"/>
        </w:numPr>
        <w:spacing w:after="80" w:line="276"/>
      </w:pPr>
      <w:r>
        <w:rPr>
          <w:rFonts w:ascii="Calibri" w:cs="Calibri" w:eastAsia="Calibri" w:hAnsi="Calibri"/>
          <w:sz w:val="22"/>
          <w:szCs w:val="22"/>
        </w:rPr>
        <w:t xml:space="preserve">Single-tap request to the ML engine described in Part A.</w:t>
      </w:r>
    </w:p>
    <w:p>
      <w:pPr>
        <w:pStyle w:val="ListParagraph"/>
        <w:numPr>
          <w:ilvl w:val="0"/>
          <w:numId w:val="2"/>
        </w:numPr>
        <w:spacing w:after="80" w:line="276"/>
      </w:pPr>
      <w:r>
        <w:rPr>
          <w:rFonts w:ascii="Calibri" w:cs="Calibri" w:eastAsia="Calibri" w:hAnsi="Calibri"/>
          <w:sz w:val="22"/>
          <w:szCs w:val="22"/>
        </w:rPr>
        <w:t xml:space="preserve">Primary recommendation with confidence percentage and a proportional confidence bar.</w:t>
      </w:r>
    </w:p>
    <w:p>
      <w:pPr>
        <w:pStyle w:val="ListParagraph"/>
        <w:numPr>
          <w:ilvl w:val="0"/>
          <w:numId w:val="2"/>
        </w:numPr>
        <w:spacing w:after="80" w:line="276"/>
      </w:pPr>
      <w:r>
        <w:rPr>
          <w:rFonts w:ascii="Calibri" w:cs="Calibri" w:eastAsia="Calibri" w:hAnsi="Calibri"/>
          <w:sz w:val="22"/>
          <w:szCs w:val="22"/>
        </w:rPr>
        <w:t xml:space="preserve">Ranked alternative crops, each with its own probability.</w:t>
      </w:r>
    </w:p>
    <w:p>
      <w:pPr>
        <w:pStyle w:val="ListParagraph"/>
        <w:numPr>
          <w:ilvl w:val="0"/>
          <w:numId w:val="2"/>
        </w:numPr>
        <w:spacing w:after="80" w:line="276"/>
      </w:pPr>
      <w:r>
        <w:rPr>
          <w:rFonts w:ascii="Calibri" w:cs="Calibri" w:eastAsia="Calibri" w:hAnsi="Calibri"/>
          <w:sz w:val="22"/>
          <w:szCs w:val="22"/>
        </w:rPr>
        <w:t xml:space="preserve">The region actually used for the prediction is stated, so the basis of the answer is visible.</w:t>
      </w:r>
    </w:p>
    <w:p>
      <w:pPr>
        <w:pStyle w:val="ListParagraph"/>
        <w:numPr>
          <w:ilvl w:val="0"/>
          <w:numId w:val="2"/>
        </w:numPr>
        <w:spacing w:after="80" w:line="276"/>
      </w:pPr>
      <w:r>
        <w:rPr>
          <w:rFonts w:ascii="Calibri" w:cs="Calibri" w:eastAsia="Calibri" w:hAnsi="Calibri"/>
          <w:sz w:val="22"/>
          <w:szCs w:val="22"/>
        </w:rPr>
        <w:t xml:space="preserve">Predict Again re-runs against refreshed conditions.</w:t>
      </w:r>
    </w:p>
    <w:p>
      <w:pPr>
        <w:pStyle w:val="Heading2"/>
        <w:spacing w:after="120" w:before="240"/>
      </w:pPr>
      <w:r>
        <w:rPr>
          <w:rFonts w:ascii="Calibri" w:cs="Calibri" w:eastAsia="Calibri" w:hAnsi="Calibri"/>
          <w:b/>
          <w:bCs/>
          <w:color w:val="1B3A1F"/>
          <w:sz w:val="25"/>
          <w:szCs w:val="25"/>
        </w:rPr>
        <w:t xml:space="preserve">B4.3 Crop catalogue, search and filtering</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900"/>
        <w:gridCol w:w="5500"/>
      </w:tblGrid>
      <w:tr>
        <w:trPr>
          <w:tblHeader/>
        </w:trPr>
        <w:tc>
          <w:tcPr>
            <w:tcW w:type="dxa" w:w="29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Filter</w:t>
            </w:r>
          </w:p>
        </w:tc>
        <w:tc>
          <w:tcPr>
            <w:tcW w:type="dxa" w:w="55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Options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Hydroponic technique</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NFT, DWC, Drip, Aeroponics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Growing season</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Spring, Summer, Autumn, Winter, Year-round</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Growth duration</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Continuous slider, 0 to 180 days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Profit margin</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Continuous slider, 0 to 100 percent</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Difficulty</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Beginner through Expert</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Market demand</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Low through Very High</w:t>
            </w:r>
          </w:p>
        </w:tc>
      </w:tr>
    </w:tbl>
    <w:p>
      <w:pPr>
        <w:spacing w:after="100"/>
      </w:pPr>
    </w:p>
    <w:p>
      <w:pPr>
        <w:pStyle w:val="ListParagraph"/>
        <w:numPr>
          <w:ilvl w:val="0"/>
          <w:numId w:val="2"/>
        </w:numPr>
        <w:spacing w:after="80" w:line="276"/>
      </w:pPr>
      <w:r>
        <w:rPr>
          <w:rFonts w:ascii="Calibri" w:cs="Calibri" w:eastAsia="Calibri" w:hAnsi="Calibri"/>
          <w:sz w:val="22"/>
          <w:szCs w:val="22"/>
        </w:rPr>
        <w:t xml:space="preserve">Free-text search across crop names.</w:t>
      </w:r>
    </w:p>
    <w:p>
      <w:pPr>
        <w:pStyle w:val="ListParagraph"/>
        <w:numPr>
          <w:ilvl w:val="0"/>
          <w:numId w:val="2"/>
        </w:numPr>
        <w:spacing w:after="80" w:line="276"/>
      </w:pPr>
      <w:r>
        <w:rPr>
          <w:rFonts w:ascii="Calibri" w:cs="Calibri" w:eastAsia="Calibri" w:hAnsi="Calibri"/>
          <w:sz w:val="22"/>
          <w:szCs w:val="22"/>
        </w:rPr>
        <w:t xml:space="preserve">Each card shows risk level, days to harvest, profit margin and water requirement.</w:t>
      </w:r>
    </w:p>
    <w:p>
      <w:pPr>
        <w:pStyle w:val="ListParagraph"/>
        <w:numPr>
          <w:ilvl w:val="0"/>
          <w:numId w:val="2"/>
        </w:numPr>
        <w:spacing w:after="80" w:line="276"/>
      </w:pPr>
      <w:r>
        <w:rPr>
          <w:rFonts w:ascii="Calibri" w:cs="Calibri" w:eastAsia="Calibri" w:hAnsi="Calibri"/>
          <w:sz w:val="22"/>
          <w:szCs w:val="22"/>
        </w:rPr>
        <w:t xml:space="preserve">An empty result set offers a clear route back rather than a dead end.</w:t>
      </w:r>
    </w:p>
    <w:p>
      <w:pPr>
        <w:pStyle w:val="Heading2"/>
        <w:spacing w:after="120" w:before="240"/>
      </w:pPr>
      <w:r>
        <w:rPr>
          <w:rFonts w:ascii="Calibri" w:cs="Calibri" w:eastAsia="Calibri" w:hAnsi="Calibri"/>
          <w:b/>
          <w:bCs/>
          <w:color w:val="1B3A1F"/>
          <w:sz w:val="25"/>
          <w:szCs w:val="25"/>
        </w:rPr>
        <w:t xml:space="preserve">B4.4 Crop detail</w:t>
      </w:r>
    </w:p>
    <w:p>
      <w:pPr>
        <w:pStyle w:val="ListParagraph"/>
        <w:numPr>
          <w:ilvl w:val="0"/>
          <w:numId w:val="2"/>
        </w:numPr>
        <w:spacing w:after="80" w:line="276"/>
      </w:pPr>
      <w:r>
        <w:rPr>
          <w:rFonts w:ascii="Calibri" w:cs="Calibri" w:eastAsia="Calibri" w:hAnsi="Calibri"/>
          <w:sz w:val="22"/>
          <w:szCs w:val="22"/>
        </w:rPr>
        <w:t xml:space="preserve">Hero header with crop imagery and classification tags.</w:t>
      </w:r>
    </w:p>
    <w:p>
      <w:pPr>
        <w:pStyle w:val="ListParagraph"/>
        <w:numPr>
          <w:ilvl w:val="0"/>
          <w:numId w:val="2"/>
        </w:numPr>
        <w:spacing w:after="80" w:line="276"/>
      </w:pPr>
      <w:r>
        <w:rPr>
          <w:rFonts w:ascii="Calibri" w:cs="Calibri" w:eastAsia="Calibri" w:hAnsi="Calibri"/>
          <w:sz w:val="22"/>
          <w:szCs w:val="22"/>
        </w:rPr>
        <w:t xml:space="preserve">Six headline metrics: ROI, profit margin, days to harvest, yield per square metre, revenue per ten square metres, and break-even point.</w:t>
      </w:r>
    </w:p>
    <w:p>
      <w:pPr>
        <w:pStyle w:val="ListParagraph"/>
        <w:numPr>
          <w:ilvl w:val="0"/>
          <w:numId w:val="2"/>
        </w:numPr>
        <w:spacing w:after="80" w:line="276"/>
      </w:pPr>
      <w:r>
        <w:rPr>
          <w:rFonts w:ascii="Calibri" w:cs="Calibri" w:eastAsia="Calibri" w:hAnsi="Calibri"/>
          <w:sz w:val="22"/>
          <w:szCs w:val="22"/>
        </w:rPr>
        <w:t xml:space="preserve">Four tabbed sections: Financial, Growth, Conditions and Information.</w:t>
      </w:r>
    </w:p>
    <w:p>
      <w:pPr>
        <w:pStyle w:val="ListParagraph"/>
        <w:numPr>
          <w:ilvl w:val="0"/>
          <w:numId w:val="2"/>
        </w:numPr>
        <w:spacing w:after="80" w:line="276"/>
      </w:pPr>
      <w:r>
        <w:rPr>
          <w:rFonts w:ascii="Calibri" w:cs="Calibri" w:eastAsia="Calibri" w:hAnsi="Calibri"/>
          <w:sz w:val="22"/>
          <w:szCs w:val="22"/>
        </w:rPr>
        <w:t xml:space="preserve">Twelve-month revenue against cost bar chart.</w:t>
      </w:r>
    </w:p>
    <w:p>
      <w:pPr>
        <w:pStyle w:val="ListParagraph"/>
        <w:numPr>
          <w:ilvl w:val="0"/>
          <w:numId w:val="2"/>
        </w:numPr>
        <w:spacing w:after="80" w:line="276"/>
      </w:pPr>
      <w:r>
        <w:rPr>
          <w:rFonts w:ascii="Calibri" w:cs="Calibri" w:eastAsia="Calibri" w:hAnsi="Calibri"/>
          <w:sz w:val="22"/>
          <w:szCs w:val="22"/>
        </w:rPr>
        <w:t xml:space="preserve">Cumulative ROI line chart across the same period.</w:t>
      </w:r>
    </w:p>
    <w:p>
      <w:pPr>
        <w:pStyle w:val="ListParagraph"/>
        <w:numPr>
          <w:ilvl w:val="0"/>
          <w:numId w:val="2"/>
        </w:numPr>
        <w:spacing w:after="80" w:line="276"/>
      </w:pPr>
      <w:r>
        <w:rPr>
          <w:rFonts w:ascii="Calibri" w:cs="Calibri" w:eastAsia="Calibri" w:hAnsi="Calibri"/>
          <w:sz w:val="22"/>
          <w:szCs w:val="22"/>
        </w:rPr>
        <w:t xml:space="preserve">Profit breakdown pie chart and price comparison table.</w:t>
      </w:r>
    </w:p>
    <w:p>
      <w:pPr>
        <w:pStyle w:val="ListParagraph"/>
        <w:numPr>
          <w:ilvl w:val="0"/>
          <w:numId w:val="2"/>
        </w:numPr>
        <w:spacing w:after="80" w:line="276"/>
      </w:pPr>
      <w:r>
        <w:rPr>
          <w:rFonts w:ascii="Calibri" w:cs="Calibri" w:eastAsia="Calibri" w:hAnsi="Calibri"/>
          <w:sz w:val="22"/>
          <w:szCs w:val="22"/>
        </w:rPr>
        <w:t xml:space="preserve">Start Growing action that registers the crop with the growth tracker.</w:t>
      </w:r>
    </w:p>
    <w:p>
      <w:pPr>
        <w:pStyle w:val="Heading1"/>
        <w:spacing w:after="160" w:before="320"/>
      </w:pPr>
      <w:r>
        <w:rPr>
          <w:rFonts w:ascii="Calibri" w:cs="Calibri" w:eastAsia="Calibri" w:hAnsi="Calibri"/>
          <w:b/>
          <w:bCs/>
          <w:color w:val="2E7D32"/>
          <w:sz w:val="30"/>
          <w:szCs w:val="30"/>
        </w:rPr>
        <w:t xml:space="preserve">B5. Marketplace</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900"/>
        <w:gridCol w:w="5500"/>
      </w:tblGrid>
      <w:tr>
        <w:trPr>
          <w:tblHeader/>
        </w:trPr>
        <w:tc>
          <w:tcPr>
            <w:tcW w:type="dxa" w:w="29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Feature</w:t>
            </w:r>
          </w:p>
        </w:tc>
        <w:tc>
          <w:tcPr>
            <w:tcW w:type="dxa" w:w="55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Description</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Catalogue</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37 products spanning six categories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Categories</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All, Nutrients, Monitoring, Lighting, Equipment, Seeds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Price filters</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Cheapest only, under Rs 999, Rs 1k-5k, Rs 5k+</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Sorting</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By price, rating or review count</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Search</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Free-text across product names and tags</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Product card</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Icon, vendor badge, name, tags, rating, review count, price</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Discounts</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Strike-through original price with percentage saved</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Cheapest badge</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Highlights the lowest-priced item in each category</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Vendor redirection</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Opens Amazon, Flipkart, Meesho or JioMart externally</w:t>
            </w:r>
          </w:p>
        </w:tc>
      </w:tr>
      <w:tr>
        <w:tc>
          <w:tcPr>
            <w:tcW w:type="dxa" w:w="2900"/>
            <w:tcMar>
              <w:top w:type="dxa" w:w="70"/>
              <w:left w:type="dxa" w:w="110"/>
              <w:bottom w:type="dxa" w:w="70"/>
              <w:right w:type="dxa" w:w="110"/>
            </w:tcMar>
          </w:tcPr>
          <w:p>
            <w:pPr>
              <w:spacing w:after="0"/>
            </w:pPr>
            <w:r>
              <w:rPr>
                <w:rFonts w:ascii="Calibri" w:cs="Calibri" w:eastAsia="Calibri" w:hAnsi="Calibri"/>
                <w:sz w:val="19"/>
                <w:szCs w:val="19"/>
              </w:rPr>
              <w:t xml:space="preserve">Alternatives</w:t>
            </w:r>
          </w:p>
        </w:tc>
        <w:tc>
          <w:tcPr>
            <w:tcW w:type="dxa" w:w="5500"/>
            <w:tcMar>
              <w:top w:type="dxa" w:w="70"/>
              <w:left w:type="dxa" w:w="110"/>
              <w:bottom w:type="dxa" w:w="70"/>
              <w:right w:type="dxa" w:w="110"/>
            </w:tcMar>
          </w:tcPr>
          <w:p>
            <w:pPr>
              <w:spacing w:after="0"/>
            </w:pPr>
            <w:r>
              <w:rPr>
                <w:rFonts w:ascii="Calibri" w:cs="Calibri" w:eastAsia="Calibri" w:hAnsi="Calibri"/>
                <w:sz w:val="19"/>
                <w:szCs w:val="19"/>
              </w:rPr>
              <w:t xml:space="preserve">Each product lists competing sellers for price comparison</w:t>
            </w:r>
          </w:p>
        </w:tc>
      </w:tr>
    </w:tbl>
    <w:p>
      <w:pPr>
        <w:pStyle w:val="Heading1"/>
        <w:spacing w:after="160" w:before="320"/>
      </w:pPr>
      <w:r>
        <w:rPr>
          <w:rFonts w:ascii="Calibri" w:cs="Calibri" w:eastAsia="Calibri" w:hAnsi="Calibri"/>
          <w:b/>
          <w:bCs/>
          <w:color w:val="2E7D32"/>
          <w:sz w:val="30"/>
          <w:szCs w:val="30"/>
        </w:rPr>
        <w:t xml:space="preserve">B6. Finance Hub</w:t>
      </w:r>
    </w:p>
    <w:p>
      <w:pPr>
        <w:spacing w:after="120" w:line="276"/>
      </w:pPr>
      <w:r>
        <w:rPr>
          <w:rFonts w:ascii="Calibri" w:cs="Calibri" w:eastAsia="Calibri" w:hAnsi="Calibri"/>
          <w:sz w:val="22"/>
          <w:szCs w:val="22"/>
        </w:rPr>
        <w:t xml:space="preserve">Five tabbed sections covering the financial lifecycle of a growing operation.</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200"/>
        <w:gridCol w:w="6200"/>
      </w:tblGrid>
      <w:tr>
        <w:trPr>
          <w:tblHeader/>
        </w:trPr>
        <w:tc>
          <w:tcPr>
            <w:tcW w:type="dxa" w:w="22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Tab</w:t>
            </w:r>
          </w:p>
        </w:tc>
        <w:tc>
          <w:tcPr>
            <w:tcW w:type="dxa" w:w="62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Contents</w:t>
            </w:r>
          </w:p>
        </w:tc>
      </w:tr>
      <w:tr>
        <w:tc>
          <w:tcPr>
            <w:tcW w:type="dxa" w:w="2200"/>
            <w:tcMar>
              <w:top w:type="dxa" w:w="70"/>
              <w:left w:type="dxa" w:w="110"/>
              <w:bottom w:type="dxa" w:w="70"/>
              <w:right w:type="dxa" w:w="110"/>
            </w:tcMar>
          </w:tcPr>
          <w:p>
            <w:pPr>
              <w:spacing w:after="0"/>
            </w:pPr>
            <w:r>
              <w:rPr>
                <w:rFonts w:ascii="Calibri" w:cs="Calibri" w:eastAsia="Calibri" w:hAnsi="Calibri"/>
                <w:sz w:val="19"/>
                <w:szCs w:val="19"/>
              </w:rPr>
              <w:t xml:space="preserve">Overview</w:t>
            </w:r>
          </w:p>
        </w:tc>
        <w:tc>
          <w:tcPr>
            <w:tcW w:type="dxa" w:w="6200"/>
            <w:tcMar>
              <w:top w:type="dxa" w:w="70"/>
              <w:left w:type="dxa" w:w="110"/>
              <w:bottom w:type="dxa" w:w="70"/>
              <w:right w:type="dxa" w:w="110"/>
            </w:tcMar>
          </w:tcPr>
          <w:p>
            <w:pPr>
              <w:spacing w:after="0"/>
            </w:pPr>
            <w:r>
              <w:rPr>
                <w:rFonts w:ascii="Calibri" w:cs="Calibri" w:eastAsia="Calibri" w:hAnsi="Calibri"/>
                <w:sz w:val="19"/>
                <w:szCs w:val="19"/>
              </w:rPr>
              <w:t xml:space="preserve">Income and expense summary, monthly breakdown, profit position</w:t>
            </w:r>
          </w:p>
        </w:tc>
      </w:tr>
      <w:tr>
        <w:tc>
          <w:tcPr>
            <w:tcW w:type="dxa" w:w="2200"/>
            <w:tcMar>
              <w:top w:type="dxa" w:w="70"/>
              <w:left w:type="dxa" w:w="110"/>
              <w:bottom w:type="dxa" w:w="70"/>
              <w:right w:type="dxa" w:w="110"/>
            </w:tcMar>
          </w:tcPr>
          <w:p>
            <w:pPr>
              <w:spacing w:after="0"/>
            </w:pPr>
            <w:r>
              <w:rPr>
                <w:rFonts w:ascii="Calibri" w:cs="Calibri" w:eastAsia="Calibri" w:hAnsi="Calibri"/>
                <w:sz w:val="19"/>
                <w:szCs w:val="19"/>
              </w:rPr>
              <w:t xml:space="preserve">Taxation</w:t>
            </w:r>
          </w:p>
        </w:tc>
        <w:tc>
          <w:tcPr>
            <w:tcW w:type="dxa" w:w="6200"/>
            <w:tcMar>
              <w:top w:type="dxa" w:w="70"/>
              <w:left w:type="dxa" w:w="110"/>
              <w:bottom w:type="dxa" w:w="70"/>
              <w:right w:type="dxa" w:w="110"/>
            </w:tcMar>
          </w:tcPr>
          <w:p>
            <w:pPr>
              <w:spacing w:after="0"/>
            </w:pPr>
            <w:r>
              <w:rPr>
                <w:rFonts w:ascii="Calibri" w:cs="Calibri" w:eastAsia="Calibri" w:hAnsi="Calibri"/>
                <w:sz w:val="19"/>
                <w:szCs w:val="19"/>
              </w:rPr>
              <w:t xml:space="preserve">GST and income tax computation with itemised sub-entries</w:t>
            </w:r>
          </w:p>
        </w:tc>
      </w:tr>
      <w:tr>
        <w:tc>
          <w:tcPr>
            <w:tcW w:type="dxa" w:w="2200"/>
            <w:tcMar>
              <w:top w:type="dxa" w:w="70"/>
              <w:left w:type="dxa" w:w="110"/>
              <w:bottom w:type="dxa" w:w="70"/>
              <w:right w:type="dxa" w:w="110"/>
            </w:tcMar>
          </w:tcPr>
          <w:p>
            <w:pPr>
              <w:spacing w:after="0"/>
            </w:pPr>
            <w:r>
              <w:rPr>
                <w:rFonts w:ascii="Calibri" w:cs="Calibri" w:eastAsia="Calibri" w:hAnsi="Calibri"/>
                <w:sz w:val="19"/>
                <w:szCs w:val="19"/>
              </w:rPr>
              <w:t xml:space="preserve">Loan / EMI</w:t>
            </w:r>
          </w:p>
        </w:tc>
        <w:tc>
          <w:tcPr>
            <w:tcW w:type="dxa" w:w="6200"/>
            <w:tcMar>
              <w:top w:type="dxa" w:w="70"/>
              <w:left w:type="dxa" w:w="110"/>
              <w:bottom w:type="dxa" w:w="70"/>
              <w:right w:type="dxa" w:w="110"/>
            </w:tcMar>
          </w:tcPr>
          <w:p>
            <w:pPr>
              <w:spacing w:after="0"/>
            </w:pPr>
            <w:r>
              <w:rPr>
                <w:rFonts w:ascii="Calibri" w:cs="Calibri" w:eastAsia="Calibri" w:hAnsi="Calibri"/>
                <w:sz w:val="19"/>
                <w:szCs w:val="19"/>
              </w:rPr>
              <w:t xml:space="preserve">Equated instalment calculator with amortisation schedule</w:t>
            </w:r>
          </w:p>
        </w:tc>
      </w:tr>
      <w:tr>
        <w:tc>
          <w:tcPr>
            <w:tcW w:type="dxa" w:w="2200"/>
            <w:tcMar>
              <w:top w:type="dxa" w:w="70"/>
              <w:left w:type="dxa" w:w="110"/>
              <w:bottom w:type="dxa" w:w="70"/>
              <w:right w:type="dxa" w:w="110"/>
            </w:tcMar>
          </w:tcPr>
          <w:p>
            <w:pPr>
              <w:spacing w:after="0"/>
            </w:pPr>
            <w:r>
              <w:rPr>
                <w:rFonts w:ascii="Calibri" w:cs="Calibri" w:eastAsia="Calibri" w:hAnsi="Calibri"/>
                <w:sz w:val="19"/>
                <w:szCs w:val="19"/>
              </w:rPr>
              <w:t xml:space="preserve">ROI</w:t>
            </w:r>
          </w:p>
        </w:tc>
        <w:tc>
          <w:tcPr>
            <w:tcW w:type="dxa" w:w="6200"/>
            <w:tcMar>
              <w:top w:type="dxa" w:w="70"/>
              <w:left w:type="dxa" w:w="110"/>
              <w:bottom w:type="dxa" w:w="70"/>
              <w:right w:type="dxa" w:w="110"/>
            </w:tcMar>
          </w:tcPr>
          <w:p>
            <w:pPr>
              <w:spacing w:after="0"/>
            </w:pPr>
            <w:r>
              <w:rPr>
                <w:rFonts w:ascii="Calibri" w:cs="Calibri" w:eastAsia="Calibri" w:hAnsi="Calibri"/>
                <w:sz w:val="19"/>
                <w:szCs w:val="19"/>
              </w:rPr>
              <w:t xml:space="preserve">Return on investment projection against recorded costs</w:t>
            </w:r>
          </w:p>
        </w:tc>
      </w:tr>
      <w:tr>
        <w:tc>
          <w:tcPr>
            <w:tcW w:type="dxa" w:w="2200"/>
            <w:tcMar>
              <w:top w:type="dxa" w:w="70"/>
              <w:left w:type="dxa" w:w="110"/>
              <w:bottom w:type="dxa" w:w="70"/>
              <w:right w:type="dxa" w:w="110"/>
            </w:tcMar>
          </w:tcPr>
          <w:p>
            <w:pPr>
              <w:spacing w:after="0"/>
            </w:pPr>
            <w:r>
              <w:rPr>
                <w:rFonts w:ascii="Calibri" w:cs="Calibri" w:eastAsia="Calibri" w:hAnsi="Calibri"/>
                <w:sz w:val="19"/>
                <w:szCs w:val="19"/>
              </w:rPr>
              <w:t xml:space="preserve">Budget</w:t>
            </w:r>
          </w:p>
        </w:tc>
        <w:tc>
          <w:tcPr>
            <w:tcW w:type="dxa" w:w="6200"/>
            <w:tcMar>
              <w:top w:type="dxa" w:w="70"/>
              <w:left w:type="dxa" w:w="110"/>
              <w:bottom w:type="dxa" w:w="70"/>
              <w:right w:type="dxa" w:w="110"/>
            </w:tcMar>
          </w:tcPr>
          <w:p>
            <w:pPr>
              <w:spacing w:after="0"/>
            </w:pPr>
            <w:r>
              <w:rPr>
                <w:rFonts w:ascii="Calibri" w:cs="Calibri" w:eastAsia="Calibri" w:hAnsi="Calibri"/>
                <w:sz w:val="19"/>
                <w:szCs w:val="19"/>
              </w:rPr>
              <w:t xml:space="preserve">Category-wise budget planning and variance tracking</w:t>
            </w:r>
          </w:p>
        </w:tc>
      </w:tr>
    </w:tbl>
    <w:p>
      <w:pPr>
        <w:pStyle w:val="Heading1"/>
        <w:spacing w:after="160" w:before="320"/>
      </w:pPr>
      <w:r>
        <w:rPr>
          <w:rFonts w:ascii="Calibri" w:cs="Calibri" w:eastAsia="Calibri" w:hAnsi="Calibri"/>
          <w:b/>
          <w:bCs/>
          <w:color w:val="2E7D32"/>
          <w:sz w:val="30"/>
          <w:szCs w:val="30"/>
        </w:rPr>
        <w:t xml:space="preserve">B7. Government Subsidies</w:t>
      </w:r>
    </w:p>
    <w:p>
      <w:pPr>
        <w:pStyle w:val="ListParagraph"/>
        <w:numPr>
          <w:ilvl w:val="0"/>
          <w:numId w:val="2"/>
        </w:numPr>
        <w:spacing w:after="80" w:line="276"/>
      </w:pPr>
      <w:r>
        <w:rPr>
          <w:rFonts w:ascii="Calibri" w:cs="Calibri" w:eastAsia="Calibri" w:hAnsi="Calibri"/>
          <w:sz w:val="22"/>
          <w:szCs w:val="22"/>
        </w:rPr>
        <w:t xml:space="preserve">Catalogue of eight central government schemes relevant to hydroponic growers.</w:t>
      </w:r>
    </w:p>
    <w:p>
      <w:pPr>
        <w:pStyle w:val="ListParagraph"/>
        <w:numPr>
          <w:ilvl w:val="0"/>
          <w:numId w:val="2"/>
        </w:numPr>
        <w:spacing w:after="80" w:line="276"/>
      </w:pPr>
      <w:r>
        <w:rPr>
          <w:rFonts w:ascii="Calibri" w:cs="Calibri" w:eastAsia="Calibri" w:hAnsi="Calibri"/>
          <w:sz w:val="22"/>
          <w:szCs w:val="22"/>
        </w:rPr>
        <w:t xml:space="preserve">Per-scheme detail: subsidy percentage, eligibility, required documents, administering ministry, application deadline and contact information.</w:t>
      </w:r>
    </w:p>
    <w:p>
      <w:pPr>
        <w:pStyle w:val="ListParagraph"/>
        <w:numPr>
          <w:ilvl w:val="0"/>
          <w:numId w:val="2"/>
        </w:numPr>
        <w:spacing w:after="80" w:line="276"/>
      </w:pPr>
      <w:r>
        <w:rPr>
          <w:rFonts w:ascii="Calibri" w:cs="Calibri" w:eastAsia="Calibri" w:hAnsi="Calibri"/>
          <w:sz w:val="22"/>
          <w:szCs w:val="22"/>
        </w:rPr>
        <w:t xml:space="preserve">Search across scheme names and descriptions.</w:t>
      </w:r>
    </w:p>
    <w:p>
      <w:pPr>
        <w:pStyle w:val="ListParagraph"/>
        <w:numPr>
          <w:ilvl w:val="0"/>
          <w:numId w:val="2"/>
        </w:numPr>
        <w:spacing w:after="80" w:line="276"/>
      </w:pPr>
      <w:r>
        <w:rPr>
          <w:rFonts w:ascii="Calibri" w:cs="Calibri" w:eastAsia="Calibri" w:hAnsi="Calibri"/>
          <w:sz w:val="22"/>
          <w:szCs w:val="22"/>
        </w:rPr>
        <w:t xml:space="preserve">Filtering by state and by category - Equipment, Training, Technology.</w:t>
      </w:r>
    </w:p>
    <w:p>
      <w:pPr>
        <w:pStyle w:val="ListParagraph"/>
        <w:numPr>
          <w:ilvl w:val="0"/>
          <w:numId w:val="2"/>
        </w:numPr>
        <w:spacing w:after="80" w:line="276"/>
      </w:pPr>
      <w:r>
        <w:rPr>
          <w:rFonts w:ascii="Calibri" w:cs="Calibri" w:eastAsia="Calibri" w:hAnsi="Calibri"/>
          <w:sz w:val="22"/>
          <w:szCs w:val="22"/>
        </w:rPr>
        <w:t xml:space="preserve">Subsidy calculator: enter an investment amount, select a scheme, and see the subsidy, net cost and total saving. Verified: Rs 100,000 at 60 percent yields Rs 60,000 subsidy and Rs 40,000 net cost.</w:t>
      </w:r>
    </w:p>
    <w:p>
      <w:pPr>
        <w:pStyle w:val="ListParagraph"/>
        <w:numPr>
          <w:ilvl w:val="0"/>
          <w:numId w:val="2"/>
        </w:numPr>
        <w:spacing w:after="80" w:line="276"/>
      </w:pPr>
      <w:r>
        <w:rPr>
          <w:rFonts w:ascii="Calibri" w:cs="Calibri" w:eastAsia="Calibri" w:hAnsi="Calibri"/>
          <w:sz w:val="22"/>
          <w:szCs w:val="22"/>
        </w:rPr>
        <w:t xml:space="preserve">Direct links to official government portals.</w:t>
      </w:r>
    </w:p>
    <w:p>
      <w:pPr>
        <w:spacing w:after="100"/>
      </w:pPr>
    </w:p>
    <w:p>
      <w:pPr>
        <w:spacing w:after="120" w:line="276"/>
      </w:pPr>
      <w:r>
        <w:rPr>
          <w:rFonts w:ascii="Calibri" w:cs="Calibri" w:eastAsia="Calibri" w:hAnsi="Calibri"/>
          <w:i/>
          <w:iCs/>
          <w:sz w:val="22"/>
          <w:szCs w:val="22"/>
        </w:rPr>
        <w:t xml:space="preserve">Schemes covered include PM KUSUM, PMKSY, National Horticulture Mission, RKVY-RAFTAAR, Per Drop More Crop, MIDH, Aatmanirbhar Bharat farm equipment support, and horticultural vegetable promotion.</w:t>
      </w:r>
    </w:p>
    <w:p>
      <w:pPr>
        <w:pStyle w:val="Heading1"/>
        <w:spacing w:after="160" w:before="320"/>
      </w:pPr>
      <w:r>
        <w:rPr>
          <w:rFonts w:ascii="Calibri" w:cs="Calibri" w:eastAsia="Calibri" w:hAnsi="Calibri"/>
          <w:b/>
          <w:bCs/>
          <w:color w:val="2E7D32"/>
          <w:sz w:val="30"/>
          <w:szCs w:val="30"/>
        </w:rPr>
        <w:t xml:space="preserve">B8. AI Advisory Assistant</w:t>
      </w:r>
    </w:p>
    <w:p>
      <w:pPr>
        <w:pStyle w:val="ListParagraph"/>
        <w:numPr>
          <w:ilvl w:val="0"/>
          <w:numId w:val="2"/>
        </w:numPr>
        <w:spacing w:after="80" w:line="276"/>
      </w:pPr>
      <w:r>
        <w:rPr>
          <w:rFonts w:ascii="Calibri" w:cs="Calibri" w:eastAsia="Calibri" w:hAnsi="Calibri"/>
          <w:sz w:val="22"/>
          <w:szCs w:val="22"/>
        </w:rPr>
        <w:t xml:space="preserve">Conversational interface for farming questions, backed by a large language model.</w:t>
      </w:r>
    </w:p>
    <w:p>
      <w:pPr>
        <w:pStyle w:val="ListParagraph"/>
        <w:numPr>
          <w:ilvl w:val="0"/>
          <w:numId w:val="2"/>
        </w:numPr>
        <w:spacing w:after="80" w:line="276"/>
      </w:pPr>
      <w:r>
        <w:rPr>
          <w:rFonts w:ascii="Calibri" w:cs="Calibri" w:eastAsia="Calibri" w:hAnsi="Calibri"/>
          <w:sz w:val="22"/>
          <w:szCs w:val="22"/>
        </w:rPr>
        <w:t xml:space="preserve">Retrieval-augmented generation: the query is first matched against a Firestore knowledge base, and retrieved passages are supplied to the model as context, so answers reflect project-specific data rather than generic knowledge.</w:t>
      </w:r>
    </w:p>
    <w:p>
      <w:pPr>
        <w:pStyle w:val="ListParagraph"/>
        <w:numPr>
          <w:ilvl w:val="0"/>
          <w:numId w:val="2"/>
        </w:numPr>
        <w:spacing w:after="80" w:line="276"/>
      </w:pPr>
      <w:r>
        <w:rPr>
          <w:rFonts w:ascii="Calibri" w:cs="Calibri" w:eastAsia="Calibri" w:hAnsi="Calibri"/>
          <w:sz w:val="22"/>
          <w:szCs w:val="22"/>
        </w:rPr>
        <w:t xml:space="preserve">Quick-topic chips for Nutrients, Crop Tips and Pest Control.</w:t>
      </w:r>
    </w:p>
    <w:p>
      <w:pPr>
        <w:pStyle w:val="ListParagraph"/>
        <w:numPr>
          <w:ilvl w:val="0"/>
          <w:numId w:val="2"/>
        </w:numPr>
        <w:spacing w:after="80" w:line="276"/>
      </w:pPr>
      <w:r>
        <w:rPr>
          <w:rFonts w:ascii="Calibri" w:cs="Calibri" w:eastAsia="Calibri" w:hAnsi="Calibri"/>
          <w:sz w:val="22"/>
          <w:szCs w:val="22"/>
        </w:rPr>
        <w:t xml:space="preserve">Responses render as formatted markdown - headings, bold, bullet lists and tables - rather than raw syntax.</w:t>
      </w:r>
    </w:p>
    <w:p>
      <w:pPr>
        <w:pStyle w:val="ListParagraph"/>
        <w:numPr>
          <w:ilvl w:val="0"/>
          <w:numId w:val="2"/>
        </w:numPr>
        <w:spacing w:after="80" w:line="276"/>
      </w:pPr>
      <w:r>
        <w:rPr>
          <w:rFonts w:ascii="Calibri" w:cs="Calibri" w:eastAsia="Calibri" w:hAnsi="Calibri"/>
          <w:sz w:val="22"/>
          <w:szCs w:val="22"/>
        </w:rPr>
        <w:t xml:space="preserve">Replies are selectable for copying.</w:t>
      </w:r>
    </w:p>
    <w:p>
      <w:pPr>
        <w:pStyle w:val="ListParagraph"/>
        <w:numPr>
          <w:ilvl w:val="0"/>
          <w:numId w:val="2"/>
        </w:numPr>
        <w:spacing w:after="80" w:line="276"/>
      </w:pPr>
      <w:r>
        <w:rPr>
          <w:rFonts w:ascii="Calibri" w:cs="Calibri" w:eastAsia="Calibri" w:hAnsi="Calibri"/>
          <w:sz w:val="22"/>
          <w:szCs w:val="22"/>
        </w:rPr>
        <w:t xml:space="preserve">Graceful degradation: with no API key configured, the assistant returns clear setup guidance instead of failing.</w:t>
      </w:r>
    </w:p>
    <w:p>
      <w:pPr>
        <w:pStyle w:val="Heading1"/>
        <w:spacing w:after="160" w:before="320"/>
      </w:pPr>
      <w:r>
        <w:rPr>
          <w:rFonts w:ascii="Calibri" w:cs="Calibri" w:eastAsia="Calibri" w:hAnsi="Calibri"/>
          <w:b/>
          <w:bCs/>
          <w:color w:val="2E7D32"/>
          <w:sz w:val="30"/>
          <w:szCs w:val="30"/>
        </w:rPr>
        <w:t xml:space="preserve">B9. Live pH Monitoring</w:t>
      </w:r>
    </w:p>
    <w:p>
      <w:pPr>
        <w:spacing w:after="120" w:line="276"/>
      </w:pPr>
      <w:r>
        <w:rPr>
          <w:rFonts w:ascii="Calibri" w:cs="Calibri" w:eastAsia="Calibri" w:hAnsi="Calibri"/>
          <w:sz w:val="22"/>
          <w:szCs w:val="22"/>
        </w:rPr>
        <w:t xml:space="preserve">Real-time telemetry from an ESP32 sensing node, streamed through Firebase Realtime Database.</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700"/>
        <w:gridCol w:w="5700"/>
      </w:tblGrid>
      <w:tr>
        <w:trPr>
          <w:tblHeader/>
        </w:trPr>
        <w:tc>
          <w:tcPr>
            <w:tcW w:type="dxa" w:w="27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Element</w:t>
            </w:r>
          </w:p>
        </w:tc>
        <w:tc>
          <w:tcPr>
            <w:tcW w:type="dxa" w:w="57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Behaviour</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Numeric reading</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Two-decimal pH value, colour-coded by band</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Status classification</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Acidic below 5.5; Optimal 5.5-6.5; Slightly Alkaline to 7.5; Alkaline above</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Visual scale</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Horizontal pH 4-9 gradient with a marker at the current value</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Corrective guidance</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States the required action for the current band</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Freshness</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Relative age of the last reading, updated every second</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Availability</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Device marked offline after 60 seconds of silence</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Device pairing</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Device identifier entered once and stored locally</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Demonstration override</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Manual value for showing interface states, labelled DEMO</w:t>
            </w:r>
          </w:p>
        </w:tc>
      </w:tr>
    </w:tbl>
    <w:p>
      <w:pPr>
        <w:spacing w:after="120"/>
      </w:pPr>
    </w:p>
    <w:p>
      <w:pPr>
        <w:spacing w:after="120" w:line="276"/>
      </w:pPr>
      <w:r>
        <w:rPr>
          <w:rFonts w:ascii="Calibri" w:cs="Calibri" w:eastAsia="Calibri" w:hAnsi="Calibri"/>
          <w:i/>
          <w:iCs/>
          <w:sz w:val="22"/>
          <w:szCs w:val="22"/>
        </w:rPr>
        <w:t xml:space="preserve">Silence is treated as information rather than absence. Because the node publishes on a fixed interval, a gap is itself evidence that the device lost power or connectivity, and the interface reports that instead of continuing to display a stale value as though it were current.</w:t>
      </w:r>
    </w:p>
    <w:p>
      <w:pPr>
        <w:pStyle w:val="Heading1"/>
        <w:spacing w:after="160" w:before="320"/>
      </w:pPr>
      <w:r>
        <w:rPr>
          <w:rFonts w:ascii="Calibri" w:cs="Calibri" w:eastAsia="Calibri" w:hAnsi="Calibri"/>
          <w:b/>
          <w:bCs/>
          <w:color w:val="2E7D32"/>
          <w:sz w:val="30"/>
          <w:szCs w:val="30"/>
        </w:rPr>
        <w:t xml:space="preserve">B10. Growth Tracker</w:t>
      </w:r>
    </w:p>
    <w:p>
      <w:pPr>
        <w:pStyle w:val="ListParagraph"/>
        <w:numPr>
          <w:ilvl w:val="0"/>
          <w:numId w:val="2"/>
        </w:numPr>
        <w:spacing w:after="80" w:line="276"/>
      </w:pPr>
      <w:r>
        <w:rPr>
          <w:rFonts w:ascii="Calibri" w:cs="Calibri" w:eastAsia="Calibri" w:hAnsi="Calibri"/>
          <w:sz w:val="22"/>
          <w:szCs w:val="22"/>
        </w:rPr>
        <w:t xml:space="preserve">Tracks the crop selected from the advisor through its growing cycle.</w:t>
      </w:r>
    </w:p>
    <w:p>
      <w:pPr>
        <w:pStyle w:val="ListParagraph"/>
        <w:numPr>
          <w:ilvl w:val="0"/>
          <w:numId w:val="2"/>
        </w:numPr>
        <w:spacing w:after="80" w:line="276"/>
      </w:pPr>
      <w:r>
        <w:rPr>
          <w:rFonts w:ascii="Calibri" w:cs="Calibri" w:eastAsia="Calibri" w:hAnsi="Calibri"/>
          <w:sz w:val="22"/>
          <w:szCs w:val="22"/>
        </w:rPr>
        <w:t xml:space="preserve">Milestone timeline across the crop's expected duration.</w:t>
      </w:r>
    </w:p>
    <w:p>
      <w:pPr>
        <w:pStyle w:val="ListParagraph"/>
        <w:numPr>
          <w:ilvl w:val="0"/>
          <w:numId w:val="2"/>
        </w:numPr>
        <w:spacing w:after="80" w:line="276"/>
      </w:pPr>
      <w:r>
        <w:rPr>
          <w:rFonts w:ascii="Calibri" w:cs="Calibri" w:eastAsia="Calibri" w:hAnsi="Calibri"/>
          <w:sz w:val="22"/>
          <w:szCs w:val="22"/>
        </w:rPr>
        <w:t xml:space="preserve">Empty state with a direct route into crop advisory when nothing is being grown.</w:t>
      </w:r>
    </w:p>
    <w:p>
      <w:pPr>
        <w:pStyle w:val="Heading1"/>
        <w:spacing w:after="160" w:before="320"/>
      </w:pPr>
      <w:r>
        <w:rPr>
          <w:rFonts w:ascii="Calibri" w:cs="Calibri" w:eastAsia="Calibri" w:hAnsi="Calibri"/>
          <w:b/>
          <w:bCs/>
          <w:color w:val="2E7D32"/>
          <w:sz w:val="30"/>
          <w:szCs w:val="30"/>
        </w:rPr>
        <w:t xml:space="preserve">B11. Profile and Settings</w:t>
      </w:r>
    </w:p>
    <w:p>
      <w:pPr>
        <w:pStyle w:val="ListParagraph"/>
        <w:numPr>
          <w:ilvl w:val="0"/>
          <w:numId w:val="2"/>
        </w:numPr>
        <w:spacing w:after="80" w:line="276"/>
      </w:pPr>
      <w:r>
        <w:rPr>
          <w:rFonts w:ascii="Calibri" w:cs="Calibri" w:eastAsia="Calibri" w:hAnsi="Calibri"/>
          <w:sz w:val="22"/>
          <w:szCs w:val="22"/>
        </w:rPr>
        <w:t xml:space="preserve">Farmer and company account types with differing fields.</w:t>
      </w:r>
    </w:p>
    <w:p>
      <w:pPr>
        <w:pStyle w:val="ListParagraph"/>
        <w:numPr>
          <w:ilvl w:val="0"/>
          <w:numId w:val="2"/>
        </w:numPr>
        <w:spacing w:after="80" w:line="276"/>
      </w:pPr>
      <w:r>
        <w:rPr>
          <w:rFonts w:ascii="Calibri" w:cs="Calibri" w:eastAsia="Calibri" w:hAnsi="Calibri"/>
          <w:sz w:val="22"/>
          <w:szCs w:val="22"/>
        </w:rPr>
        <w:t xml:space="preserve">Editable display name, state and contact details.</w:t>
      </w:r>
    </w:p>
    <w:p>
      <w:pPr>
        <w:pStyle w:val="ListParagraph"/>
        <w:numPr>
          <w:ilvl w:val="0"/>
          <w:numId w:val="2"/>
        </w:numPr>
        <w:spacing w:after="80" w:line="276"/>
      </w:pPr>
      <w:r>
        <w:rPr>
          <w:rFonts w:ascii="Calibri" w:cs="Calibri" w:eastAsia="Calibri" w:hAnsi="Calibri"/>
          <w:sz w:val="22"/>
          <w:szCs w:val="22"/>
        </w:rPr>
        <w:t xml:space="preserve">Language preference persisted across sessions.</w:t>
      </w:r>
    </w:p>
    <w:p>
      <w:pPr>
        <w:pStyle w:val="ListParagraph"/>
        <w:numPr>
          <w:ilvl w:val="0"/>
          <w:numId w:val="2"/>
        </w:numPr>
        <w:spacing w:after="80" w:line="276"/>
      </w:pPr>
      <w:r>
        <w:rPr>
          <w:rFonts w:ascii="Calibri" w:cs="Calibri" w:eastAsia="Calibri" w:hAnsi="Calibri"/>
          <w:sz w:val="22"/>
          <w:szCs w:val="22"/>
        </w:rPr>
        <w:t xml:space="preserve">In-app update notification with forced-update support for critical releases.</w:t>
      </w:r>
    </w:p>
    <w:p>
      <w:pPr>
        <w:pStyle w:val="Heading1"/>
        <w:spacing w:after="160" w:before="320"/>
      </w:pPr>
      <w:r>
        <w:rPr>
          <w:rFonts w:ascii="Calibri" w:cs="Calibri" w:eastAsia="Calibri" w:hAnsi="Calibri"/>
          <w:b/>
          <w:bCs/>
          <w:color w:val="2E7D32"/>
          <w:sz w:val="30"/>
          <w:szCs w:val="30"/>
        </w:rPr>
        <w:t xml:space="preserve">B12. Cross-Cutting Characteristics</w:t>
      </w:r>
    </w:p>
    <w:p>
      <w:pPr>
        <w:spacing w:after="60"/>
      </w:pPr>
    </w:p>
    <w:tbl>
      <w:tblPr>
        <w:tblW w:type="dxa" w:w="8400"/>
        <w:tblBorders>
          <w:top w:val="single" w:color="CFD8CF" w:sz="4"/>
          <w:left w:val="single" w:color="CFD8CF" w:sz="4"/>
          <w:bottom w:val="single" w:color="CFD8CF" w:sz="4"/>
          <w:right w:val="single" w:color="CFD8CF" w:sz="4"/>
          <w:insideH w:val="single" w:color="DDE5DD" w:sz="2"/>
          <w:insideV w:val="single" w:color="DDE5DD" w:sz="2"/>
        </w:tblBorders>
      </w:tblPr>
      <w:tblGrid>
        <w:gridCol w:w="2700"/>
        <w:gridCol w:w="5700"/>
      </w:tblGrid>
      <w:tr>
        <w:trPr>
          <w:tblHeader/>
        </w:trPr>
        <w:tc>
          <w:tcPr>
            <w:tcW w:type="dxa" w:w="27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Characteristic</w:t>
            </w:r>
          </w:p>
        </w:tc>
        <w:tc>
          <w:tcPr>
            <w:tcW w:type="dxa" w:w="5700"/>
            <w:shd w:fill="2E7D32"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Implementation</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State management</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Riverpod providers with reactive streams</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Offline resilience</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Bundled fallback datasets when a service is unreachable</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Error handling</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Specific, actionable messages rather than generic failures</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Bilingual support</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English and Hindi throughout, including tutorial content</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Visual identity</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Warli folk-art motifs, agri-themed palette, consistent card system</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Real-time data</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Firebase Realtime Database streaming with no polling</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Security</w:t>
            </w:r>
          </w:p>
        </w:tc>
        <w:tc>
          <w:tcPr>
            <w:tcW w:type="dxa" w:w="5700"/>
            <w:tcMar>
              <w:top w:type="dxa" w:w="70"/>
              <w:left w:type="dxa" w:w="110"/>
              <w:bottom w:type="dxa" w:w="70"/>
              <w:right w:type="dxa" w:w="110"/>
            </w:tcMar>
          </w:tcPr>
          <w:p>
            <w:pPr>
              <w:spacing w:after="0"/>
            </w:pPr>
            <w:r>
              <w:rPr>
                <w:rFonts w:ascii="Calibri" w:cs="Calibri" w:eastAsia="Calibri" w:hAnsi="Calibri"/>
                <w:sz w:val="19"/>
                <w:szCs w:val="19"/>
              </w:rPr>
              <w:t xml:space="preserve">Authenticated database rules; no credentials in the repository</w:t>
            </w:r>
          </w:p>
        </w:tc>
      </w:tr>
    </w:tbl>
    <w:p>
      <w:pPr>
        <w:spacing w:after="300"/>
      </w:pPr>
    </w:p>
    <w:p>
      <w:pPr>
        <w:pBdr>
          <w:bottom w:val="single" w:color="D4AF37" w:sz="6"/>
        </w:pBdr>
        <w:spacing w:after="200"/>
      </w:pPr>
    </w:p>
    <w:p>
      <w:pPr>
        <w:spacing w:after="120" w:line="276"/>
        <w:jc w:val="center"/>
      </w:pPr>
      <w:r>
        <w:rPr>
          <w:rFonts w:ascii="Calibri" w:cs="Calibri" w:eastAsia="Calibri" w:hAnsi="Calibri"/>
          <w:i/>
          <w:iCs/>
          <w:color w:val="5A6B5C"/>
          <w:sz w:val="19"/>
          <w:szCs w:val="19"/>
        </w:rPr>
        <w:t xml:space="preserve">All accuracy figures, feature importances and model sizes in Part A were produced by executing the training pipeline. All features in Part B were verified by direct interaction on the target device.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 Smart - ML Engine and Application Feature Report</dc:title>
  <dc:creator>Hydro Smart</dc:creator>
  <cp:lastModifiedBy>Un-named</cp:lastModifiedBy>
  <cp:revision>1</cp:revision>
  <dcterms:created xsi:type="dcterms:W3CDTF">2026-09-06T17:14:18.308Z</dcterms:created>
  <dcterms:modified xsi:type="dcterms:W3CDTF">2026-09-06T17:14:18.309Z</dcterms:modified>
</cp:coreProperties>
</file>

<file path=docProps/custom.xml><?xml version="1.0" encoding="utf-8"?>
<Properties xmlns="http://schemas.openxmlformats.org/officeDocument/2006/custom-properties" xmlns:vt="http://schemas.openxmlformats.org/officeDocument/2006/docPropsVTypes"/>
</file>