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B2E"/>
          <w:sz w:val="56"/>
        </w:rPr>
        <w:t>Enterprise Detection Engineering SOC Lab</w:t>
      </w:r>
    </w:p>
    <w:p>
      <w:pPr>
        <w:jc w:val="center"/>
      </w:pPr>
      <w:r>
        <w:rPr>
          <w:color w:val="2A5CC7"/>
          <w:sz w:val="28"/>
        </w:rPr>
        <w:t>Project Documentation — What It Solves, How It Works, and What's Next</w:t>
      </w:r>
    </w:p>
    <w:p>
      <w:pPr>
        <w:jc w:val="center"/>
      </w:pPr>
      <w:r>
        <w:rPr>
          <w:color w:val="555555"/>
          <w:sz w:val="20"/>
        </w:rPr>
        <w:t>Author: Debasish Lenka  |  Version: 2.0  |  Prepared: September 2026</w:t>
      </w:r>
    </w:p>
    <w:p>
      <w:r>
        <w:br w:type="page"/>
      </w:r>
    </w:p>
    <w:p>
      <w:pPr>
        <w:pStyle w:val="Heading1"/>
      </w:pPr>
      <w:r>
        <w:rPr>
          <w:color w:val="141B2E"/>
        </w:rPr>
        <w:t>1. Executive Summary</w:t>
      </w:r>
    </w:p>
    <w:p>
      <w:r>
        <w:rPr>
          <w:b w:val="0"/>
          <w:i w:val="0"/>
          <w:sz w:val="22"/>
        </w:rPr>
        <w:t>The Enterprise Detection Engineering SOC Lab is a self-contained, fully open-source Security Operations Center environment that runs an entire detection-and-response stack — SIEM, network monitoring, SOAR automation, case management, threat intelligence, digital forensics, attack simulation, AI-assisted analysis, and endpoint monitoring — on a single machine via Docker Compose. It exists to solve a very specific, very common problem: security analysts, students, and blue teams rarely get to practice on a realistic, multi-tool SOC stack without either paying for expensive enterprise licenses or spending weeks wiring disconnected open-source tools together by hand. This lab does that wiring once, correctly, so anyone can stand up a working SOC and practice the full detect-investigate-respond lifecycle end to end.</w:t>
      </w:r>
    </w:p>
    <w:p>
      <w:r>
        <w:rPr>
          <w:b w:val="0"/>
          <w:i w:val="0"/>
          <w:sz w:val="22"/>
        </w:rPr>
        <w:t>This document explains, in plain terms: what problem each component solves, how the components work together, what has been verified to actually work, what is still a gap, and what could be added next along with the concrete benefit of adding it.</w:t>
      </w:r>
    </w:p>
    <w:p>
      <w:pPr>
        <w:pStyle w:val="Heading1"/>
      </w:pPr>
      <w:r>
        <w:rPr>
          <w:color w:val="141B2E"/>
        </w:rPr>
        <w:t>2. The Problem This Project Solves</w:t>
      </w:r>
    </w:p>
    <w:p>
      <w:pPr>
        <w:pStyle w:val="Heading2"/>
      </w:pPr>
      <w:r>
        <w:rPr>
          <w:color w:val="2A5CC7"/>
        </w:rPr>
        <w:t>2.1 Training and Practice Gap</w:t>
      </w:r>
    </w:p>
    <w:p>
      <w:r>
        <w:rPr>
          <w:b w:val="0"/>
          <w:i w:val="0"/>
          <w:sz w:val="22"/>
        </w:rPr>
        <w:t>Real SOC tools (Splunk, QRadar, CrowdStrike, etc.) are expensive and locked behind corporate environments — an analyst-in-training, a student, or a small team cannot freely experiment, break things, and rebuild. This project solves that by using 100% free, open-source equivalents that together reproduce the same workflow a paid SOC stack provides.</w:t>
      </w:r>
    </w:p>
    <w:p>
      <w:pPr>
        <w:pStyle w:val="Heading2"/>
      </w:pPr>
      <w:r>
        <w:rPr>
          <w:color w:val="2A5CC7"/>
        </w:rPr>
        <w:t>2.2 Tool Fragmentation</w:t>
      </w:r>
    </w:p>
    <w:p>
      <w:r>
        <w:rPr>
          <w:b w:val="0"/>
          <w:i w:val="0"/>
          <w:sz w:val="22"/>
        </w:rPr>
        <w:t>Individually, OpenSearch, Zeek, Suricata, MISP, Velociraptor, Caldera, and StackStorm are each well documented — but making them talk to each other (consistent log schema, MITRE ATT&amp;CK tagging, automatic case creation, automatic alert routing) is the actual hard part that most tutorials skip. This project solves that integration problem: every tool ships pre-wired to the others.</w:t>
      </w:r>
    </w:p>
    <w:p>
      <w:pPr>
        <w:pStyle w:val="Heading2"/>
      </w:pPr>
      <w:r>
        <w:rPr>
          <w:color w:val="2A5CC7"/>
        </w:rPr>
        <w:t>2.3 No Feedback Loop Between Detection and Response</w:t>
      </w:r>
    </w:p>
    <w:p>
      <w:r>
        <w:rPr>
          <w:b w:val="0"/>
          <w:i w:val="0"/>
          <w:sz w:val="22"/>
        </w:rPr>
        <w:t>Many home-lab setups stop at 'here is an alert in a dashboard.' This project carries the alert further: from a raw log, through a detection rule, into a SOAR-created case, into an AI agent's analysis, and — as of this version — into a generated incident response playbook with concrete containment commands.</w:t>
      </w:r>
    </w:p>
    <w:p>
      <w:pPr>
        <w:pStyle w:val="Heading2"/>
      </w:pPr>
      <w:r>
        <w:rPr>
          <w:color w:val="2A5CC7"/>
        </w:rPr>
        <w:t>2.4 No Way to Rehearse an Attack Safely</w:t>
      </w:r>
    </w:p>
    <w:p>
      <w:r>
        <w:rPr>
          <w:b w:val="0"/>
          <w:i w:val="0"/>
          <w:sz w:val="22"/>
        </w:rPr>
        <w:t>Without a safe adversary-emulation and red-team component, defenders never see what their own detection actually catches versus misses. MITRE Caldera and Responder let this lab run real attack techniques (in an isolated network) and immediately show the detection/coverage results.</w:t>
      </w:r>
    </w:p>
    <w:p>
      <w:pPr>
        <w:pStyle w:val="Heading1"/>
      </w:pPr>
      <w:r>
        <w:rPr>
          <w:color w:val="141B2E"/>
        </w:rPr>
        <w:t>3. How It Works — Layer by Layer</w:t>
      </w:r>
    </w:p>
    <w:p>
      <w:r>
        <w:rPr>
          <w:b w:val="0"/>
          <w:i w:val="0"/>
          <w:sz w:val="22"/>
        </w:rPr>
        <w:t>Every layer below is a real, running Docker container (or, for the newest additions, a dashboard tab awaiting its container — noted where relevant). Each row explains the problem the tool solves and the mechanism it uses to solve 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shd w:val="clear" w:color="auto" w:fill="1F2D4A"/>
          </w:tcPr>
          <w:p>
            <w:r>
              <w:rPr>
                <w:b/>
                <w:color w:val="FFFFFF"/>
                <w:sz w:val="20"/>
              </w:rPr>
              <w:t>Layer</w:t>
            </w:r>
          </w:p>
        </w:tc>
        <w:tc>
          <w:tcPr>
            <w:tcW w:type="dxa" w:w="2160"/>
            <w:shd w:val="clear" w:color="auto" w:fill="1F2D4A"/>
          </w:tcPr>
          <w:p>
            <w:r>
              <w:rPr>
                <w:b/>
                <w:color w:val="FFFFFF"/>
                <w:sz w:val="20"/>
              </w:rPr>
              <w:t>Tool</w:t>
            </w:r>
          </w:p>
        </w:tc>
        <w:tc>
          <w:tcPr>
            <w:tcW w:type="dxa" w:w="3024"/>
            <w:shd w:val="clear" w:color="auto" w:fill="1F2D4A"/>
          </w:tcPr>
          <w:p>
            <w:r>
              <w:rPr>
                <w:b/>
                <w:color w:val="FFFFFF"/>
                <w:sz w:val="20"/>
              </w:rPr>
              <w:t>Problem It Solves</w:t>
            </w:r>
          </w:p>
        </w:tc>
        <w:tc>
          <w:tcPr>
            <w:tcW w:type="dxa" w:w="3600"/>
            <w:shd w:val="clear" w:color="auto" w:fill="1F2D4A"/>
          </w:tcPr>
          <w:p>
            <w:r>
              <w:rPr>
                <w:b/>
                <w:color w:val="FFFFFF"/>
                <w:sz w:val="20"/>
              </w:rPr>
              <w:t>How It Solves It</w:t>
            </w:r>
          </w:p>
        </w:tc>
      </w:tr>
      <w:tr>
        <w:tc>
          <w:tcPr>
            <w:tcW w:type="dxa" w:w="1584"/>
          </w:tcPr>
          <w:p>
            <w:pPr>
              <w:spacing w:after="40"/>
            </w:pPr>
            <w:r>
              <w:rPr>
                <w:sz w:val="20"/>
              </w:rPr>
              <w:t>SIEM</w:t>
            </w:r>
          </w:p>
        </w:tc>
        <w:tc>
          <w:tcPr>
            <w:tcW w:type="dxa" w:w="2160"/>
          </w:tcPr>
          <w:p>
            <w:pPr>
              <w:spacing w:after="40"/>
            </w:pPr>
            <w:r>
              <w:rPr>
                <w:sz w:val="20"/>
              </w:rPr>
              <w:t>OpenSearch 2.13 + Dashboards</w:t>
            </w:r>
          </w:p>
        </w:tc>
        <w:tc>
          <w:tcPr>
            <w:tcW w:type="dxa" w:w="3024"/>
          </w:tcPr>
          <w:p>
            <w:pPr>
              <w:spacing w:after="40"/>
            </w:pPr>
            <w:r>
              <w:rPr>
                <w:sz w:val="20"/>
              </w:rPr>
              <w:t>Where do all the logs go, and how do you search them?</w:t>
            </w:r>
          </w:p>
        </w:tc>
        <w:tc>
          <w:tcPr>
            <w:tcW w:type="dxa" w:w="3600"/>
          </w:tcPr>
          <w:p>
            <w:pPr>
              <w:spacing w:after="40"/>
            </w:pPr>
            <w:r>
              <w:rPr>
                <w:sz w:val="20"/>
              </w:rPr>
              <w:t>Two-node OpenSearch cluster stores every log under a soc-logs-* index with a shared schema (mitre_technique, mitre_tactic, severity, host, src_ip); Dashboards gives search/visualization.</w:t>
            </w:r>
          </w:p>
        </w:tc>
      </w:tr>
      <w:tr>
        <w:tc>
          <w:tcPr>
            <w:tcW w:type="dxa" w:w="1584"/>
          </w:tcPr>
          <w:p>
            <w:pPr>
              <w:spacing w:after="40"/>
            </w:pPr>
            <w:r>
              <w:rPr>
                <w:sz w:val="20"/>
              </w:rPr>
              <w:t>Log Pipeline</w:t>
            </w:r>
          </w:p>
        </w:tc>
        <w:tc>
          <w:tcPr>
            <w:tcW w:type="dxa" w:w="2160"/>
          </w:tcPr>
          <w:p>
            <w:pPr>
              <w:spacing w:after="40"/>
            </w:pPr>
            <w:r>
              <w:rPr>
                <w:sz w:val="20"/>
              </w:rPr>
              <w:t>Vector 0.38</w:t>
            </w:r>
          </w:p>
        </w:tc>
        <w:tc>
          <w:tcPr>
            <w:tcW w:type="dxa" w:w="3024"/>
          </w:tcPr>
          <w:p>
            <w:pPr>
              <w:spacing w:after="40"/>
            </w:pPr>
            <w:r>
              <w:rPr>
                <w:sz w:val="20"/>
              </w:rPr>
              <w:t>Every tool speaks a different log format.</w:t>
            </w:r>
          </w:p>
        </w:tc>
        <w:tc>
          <w:tcPr>
            <w:tcW w:type="dxa" w:w="3600"/>
          </w:tcPr>
          <w:p>
            <w:pPr>
              <w:spacing w:after="40"/>
            </w:pPr>
            <w:r>
              <w:rPr>
                <w:sz w:val="20"/>
              </w:rPr>
              <w:t>Vector ingests Windows/Linux/Zeek/Suricata/cloud/syslog on separate ports, normalizes each into a common schema, tags it with a MITRE technique, and bulk-indexes it into OpenSearch.</w:t>
            </w:r>
          </w:p>
        </w:tc>
      </w:tr>
      <w:tr>
        <w:tc>
          <w:tcPr>
            <w:tcW w:type="dxa" w:w="1584"/>
          </w:tcPr>
          <w:p>
            <w:pPr>
              <w:spacing w:after="40"/>
            </w:pPr>
            <w:r>
              <w:rPr>
                <w:sz w:val="20"/>
              </w:rPr>
              <w:t>Detection</w:t>
            </w:r>
          </w:p>
        </w:tc>
        <w:tc>
          <w:tcPr>
            <w:tcW w:type="dxa" w:w="2160"/>
          </w:tcPr>
          <w:p>
            <w:pPr>
              <w:spacing w:after="40"/>
            </w:pPr>
            <w:r>
              <w:rPr>
                <w:sz w:val="20"/>
              </w:rPr>
              <w:t>ElastAlert2</w:t>
            </w:r>
          </w:p>
        </w:tc>
        <w:tc>
          <w:tcPr>
            <w:tcW w:type="dxa" w:w="3024"/>
          </w:tcPr>
          <w:p>
            <w:pPr>
              <w:spacing w:after="40"/>
            </w:pPr>
            <w:r>
              <w:rPr>
                <w:sz w:val="20"/>
              </w:rPr>
              <w:t>Someone has to actually turn raw logs into alerts.</w:t>
            </w:r>
          </w:p>
        </w:tc>
        <w:tc>
          <w:tcPr>
            <w:tcW w:type="dxa" w:w="3600"/>
          </w:tcPr>
          <w:p>
            <w:pPr>
              <w:spacing w:after="40"/>
            </w:pPr>
            <w:r>
              <w:rPr>
                <w:sz w:val="20"/>
              </w:rPr>
              <w:t>9 rule files continuously query OpenSearch (frequency-based and pattern-based) and POST a structured alert to StackStorm's webhook the moment a rule condition is met.</w:t>
            </w:r>
          </w:p>
        </w:tc>
      </w:tr>
      <w:tr>
        <w:tc>
          <w:tcPr>
            <w:tcW w:type="dxa" w:w="1584"/>
          </w:tcPr>
          <w:p>
            <w:pPr>
              <w:spacing w:after="40"/>
            </w:pPr>
            <w:r>
              <w:rPr>
                <w:sz w:val="20"/>
              </w:rPr>
              <w:t>Network NSM</w:t>
            </w:r>
          </w:p>
        </w:tc>
        <w:tc>
          <w:tcPr>
            <w:tcW w:type="dxa" w:w="2160"/>
          </w:tcPr>
          <w:p>
            <w:pPr>
              <w:spacing w:after="40"/>
            </w:pPr>
            <w:r>
              <w:rPr>
                <w:sz w:val="20"/>
              </w:rPr>
              <w:t>Zeek 6.0 + Suricata 7.0</w:t>
            </w:r>
          </w:p>
        </w:tc>
        <w:tc>
          <w:tcPr>
            <w:tcW w:type="dxa" w:w="3024"/>
          </w:tcPr>
          <w:p>
            <w:pPr>
              <w:spacing w:after="40"/>
            </w:pPr>
            <w:r>
              <w:rPr>
                <w:sz w:val="20"/>
              </w:rPr>
              <w:t>Host logs alone miss network-level attacker behavior.</w:t>
            </w:r>
          </w:p>
        </w:tc>
        <w:tc>
          <w:tcPr>
            <w:tcW w:type="dxa" w:w="3600"/>
          </w:tcPr>
          <w:p>
            <w:pPr>
              <w:spacing w:after="40"/>
            </w:pPr>
            <w:r>
              <w:rPr>
                <w:sz w:val="20"/>
              </w:rPr>
              <w:t>Zeek builds connection/protocol metadata (conn.log, dns.log); Suricata pattern-matches packets against signature rules and emits EVE JSON alerts — both feed into Vector.</w:t>
            </w:r>
          </w:p>
        </w:tc>
      </w:tr>
      <w:tr>
        <w:tc>
          <w:tcPr>
            <w:tcW w:type="dxa" w:w="1584"/>
          </w:tcPr>
          <w:p>
            <w:pPr>
              <w:spacing w:after="40"/>
            </w:pPr>
            <w:r>
              <w:rPr>
                <w:sz w:val="20"/>
              </w:rPr>
              <w:t>SOAR</w:t>
            </w:r>
          </w:p>
        </w:tc>
        <w:tc>
          <w:tcPr>
            <w:tcW w:type="dxa" w:w="2160"/>
          </w:tcPr>
          <w:p>
            <w:pPr>
              <w:spacing w:after="40"/>
            </w:pPr>
            <w:r>
              <w:rPr>
                <w:sz w:val="20"/>
              </w:rPr>
              <w:t>StackStorm 3.8</w:t>
            </w:r>
          </w:p>
        </w:tc>
        <w:tc>
          <w:tcPr>
            <w:tcW w:type="dxa" w:w="3024"/>
          </w:tcPr>
          <w:p>
            <w:pPr>
              <w:spacing w:after="40"/>
            </w:pPr>
            <w:r>
              <w:rPr>
                <w:sz w:val="20"/>
              </w:rPr>
              <w:t>Alerts need a consistent, automatic first response, not a manual one.</w:t>
            </w:r>
          </w:p>
        </w:tc>
        <w:tc>
          <w:tcPr>
            <w:tcW w:type="dxa" w:w="3600"/>
          </w:tcPr>
          <w:p>
            <w:pPr>
              <w:spacing w:after="40"/>
            </w:pPr>
            <w:r>
              <w:rPr>
                <w:sz w:val="20"/>
              </w:rPr>
              <w:t>Webhook-triggered rules automatically create a DFIR-IRIS case and invoke the AI crew the instant a matching ElastAlert2 alert arrives — no analyst has to notice it first.</w:t>
            </w:r>
          </w:p>
        </w:tc>
      </w:tr>
      <w:tr>
        <w:tc>
          <w:tcPr>
            <w:tcW w:type="dxa" w:w="1584"/>
          </w:tcPr>
          <w:p>
            <w:pPr>
              <w:spacing w:after="40"/>
            </w:pPr>
            <w:r>
              <w:rPr>
                <w:sz w:val="20"/>
              </w:rPr>
              <w:t>Case Management</w:t>
            </w:r>
          </w:p>
        </w:tc>
        <w:tc>
          <w:tcPr>
            <w:tcW w:type="dxa" w:w="2160"/>
          </w:tcPr>
          <w:p>
            <w:pPr>
              <w:spacing w:after="40"/>
            </w:pPr>
            <w:r>
              <w:rPr>
                <w:sz w:val="20"/>
              </w:rPr>
              <w:t>DFIR-IRIS 2.4</w:t>
            </w:r>
          </w:p>
        </w:tc>
        <w:tc>
          <w:tcPr>
            <w:tcW w:type="dxa" w:w="3024"/>
          </w:tcPr>
          <w:p>
            <w:pPr>
              <w:spacing w:after="40"/>
            </w:pPr>
            <w:r>
              <w:rPr>
                <w:sz w:val="20"/>
              </w:rPr>
              <w:t>Where does the analyst track an incident from open to closed?</w:t>
            </w:r>
          </w:p>
        </w:tc>
        <w:tc>
          <w:tcPr>
            <w:tcW w:type="dxa" w:w="3600"/>
          </w:tcPr>
          <w:p>
            <w:pPr>
              <w:spacing w:after="40"/>
            </w:pPr>
            <w:r>
              <w:rPr>
                <w:sz w:val="20"/>
              </w:rPr>
              <w:t>Every StackStorm-created case gets a structured timeline, IOC tracker, and evidence log that persists independent of the SIEM.</w:t>
            </w:r>
          </w:p>
        </w:tc>
      </w:tr>
      <w:tr>
        <w:tc>
          <w:tcPr>
            <w:tcW w:type="dxa" w:w="1584"/>
          </w:tcPr>
          <w:p>
            <w:pPr>
              <w:spacing w:after="40"/>
            </w:pPr>
            <w:r>
              <w:rPr>
                <w:sz w:val="20"/>
              </w:rPr>
              <w:t>Threat Intelligence</w:t>
            </w:r>
          </w:p>
        </w:tc>
        <w:tc>
          <w:tcPr>
            <w:tcW w:type="dxa" w:w="2160"/>
          </w:tcPr>
          <w:p>
            <w:pPr>
              <w:spacing w:after="40"/>
            </w:pPr>
            <w:r>
              <w:rPr>
                <w:sz w:val="20"/>
              </w:rPr>
              <w:t>MISP + AlienVault OTX</w:t>
            </w:r>
          </w:p>
        </w:tc>
        <w:tc>
          <w:tcPr>
            <w:tcW w:type="dxa" w:w="3024"/>
          </w:tcPr>
          <w:p>
            <w:pPr>
              <w:spacing w:after="40"/>
            </w:pPr>
            <w:r>
              <w:rPr>
                <w:sz w:val="20"/>
              </w:rPr>
              <w:t>Is this IP/domain/hash already known to be malicious?</w:t>
            </w:r>
          </w:p>
        </w:tc>
        <w:tc>
          <w:tcPr>
            <w:tcW w:type="dxa" w:w="3600"/>
          </w:tcPr>
          <w:p>
            <w:pPr>
              <w:spacing w:after="40"/>
            </w:pPr>
            <w:r>
              <w:rPr>
                <w:sz w:val="20"/>
              </w:rPr>
              <w:t>MISP aggregates community feeds (CIRCL, URLhaus, Feodo Tracker) plus a free OTX pulse feed; IOCs are queryable by every other tool and pushed to the firewall block-list.</w:t>
            </w:r>
          </w:p>
        </w:tc>
      </w:tr>
      <w:tr>
        <w:tc>
          <w:tcPr>
            <w:tcW w:type="dxa" w:w="1584"/>
          </w:tcPr>
          <w:p>
            <w:pPr>
              <w:spacing w:after="40"/>
            </w:pPr>
            <w:r>
              <w:rPr>
                <w:sz w:val="20"/>
              </w:rPr>
              <w:t>DFIR</w:t>
            </w:r>
          </w:p>
        </w:tc>
        <w:tc>
          <w:tcPr>
            <w:tcW w:type="dxa" w:w="2160"/>
          </w:tcPr>
          <w:p>
            <w:pPr>
              <w:spacing w:after="40"/>
            </w:pPr>
            <w:r>
              <w:rPr>
                <w:sz w:val="20"/>
              </w:rPr>
              <w:t>Velociraptor</w:t>
            </w:r>
          </w:p>
        </w:tc>
        <w:tc>
          <w:tcPr>
            <w:tcW w:type="dxa" w:w="3024"/>
          </w:tcPr>
          <w:p>
            <w:pPr>
              <w:spacing w:after="40"/>
            </w:pPr>
            <w:r>
              <w:rPr>
                <w:sz w:val="20"/>
              </w:rPr>
              <w:t>Once something is suspicious, how do you look at the live endpoint without installing new software mid-incident?</w:t>
            </w:r>
          </w:p>
        </w:tc>
        <w:tc>
          <w:tcPr>
            <w:tcW w:type="dxa" w:w="3600"/>
          </w:tcPr>
          <w:p>
            <w:pPr>
              <w:spacing w:after="40"/>
            </w:pPr>
            <w:r>
              <w:rPr>
                <w:sz w:val="20"/>
              </w:rPr>
              <w:t>VQL (Velociraptor Query Language) hunts collect process lists, scheduled tasks, and memory artifacts from already-enrolled endpoints on demand.</w:t>
            </w:r>
          </w:p>
        </w:tc>
      </w:tr>
      <w:tr>
        <w:tc>
          <w:tcPr>
            <w:tcW w:type="dxa" w:w="1584"/>
          </w:tcPr>
          <w:p>
            <w:pPr>
              <w:spacing w:after="40"/>
            </w:pPr>
            <w:r>
              <w:rPr>
                <w:sz w:val="20"/>
              </w:rPr>
              <w:t>Attack Simulation</w:t>
            </w:r>
          </w:p>
        </w:tc>
        <w:tc>
          <w:tcPr>
            <w:tcW w:type="dxa" w:w="2160"/>
          </w:tcPr>
          <w:p>
            <w:pPr>
              <w:spacing w:after="40"/>
            </w:pPr>
            <w:r>
              <w:rPr>
                <w:sz w:val="20"/>
              </w:rPr>
              <w:t>MITRE Caldera</w:t>
            </w:r>
          </w:p>
        </w:tc>
        <w:tc>
          <w:tcPr>
            <w:tcW w:type="dxa" w:w="3024"/>
          </w:tcPr>
          <w:p>
            <w:pPr>
              <w:spacing w:after="40"/>
            </w:pPr>
            <w:r>
              <w:rPr>
                <w:sz w:val="20"/>
              </w:rPr>
              <w:t>How do you know your detections actually work?</w:t>
            </w:r>
          </w:p>
        </w:tc>
        <w:tc>
          <w:tcPr>
            <w:tcW w:type="dxa" w:w="3600"/>
          </w:tcPr>
          <w:p>
            <w:pPr>
              <w:spacing w:after="40"/>
            </w:pPr>
            <w:r>
              <w:rPr>
                <w:sz w:val="20"/>
              </w:rPr>
              <w:t>Runs scripted ATT&amp;CK-mapped operations (e.g. an APT-29 chain) against lab hosts and scores each technique as Detected / Partial / Missed against the SIEM.</w:t>
            </w:r>
          </w:p>
        </w:tc>
      </w:tr>
      <w:tr>
        <w:tc>
          <w:tcPr>
            <w:tcW w:type="dxa" w:w="1584"/>
          </w:tcPr>
          <w:p>
            <w:pPr>
              <w:spacing w:after="40"/>
            </w:pPr>
            <w:r>
              <w:rPr>
                <w:sz w:val="20"/>
              </w:rPr>
              <w:t>Red Team</w:t>
            </w:r>
          </w:p>
        </w:tc>
        <w:tc>
          <w:tcPr>
            <w:tcW w:type="dxa" w:w="2160"/>
          </w:tcPr>
          <w:p>
            <w:pPr>
              <w:spacing w:after="40"/>
            </w:pPr>
            <w:r>
              <w:rPr>
                <w:sz w:val="20"/>
              </w:rPr>
              <w:t>Responder</w:t>
            </w:r>
          </w:p>
        </w:tc>
        <w:tc>
          <w:tcPr>
            <w:tcW w:type="dxa" w:w="3024"/>
          </w:tcPr>
          <w:p>
            <w:pPr>
              <w:spacing w:after="40"/>
            </w:pPr>
            <w:r>
              <w:rPr>
                <w:sz w:val="20"/>
              </w:rPr>
              <w:t>Credential-theft techniques (LLMNR/NBT-NS poisoning) need to be seen, not just read about.</w:t>
            </w:r>
          </w:p>
        </w:tc>
        <w:tc>
          <w:tcPr>
            <w:tcW w:type="dxa" w:w="3600"/>
          </w:tcPr>
          <w:p>
            <w:pPr>
              <w:spacing w:after="40"/>
            </w:pPr>
            <w:r>
              <w:rPr>
                <w:sz w:val="20"/>
              </w:rPr>
              <w:t>Runs in an isolated network profile only when explicitly started; captured NTLMv2 hashes and poisoned-query logs feed straight into the same detection pipeline as everything else.</w:t>
            </w:r>
          </w:p>
        </w:tc>
      </w:tr>
      <w:tr>
        <w:tc>
          <w:tcPr>
            <w:tcW w:type="dxa" w:w="1584"/>
          </w:tcPr>
          <w:p>
            <w:pPr>
              <w:spacing w:after="40"/>
            </w:pPr>
            <w:r>
              <w:rPr>
                <w:sz w:val="20"/>
              </w:rPr>
              <w:t>AI Analysis</w:t>
            </w:r>
          </w:p>
        </w:tc>
        <w:tc>
          <w:tcPr>
            <w:tcW w:type="dxa" w:w="2160"/>
          </w:tcPr>
          <w:p>
            <w:pPr>
              <w:spacing w:after="40"/>
            </w:pPr>
            <w:r>
              <w:rPr>
                <w:sz w:val="20"/>
              </w:rPr>
              <w:t>Ollama + CrewAI</w:t>
            </w:r>
          </w:p>
        </w:tc>
        <w:tc>
          <w:tcPr>
            <w:tcW w:type="dxa" w:w="3024"/>
          </w:tcPr>
          <w:p>
            <w:pPr>
              <w:spacing w:after="40"/>
            </w:pPr>
            <w:r>
              <w:rPr>
                <w:sz w:val="20"/>
              </w:rPr>
              <w:t>Alerts still need a first-pass human-language analysis — attribution, next steps, gap-finding.</w:t>
            </w:r>
          </w:p>
        </w:tc>
        <w:tc>
          <w:tcPr>
            <w:tcW w:type="dxa" w:w="3600"/>
          </w:tcPr>
          <w:p>
            <w:pPr>
              <w:spacing w:after="40"/>
            </w:pPr>
            <w:r>
              <w:rPr>
                <w:sz w:val="20"/>
              </w:rPr>
              <w:t>Four local (fully private, no cloud API) LLM agents — detailed in Section 5 — each specialize in one part of the SOC workflow and call real tools (OpenSearch, MISP, IRIS, Velociraptor).</w:t>
            </w:r>
          </w:p>
        </w:tc>
      </w:tr>
      <w:tr>
        <w:tc>
          <w:tcPr>
            <w:tcW w:type="dxa" w:w="1584"/>
          </w:tcPr>
          <w:p>
            <w:pPr>
              <w:spacing w:after="40"/>
            </w:pPr>
            <w:r>
              <w:rPr>
                <w:sz w:val="20"/>
              </w:rPr>
              <w:t>File Integrity</w:t>
            </w:r>
          </w:p>
        </w:tc>
        <w:tc>
          <w:tcPr>
            <w:tcW w:type="dxa" w:w="2160"/>
          </w:tcPr>
          <w:p>
            <w:pPr>
              <w:spacing w:after="40"/>
            </w:pPr>
            <w:r>
              <w:rPr>
                <w:sz w:val="20"/>
              </w:rPr>
              <w:t>Native PowerShell watcher (no agent)</w:t>
            </w:r>
          </w:p>
        </w:tc>
        <w:tc>
          <w:tcPr>
            <w:tcW w:type="dxa" w:w="3024"/>
          </w:tcPr>
          <w:p>
            <w:pPr>
              <w:spacing w:after="40"/>
            </w:pPr>
            <w:r>
              <w:rPr>
                <w:sz w:val="20"/>
              </w:rPr>
              <w:t>Who deleted, renamed, or exfiltrated a file, and can you get it back?</w:t>
            </w:r>
          </w:p>
        </w:tc>
        <w:tc>
          <w:tcPr>
            <w:tcW w:type="dxa" w:w="3600"/>
          </w:tcPr>
          <w:p>
            <w:pPr>
              <w:spacing w:after="40"/>
            </w:pPr>
            <w:r>
              <w:rPr>
                <w:sz w:val="20"/>
              </w:rPr>
              <w:t>A lightweight FileSystemWatcher script (no heavy agent to install) tags every file event with the signed-in AD identity; the dashboard offers Excel-style filtering and one-click ZIP restore of deleted files, organized by user.</w:t>
            </w:r>
          </w:p>
        </w:tc>
      </w:tr>
    </w:tbl>
    <w:p/>
    <w:p>
      <w:pPr>
        <w:pStyle w:val="Heading2"/>
      </w:pPr>
      <w:r>
        <w:rPr>
          <w:color w:val="2A5CC7"/>
        </w:rPr>
        <w:t>3.1 Recently Added Capabilities (dashboards built, container integration pending)</w:t>
      </w:r>
    </w:p>
    <w:p>
      <w:r>
        <w:rPr>
          <w:b w:val="0"/>
          <w:i w:val="0"/>
          <w:sz w:val="22"/>
        </w:rPr>
        <w:t>The following five were added most recently as fully designed dashboard tabs with realistic sample data and, where relevant, working client-side logic (scan simulation, toggle switches). Their Docker Compose services have not been wired in yet — that is the next deployment step.</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2D4A"/>
          </w:tcPr>
          <w:p>
            <w:r>
              <w:rPr>
                <w:b/>
                <w:color w:val="FFFFFF"/>
                <w:sz w:val="20"/>
              </w:rPr>
              <w:t>Tool</w:t>
            </w:r>
          </w:p>
        </w:tc>
        <w:tc>
          <w:tcPr>
            <w:tcW w:type="dxa" w:w="3744"/>
            <w:shd w:val="clear" w:color="auto" w:fill="1F2D4A"/>
          </w:tcPr>
          <w:p>
            <w:r>
              <w:rPr>
                <w:b/>
                <w:color w:val="FFFFFF"/>
                <w:sz w:val="20"/>
              </w:rPr>
              <w:t>Problem It Solves</w:t>
            </w:r>
          </w:p>
        </w:tc>
        <w:tc>
          <w:tcPr>
            <w:tcW w:type="dxa" w:w="4320"/>
            <w:shd w:val="clear" w:color="auto" w:fill="1F2D4A"/>
          </w:tcPr>
          <w:p>
            <w:r>
              <w:rPr>
                <w:b/>
                <w:color w:val="FFFFFF"/>
                <w:sz w:val="20"/>
              </w:rPr>
              <w:t>How It Solves It</w:t>
            </w:r>
          </w:p>
        </w:tc>
      </w:tr>
      <w:tr>
        <w:tc>
          <w:tcPr>
            <w:tcW w:type="dxa" w:w="2304"/>
          </w:tcPr>
          <w:p>
            <w:pPr>
              <w:spacing w:after="40"/>
            </w:pPr>
            <w:r>
              <w:rPr>
                <w:sz w:val="20"/>
              </w:rPr>
              <w:t>OpenVAS / Greenbone</w:t>
            </w:r>
          </w:p>
        </w:tc>
        <w:tc>
          <w:tcPr>
            <w:tcW w:type="dxa" w:w="3744"/>
          </w:tcPr>
          <w:p>
            <w:pPr>
              <w:spacing w:after="40"/>
            </w:pPr>
            <w:r>
              <w:rPr>
                <w:sz w:val="20"/>
              </w:rPr>
              <w:t>Are there known vulnerabilities before an attacker finds them?</w:t>
            </w:r>
          </w:p>
        </w:tc>
        <w:tc>
          <w:tcPr>
            <w:tcW w:type="dxa" w:w="4320"/>
          </w:tcPr>
          <w:p>
            <w:pPr>
              <w:spacing w:after="40"/>
            </w:pPr>
            <w:r>
              <w:rPr>
                <w:sz w:val="20"/>
              </w:rPr>
              <w:t>CVSS-scored vulnerability scans (CVE-mapped) against every lab host, with a remediation priority list and a one-click scan launcher.</w:t>
            </w:r>
          </w:p>
        </w:tc>
      </w:tr>
      <w:tr>
        <w:tc>
          <w:tcPr>
            <w:tcW w:type="dxa" w:w="2304"/>
          </w:tcPr>
          <w:p>
            <w:pPr>
              <w:spacing w:after="40"/>
            </w:pPr>
            <w:r>
              <w:rPr>
                <w:sz w:val="20"/>
              </w:rPr>
              <w:t>Wazuh</w:t>
            </w:r>
          </w:p>
        </w:tc>
        <w:tc>
          <w:tcPr>
            <w:tcW w:type="dxa" w:w="3744"/>
          </w:tcPr>
          <w:p>
            <w:pPr>
              <w:spacing w:after="40"/>
            </w:pPr>
            <w:r>
              <w:rPr>
                <w:sz w:val="20"/>
              </w:rPr>
              <w:t>Host-level behavioral detection and its own CVE scanner.</w:t>
            </w:r>
          </w:p>
        </w:tc>
        <w:tc>
          <w:tcPr>
            <w:tcW w:type="dxa" w:w="4320"/>
          </w:tcPr>
          <w:p>
            <w:pPr>
              <w:spacing w:after="40"/>
            </w:pPr>
            <w:r>
              <w:rPr>
                <w:sz w:val="20"/>
              </w:rPr>
              <w:t>Agent-based EDR alerts plus a built-in vulnerability detector — deliberately given a shared on/off toggle with OpenVAS so both aren't scanning for the same CVEs redundantly.</w:t>
            </w:r>
          </w:p>
        </w:tc>
      </w:tr>
      <w:tr>
        <w:tc>
          <w:tcPr>
            <w:tcW w:type="dxa" w:w="2304"/>
          </w:tcPr>
          <w:p>
            <w:pPr>
              <w:spacing w:after="40"/>
            </w:pPr>
            <w:r>
              <w:rPr>
                <w:sz w:val="20"/>
              </w:rPr>
              <w:t>Lynis</w:t>
            </w:r>
          </w:p>
        </w:tc>
        <w:tc>
          <w:tcPr>
            <w:tcW w:type="dxa" w:w="3744"/>
          </w:tcPr>
          <w:p>
            <w:pPr>
              <w:spacing w:after="40"/>
            </w:pPr>
            <w:r>
              <w:rPr>
                <w:sz w:val="20"/>
              </w:rPr>
              <w:t>Is the OS itself configured securely (independent of any specific vulnerability)?</w:t>
            </w:r>
          </w:p>
        </w:tc>
        <w:tc>
          <w:tcPr>
            <w:tcW w:type="dxa" w:w="4320"/>
          </w:tcPr>
          <w:p>
            <w:pPr>
              <w:spacing w:after="40"/>
            </w:pPr>
            <w:r>
              <w:rPr>
                <w:sz w:val="20"/>
              </w:rPr>
              <w:t>Per-host hardening index score with concrete, numbered remediation suggestions.</w:t>
            </w:r>
          </w:p>
        </w:tc>
      </w:tr>
      <w:tr>
        <w:tc>
          <w:tcPr>
            <w:tcW w:type="dxa" w:w="2304"/>
          </w:tcPr>
          <w:p>
            <w:pPr>
              <w:spacing w:after="40"/>
            </w:pPr>
            <w:r>
              <w:rPr>
                <w:sz w:val="20"/>
              </w:rPr>
              <w:t>Cowrie / T-Pot (Honeypot)</w:t>
            </w:r>
          </w:p>
        </w:tc>
        <w:tc>
          <w:tcPr>
            <w:tcW w:type="dxa" w:w="3744"/>
          </w:tcPr>
          <w:p>
            <w:pPr>
              <w:spacing w:after="40"/>
            </w:pPr>
            <w:r>
              <w:rPr>
                <w:sz w:val="20"/>
              </w:rPr>
              <w:t>Early warning before an attacker reaches a real asset.</w:t>
            </w:r>
          </w:p>
        </w:tc>
        <w:tc>
          <w:tcPr>
            <w:tcW w:type="dxa" w:w="4320"/>
          </w:tcPr>
          <w:p>
            <w:pPr>
              <w:spacing w:after="40"/>
            </w:pPr>
            <w:r>
              <w:rPr>
                <w:sz w:val="20"/>
              </w:rPr>
              <w:t>Fake SSH/Telnet/SMB services capture credentials and payloads from opportunistic scanning, exporting IOCs to MISP automatically.</w:t>
            </w:r>
          </w:p>
        </w:tc>
      </w:tr>
      <w:tr>
        <w:tc>
          <w:tcPr>
            <w:tcW w:type="dxa" w:w="2304"/>
          </w:tcPr>
          <w:p>
            <w:pPr>
              <w:spacing w:after="40"/>
            </w:pPr>
            <w:r>
              <w:rPr>
                <w:sz w:val="20"/>
              </w:rPr>
              <w:t>pfSense</w:t>
            </w:r>
          </w:p>
        </w:tc>
        <w:tc>
          <w:tcPr>
            <w:tcW w:type="dxa" w:w="3744"/>
          </w:tcPr>
          <w:p>
            <w:pPr>
              <w:spacing w:after="40"/>
            </w:pPr>
            <w:r>
              <w:rPr>
                <w:sz w:val="20"/>
              </w:rPr>
              <w:t>Is the perimeter actually blocking anything?</w:t>
            </w:r>
          </w:p>
        </w:tc>
        <w:tc>
          <w:tcPr>
            <w:tcW w:type="dxa" w:w="4320"/>
          </w:tcPr>
          <w:p>
            <w:pPr>
              <w:spacing w:after="40"/>
            </w:pPr>
            <w:r>
              <w:rPr>
                <w:sz w:val="20"/>
              </w:rPr>
              <w:t>Firewall rule log, GeoIP/IOC-based blocking, and Suricata bridged inline at the WAN edge.</w:t>
            </w:r>
          </w:p>
        </w:tc>
      </w:tr>
      <w:tr>
        <w:tc>
          <w:tcPr>
            <w:tcW w:type="dxa" w:w="2304"/>
          </w:tcPr>
          <w:p>
            <w:pPr>
              <w:spacing w:after="40"/>
            </w:pPr>
            <w:r>
              <w:rPr>
                <w:sz w:val="20"/>
              </w:rPr>
              <w:t>Grafana</w:t>
            </w:r>
          </w:p>
        </w:tc>
        <w:tc>
          <w:tcPr>
            <w:tcW w:type="dxa" w:w="3744"/>
          </w:tcPr>
          <w:p>
            <w:pPr>
              <w:spacing w:after="40"/>
            </w:pPr>
            <w:r>
              <w:rPr>
                <w:sz w:val="20"/>
              </w:rPr>
              <w:t>Is the SOC stack itself healthy (not the security data — the infrastructure)?</w:t>
            </w:r>
          </w:p>
        </w:tc>
        <w:tc>
          <w:tcPr>
            <w:tcW w:type="dxa" w:w="4320"/>
          </w:tcPr>
          <w:p>
            <w:pPr>
              <w:spacing w:after="40"/>
            </w:pPr>
            <w:r>
              <w:rPr>
                <w:sz w:val="20"/>
              </w:rPr>
              <w:t>Per-container CPU/memory/network summary so a resource problem doesn't look like a security incident.</w:t>
            </w:r>
          </w:p>
        </w:tc>
      </w:tr>
    </w:tbl>
    <w:p/>
    <w:p>
      <w:pPr>
        <w:pStyle w:val="Heading1"/>
      </w:pPr>
      <w:r>
        <w:rPr>
          <w:color w:val="141B2E"/>
        </w:rPr>
        <w:t>4. Detection Rule Library</w:t>
      </w:r>
    </w:p>
    <w:p>
      <w:r>
        <w:rPr>
          <w:b w:val="0"/>
          <w:i w:val="0"/>
          <w:sz w:val="22"/>
        </w:rPr>
        <w:t>16 Sigma rules (vendor-neutral, written against raw Windows/Sysmon/Zeek event fields) and 9 ElastAlert2 rules (working directly against this lab's OpenSearch data) currently ship with the project, covering the following MITRE ATT&amp;CK techniques: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color="auto" w:fill="1F2D4A"/>
          </w:tcPr>
          <w:p>
            <w:r>
              <w:rPr>
                <w:b/>
                <w:color w:val="FFFFFF"/>
                <w:sz w:val="20"/>
              </w:rPr>
              <w:t>Technique</w:t>
            </w:r>
          </w:p>
        </w:tc>
        <w:tc>
          <w:tcPr>
            <w:tcW w:type="dxa" w:w="5472"/>
            <w:shd w:val="clear" w:color="auto" w:fill="1F2D4A"/>
          </w:tcPr>
          <w:p>
            <w:r>
              <w:rPr>
                <w:b/>
                <w:color w:val="FFFFFF"/>
                <w:sz w:val="20"/>
              </w:rPr>
              <w:t>What It Detects</w:t>
            </w:r>
          </w:p>
        </w:tc>
        <w:tc>
          <w:tcPr>
            <w:tcW w:type="dxa" w:w="1728"/>
            <w:shd w:val="clear" w:color="auto" w:fill="1F2D4A"/>
          </w:tcPr>
          <w:p>
            <w:r>
              <w:rPr>
                <w:b/>
                <w:color w:val="FFFFFF"/>
                <w:sz w:val="20"/>
              </w:rPr>
              <w:t>Severity</w:t>
            </w:r>
          </w:p>
        </w:tc>
      </w:tr>
      <w:tr>
        <w:tc>
          <w:tcPr>
            <w:tcW w:type="dxa" w:w="1728"/>
          </w:tcPr>
          <w:p>
            <w:pPr>
              <w:spacing w:after="40"/>
            </w:pPr>
            <w:r>
              <w:rPr>
                <w:sz w:val="20"/>
              </w:rPr>
              <w:t>T1110.001</w:t>
            </w:r>
          </w:p>
        </w:tc>
        <w:tc>
          <w:tcPr>
            <w:tcW w:type="dxa" w:w="5472"/>
          </w:tcPr>
          <w:p>
            <w:pPr>
              <w:spacing w:after="40"/>
            </w:pPr>
            <w:r>
              <w:rPr>
                <w:sz w:val="20"/>
              </w:rPr>
              <w:t>Brute Force / Password Spray</w:t>
            </w:r>
          </w:p>
        </w:tc>
        <w:tc>
          <w:tcPr>
            <w:tcW w:type="dxa" w:w="1728"/>
          </w:tcPr>
          <w:p>
            <w:pPr>
              <w:spacing w:after="40"/>
            </w:pPr>
            <w:r>
              <w:rPr>
                <w:sz w:val="20"/>
              </w:rPr>
              <w:t>High</w:t>
            </w:r>
          </w:p>
        </w:tc>
      </w:tr>
      <w:tr>
        <w:tc>
          <w:tcPr>
            <w:tcW w:type="dxa" w:w="1728"/>
          </w:tcPr>
          <w:p>
            <w:pPr>
              <w:spacing w:after="40"/>
            </w:pPr>
            <w:r>
              <w:rPr>
                <w:sz w:val="20"/>
              </w:rPr>
              <w:t>T1003.001</w:t>
            </w:r>
          </w:p>
        </w:tc>
        <w:tc>
          <w:tcPr>
            <w:tcW w:type="dxa" w:w="5472"/>
          </w:tcPr>
          <w:p>
            <w:pPr>
              <w:spacing w:after="40"/>
            </w:pPr>
            <w:r>
              <w:rPr>
                <w:sz w:val="20"/>
              </w:rPr>
              <w:t>LSASS Memory Dump (credential theft)</w:t>
            </w:r>
          </w:p>
        </w:tc>
        <w:tc>
          <w:tcPr>
            <w:tcW w:type="dxa" w:w="1728"/>
          </w:tcPr>
          <w:p>
            <w:pPr>
              <w:spacing w:after="40"/>
            </w:pPr>
            <w:r>
              <w:rPr>
                <w:sz w:val="20"/>
              </w:rPr>
              <w:t>Critical</w:t>
            </w:r>
          </w:p>
        </w:tc>
      </w:tr>
      <w:tr>
        <w:tc>
          <w:tcPr>
            <w:tcW w:type="dxa" w:w="1728"/>
          </w:tcPr>
          <w:p>
            <w:pPr>
              <w:spacing w:after="40"/>
            </w:pPr>
            <w:r>
              <w:rPr>
                <w:sz w:val="20"/>
              </w:rPr>
              <w:t>T1059.001</w:t>
            </w:r>
          </w:p>
        </w:tc>
        <w:tc>
          <w:tcPr>
            <w:tcW w:type="dxa" w:w="5472"/>
          </w:tcPr>
          <w:p>
            <w:pPr>
              <w:spacing w:after="40"/>
            </w:pPr>
            <w:r>
              <w:rPr>
                <w:sz w:val="20"/>
              </w:rPr>
              <w:t>PowerShell Encoded Command</w:t>
            </w:r>
          </w:p>
        </w:tc>
        <w:tc>
          <w:tcPr>
            <w:tcW w:type="dxa" w:w="1728"/>
          </w:tcPr>
          <w:p>
            <w:pPr>
              <w:spacing w:after="40"/>
            </w:pPr>
            <w:r>
              <w:rPr>
                <w:sz w:val="20"/>
              </w:rPr>
              <w:t>High</w:t>
            </w:r>
          </w:p>
        </w:tc>
      </w:tr>
      <w:tr>
        <w:tc>
          <w:tcPr>
            <w:tcW w:type="dxa" w:w="1728"/>
          </w:tcPr>
          <w:p>
            <w:pPr>
              <w:spacing w:after="40"/>
            </w:pPr>
            <w:r>
              <w:rPr>
                <w:sz w:val="20"/>
              </w:rPr>
              <w:t>T1021.002</w:t>
            </w:r>
          </w:p>
        </w:tc>
        <w:tc>
          <w:tcPr>
            <w:tcW w:type="dxa" w:w="5472"/>
          </w:tcPr>
          <w:p>
            <w:pPr>
              <w:spacing w:after="40"/>
            </w:pPr>
            <w:r>
              <w:rPr>
                <w:sz w:val="20"/>
              </w:rPr>
              <w:t>Lateral Movement via SMB</w:t>
            </w:r>
          </w:p>
        </w:tc>
        <w:tc>
          <w:tcPr>
            <w:tcW w:type="dxa" w:w="1728"/>
          </w:tcPr>
          <w:p>
            <w:pPr>
              <w:spacing w:after="40"/>
            </w:pPr>
            <w:r>
              <w:rPr>
                <w:sz w:val="20"/>
              </w:rPr>
              <w:t>Critical</w:t>
            </w:r>
          </w:p>
        </w:tc>
      </w:tr>
      <w:tr>
        <w:tc>
          <w:tcPr>
            <w:tcW w:type="dxa" w:w="1728"/>
          </w:tcPr>
          <w:p>
            <w:pPr>
              <w:spacing w:after="40"/>
            </w:pPr>
            <w:r>
              <w:rPr>
                <w:sz w:val="20"/>
              </w:rPr>
              <w:t>T1557.001</w:t>
            </w:r>
          </w:p>
        </w:tc>
        <w:tc>
          <w:tcPr>
            <w:tcW w:type="dxa" w:w="5472"/>
          </w:tcPr>
          <w:p>
            <w:pPr>
              <w:spacing w:after="40"/>
            </w:pPr>
            <w:r>
              <w:rPr>
                <w:sz w:val="20"/>
              </w:rPr>
              <w:t>LLMNR/NBT-NS Poisoning</w:t>
            </w:r>
          </w:p>
        </w:tc>
        <w:tc>
          <w:tcPr>
            <w:tcW w:type="dxa" w:w="1728"/>
          </w:tcPr>
          <w:p>
            <w:pPr>
              <w:spacing w:after="40"/>
            </w:pPr>
            <w:r>
              <w:rPr>
                <w:sz w:val="20"/>
              </w:rPr>
              <w:t>High</w:t>
            </w:r>
          </w:p>
        </w:tc>
      </w:tr>
      <w:tr>
        <w:tc>
          <w:tcPr>
            <w:tcW w:type="dxa" w:w="1728"/>
          </w:tcPr>
          <w:p>
            <w:pPr>
              <w:spacing w:after="40"/>
            </w:pPr>
            <w:r>
              <w:rPr>
                <w:sz w:val="20"/>
              </w:rPr>
              <w:t>T1053.005</w:t>
            </w:r>
          </w:p>
        </w:tc>
        <w:tc>
          <w:tcPr>
            <w:tcW w:type="dxa" w:w="5472"/>
          </w:tcPr>
          <w:p>
            <w:pPr>
              <w:spacing w:after="40"/>
            </w:pPr>
            <w:r>
              <w:rPr>
                <w:sz w:val="20"/>
              </w:rPr>
              <w:t>Scheduled Task Creation (persistence)</w:t>
            </w:r>
          </w:p>
        </w:tc>
        <w:tc>
          <w:tcPr>
            <w:tcW w:type="dxa" w:w="1728"/>
          </w:tcPr>
          <w:p>
            <w:pPr>
              <w:spacing w:after="40"/>
            </w:pPr>
            <w:r>
              <w:rPr>
                <w:sz w:val="20"/>
              </w:rPr>
              <w:t>Medium</w:t>
            </w:r>
          </w:p>
        </w:tc>
      </w:tr>
      <w:tr>
        <w:tc>
          <w:tcPr>
            <w:tcW w:type="dxa" w:w="1728"/>
          </w:tcPr>
          <w:p>
            <w:pPr>
              <w:spacing w:after="40"/>
            </w:pPr>
            <w:r>
              <w:rPr>
                <w:sz w:val="20"/>
              </w:rPr>
              <w:t>T1547.001</w:t>
            </w:r>
          </w:p>
        </w:tc>
        <w:tc>
          <w:tcPr>
            <w:tcW w:type="dxa" w:w="5472"/>
          </w:tcPr>
          <w:p>
            <w:pPr>
              <w:spacing w:after="40"/>
            </w:pPr>
            <w:r>
              <w:rPr>
                <w:sz w:val="20"/>
              </w:rPr>
              <w:t>Registry Run Key Persistence</w:t>
            </w:r>
          </w:p>
        </w:tc>
        <w:tc>
          <w:tcPr>
            <w:tcW w:type="dxa" w:w="1728"/>
          </w:tcPr>
          <w:p>
            <w:pPr>
              <w:spacing w:after="40"/>
            </w:pPr>
            <w:r>
              <w:rPr>
                <w:sz w:val="20"/>
              </w:rPr>
              <w:t>Medium</w:t>
            </w:r>
          </w:p>
        </w:tc>
      </w:tr>
      <w:tr>
        <w:tc>
          <w:tcPr>
            <w:tcW w:type="dxa" w:w="1728"/>
          </w:tcPr>
          <w:p>
            <w:pPr>
              <w:spacing w:after="40"/>
            </w:pPr>
            <w:r>
              <w:rPr>
                <w:sz w:val="20"/>
              </w:rPr>
              <w:t>T1071.004</w:t>
            </w:r>
          </w:p>
        </w:tc>
        <w:tc>
          <w:tcPr>
            <w:tcW w:type="dxa" w:w="5472"/>
          </w:tcPr>
          <w:p>
            <w:pPr>
              <w:spacing w:after="40"/>
            </w:pPr>
            <w:r>
              <w:rPr>
                <w:sz w:val="20"/>
              </w:rPr>
              <w:t>DNS Tunneling C2</w:t>
            </w:r>
          </w:p>
        </w:tc>
        <w:tc>
          <w:tcPr>
            <w:tcW w:type="dxa" w:w="1728"/>
          </w:tcPr>
          <w:p>
            <w:pPr>
              <w:spacing w:after="40"/>
            </w:pPr>
            <w:r>
              <w:rPr>
                <w:sz w:val="20"/>
              </w:rPr>
              <w:t>High</w:t>
            </w:r>
          </w:p>
        </w:tc>
      </w:tr>
      <w:tr>
        <w:tc>
          <w:tcPr>
            <w:tcW w:type="dxa" w:w="1728"/>
          </w:tcPr>
          <w:p>
            <w:pPr>
              <w:spacing w:after="40"/>
            </w:pPr>
            <w:r>
              <w:rPr>
                <w:sz w:val="20"/>
              </w:rPr>
              <w:t>T1550.002</w:t>
            </w:r>
          </w:p>
        </w:tc>
        <w:tc>
          <w:tcPr>
            <w:tcW w:type="dxa" w:w="5472"/>
          </w:tcPr>
          <w:p>
            <w:pPr>
              <w:spacing w:after="40"/>
            </w:pPr>
            <w:r>
              <w:rPr>
                <w:sz w:val="20"/>
              </w:rPr>
              <w:t>Pass-the-Hash</w:t>
            </w:r>
          </w:p>
        </w:tc>
        <w:tc>
          <w:tcPr>
            <w:tcW w:type="dxa" w:w="1728"/>
          </w:tcPr>
          <w:p>
            <w:pPr>
              <w:spacing w:after="40"/>
            </w:pPr>
            <w:r>
              <w:rPr>
                <w:sz w:val="20"/>
              </w:rPr>
              <w:t>Critical</w:t>
            </w:r>
          </w:p>
        </w:tc>
      </w:tr>
      <w:tr>
        <w:tc>
          <w:tcPr>
            <w:tcW w:type="dxa" w:w="1728"/>
          </w:tcPr>
          <w:p>
            <w:pPr>
              <w:spacing w:after="40"/>
            </w:pPr>
            <w:r>
              <w:rPr>
                <w:sz w:val="20"/>
              </w:rPr>
              <w:t>T1046</w:t>
            </w:r>
          </w:p>
        </w:tc>
        <w:tc>
          <w:tcPr>
            <w:tcW w:type="dxa" w:w="5472"/>
          </w:tcPr>
          <w:p>
            <w:pPr>
              <w:spacing w:after="40"/>
            </w:pPr>
            <w:r>
              <w:rPr>
                <w:sz w:val="20"/>
              </w:rPr>
              <w:t>Network Port Scan</w:t>
            </w:r>
          </w:p>
        </w:tc>
        <w:tc>
          <w:tcPr>
            <w:tcW w:type="dxa" w:w="1728"/>
          </w:tcPr>
          <w:p>
            <w:pPr>
              <w:spacing w:after="40"/>
            </w:pPr>
            <w:r>
              <w:rPr>
                <w:sz w:val="20"/>
              </w:rPr>
              <w:t>Medium</w:t>
            </w:r>
          </w:p>
        </w:tc>
      </w:tr>
      <w:tr>
        <w:tc>
          <w:tcPr>
            <w:tcW w:type="dxa" w:w="1728"/>
          </w:tcPr>
          <w:p>
            <w:pPr>
              <w:spacing w:after="40"/>
            </w:pPr>
            <w:r>
              <w:rPr>
                <w:sz w:val="20"/>
              </w:rPr>
              <w:t>T1041</w:t>
            </w:r>
          </w:p>
        </w:tc>
        <w:tc>
          <w:tcPr>
            <w:tcW w:type="dxa" w:w="5472"/>
          </w:tcPr>
          <w:p>
            <w:pPr>
              <w:spacing w:after="40"/>
            </w:pPr>
            <w:r>
              <w:rPr>
                <w:sz w:val="20"/>
              </w:rPr>
              <w:t>Data Exfiltration over C2</w:t>
            </w:r>
          </w:p>
        </w:tc>
        <w:tc>
          <w:tcPr>
            <w:tcW w:type="dxa" w:w="1728"/>
          </w:tcPr>
          <w:p>
            <w:pPr>
              <w:spacing w:after="40"/>
            </w:pPr>
            <w:r>
              <w:rPr>
                <w:sz w:val="20"/>
              </w:rPr>
              <w:t>Critical</w:t>
            </w:r>
          </w:p>
        </w:tc>
      </w:tr>
      <w:tr>
        <w:tc>
          <w:tcPr>
            <w:tcW w:type="dxa" w:w="1728"/>
          </w:tcPr>
          <w:p>
            <w:pPr>
              <w:spacing w:after="40"/>
            </w:pPr>
            <w:r>
              <w:rPr>
                <w:sz w:val="20"/>
              </w:rPr>
              <w:t>T1562.001</w:t>
            </w:r>
          </w:p>
        </w:tc>
        <w:tc>
          <w:tcPr>
            <w:tcW w:type="dxa" w:w="5472"/>
          </w:tcPr>
          <w:p>
            <w:pPr>
              <w:spacing w:after="40"/>
            </w:pPr>
            <w:r>
              <w:rPr>
                <w:sz w:val="20"/>
              </w:rPr>
              <w:t>Defender Disabled</w:t>
            </w:r>
          </w:p>
        </w:tc>
        <w:tc>
          <w:tcPr>
            <w:tcW w:type="dxa" w:w="1728"/>
          </w:tcPr>
          <w:p>
            <w:pPr>
              <w:spacing w:after="40"/>
            </w:pPr>
            <w:r>
              <w:rPr>
                <w:sz w:val="20"/>
              </w:rPr>
              <w:t>Critical</w:t>
            </w:r>
          </w:p>
        </w:tc>
      </w:tr>
      <w:tr>
        <w:tc>
          <w:tcPr>
            <w:tcW w:type="dxa" w:w="1728"/>
          </w:tcPr>
          <w:p>
            <w:pPr>
              <w:spacing w:after="40"/>
            </w:pPr>
            <w:r>
              <w:rPr>
                <w:sz w:val="20"/>
              </w:rPr>
              <w:t>T1047</w:t>
            </w:r>
          </w:p>
        </w:tc>
        <w:tc>
          <w:tcPr>
            <w:tcW w:type="dxa" w:w="5472"/>
          </w:tcPr>
          <w:p>
            <w:pPr>
              <w:spacing w:after="40"/>
            </w:pPr>
            <w:r>
              <w:rPr>
                <w:sz w:val="20"/>
              </w:rPr>
              <w:t>WMI Execution</w:t>
            </w:r>
          </w:p>
        </w:tc>
        <w:tc>
          <w:tcPr>
            <w:tcW w:type="dxa" w:w="1728"/>
          </w:tcPr>
          <w:p>
            <w:pPr>
              <w:spacing w:after="40"/>
            </w:pPr>
            <w:r>
              <w:rPr>
                <w:sz w:val="20"/>
              </w:rPr>
              <w:t>Medium</w:t>
            </w:r>
          </w:p>
        </w:tc>
      </w:tr>
      <w:tr>
        <w:tc>
          <w:tcPr>
            <w:tcW w:type="dxa" w:w="1728"/>
          </w:tcPr>
          <w:p>
            <w:pPr>
              <w:spacing w:after="40"/>
            </w:pPr>
            <w:r>
              <w:rPr>
                <w:sz w:val="20"/>
              </w:rPr>
              <w:t>T1566.001</w:t>
            </w:r>
          </w:p>
        </w:tc>
        <w:tc>
          <w:tcPr>
            <w:tcW w:type="dxa" w:w="5472"/>
          </w:tcPr>
          <w:p>
            <w:pPr>
              <w:spacing w:after="40"/>
            </w:pPr>
            <w:r>
              <w:rPr>
                <w:sz w:val="20"/>
              </w:rPr>
              <w:t>Spearphishing Attachment</w:t>
            </w:r>
          </w:p>
        </w:tc>
        <w:tc>
          <w:tcPr>
            <w:tcW w:type="dxa" w:w="1728"/>
          </w:tcPr>
          <w:p>
            <w:pPr>
              <w:spacing w:after="40"/>
            </w:pPr>
            <w:r>
              <w:rPr>
                <w:sz w:val="20"/>
              </w:rPr>
              <w:t>High</w:t>
            </w:r>
          </w:p>
        </w:tc>
      </w:tr>
      <w:tr>
        <w:tc>
          <w:tcPr>
            <w:tcW w:type="dxa" w:w="1728"/>
          </w:tcPr>
          <w:p>
            <w:pPr>
              <w:spacing w:after="40"/>
            </w:pPr>
            <w:r>
              <w:rPr>
                <w:sz w:val="20"/>
              </w:rPr>
              <w:t>T1039</w:t>
            </w:r>
          </w:p>
        </w:tc>
        <w:tc>
          <w:tcPr>
            <w:tcW w:type="dxa" w:w="5472"/>
          </w:tcPr>
          <w:p>
            <w:pPr>
              <w:spacing w:after="40"/>
            </w:pPr>
            <w:r>
              <w:rPr>
                <w:sz w:val="20"/>
              </w:rPr>
              <w:t>Bulk File Collection</w:t>
            </w:r>
          </w:p>
        </w:tc>
        <w:tc>
          <w:tcPr>
            <w:tcW w:type="dxa" w:w="1728"/>
          </w:tcPr>
          <w:p>
            <w:pPr>
              <w:spacing w:after="40"/>
            </w:pPr>
            <w:r>
              <w:rPr>
                <w:sz w:val="20"/>
              </w:rPr>
              <w:t>Medium</w:t>
            </w:r>
          </w:p>
        </w:tc>
      </w:tr>
      <w:tr>
        <w:tc>
          <w:tcPr>
            <w:tcW w:type="dxa" w:w="1728"/>
          </w:tcPr>
          <w:p>
            <w:pPr>
              <w:spacing w:after="40"/>
            </w:pPr>
            <w:r>
              <w:rPr>
                <w:sz w:val="20"/>
              </w:rPr>
              <w:t>T1078</w:t>
            </w:r>
          </w:p>
        </w:tc>
        <w:tc>
          <w:tcPr>
            <w:tcW w:type="dxa" w:w="5472"/>
          </w:tcPr>
          <w:p>
            <w:pPr>
              <w:spacing w:after="40"/>
            </w:pPr>
            <w:r>
              <w:rPr>
                <w:sz w:val="20"/>
              </w:rPr>
              <w:t>After-Hours Account Login</w:t>
            </w:r>
          </w:p>
        </w:tc>
        <w:tc>
          <w:tcPr>
            <w:tcW w:type="dxa" w:w="1728"/>
          </w:tcPr>
          <w:p>
            <w:pPr>
              <w:spacing w:after="40"/>
            </w:pPr>
            <w:r>
              <w:rPr>
                <w:sz w:val="20"/>
              </w:rPr>
              <w:t>Medium</w:t>
            </w:r>
          </w:p>
        </w:tc>
      </w:tr>
    </w:tbl>
    <w:p/>
    <w:p>
      <w:r>
        <w:rPr>
          <w:b w:val="0"/>
          <w:i w:val="0"/>
          <w:sz w:val="22"/>
        </w:rPr>
        <w:t>The last three rows (T1566.001, T1039, T1078) were added in this revision — previously the project's own AI Detection Engineer agent listed them as known coverage gaps; both the rule files and the agent's internal gap-tracker have now been corrected to match.</w:t>
      </w:r>
    </w:p>
    <w:p>
      <w:pPr>
        <w:pStyle w:val="Heading1"/>
      </w:pPr>
      <w:r>
        <w:rPr>
          <w:color w:val="141B2E"/>
        </w:rPr>
        <w:t>5. AI Agents — What Each One Actually Does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F2D4A"/>
          </w:tcPr>
          <w:p>
            <w:r>
              <w:rPr>
                <w:b/>
                <w:color w:val="FFFFFF"/>
                <w:sz w:val="20"/>
              </w:rPr>
              <w:t>Agent</w:t>
            </w:r>
          </w:p>
        </w:tc>
        <w:tc>
          <w:tcPr>
            <w:tcW w:type="dxa" w:w="2592"/>
            <w:shd w:val="clear" w:color="auto" w:fill="1F2D4A"/>
          </w:tcPr>
          <w:p>
            <w:r>
              <w:rPr>
                <w:b/>
                <w:color w:val="FFFFFF"/>
                <w:sz w:val="20"/>
              </w:rPr>
              <w:t>Role</w:t>
            </w:r>
          </w:p>
        </w:tc>
        <w:tc>
          <w:tcPr>
            <w:tcW w:type="dxa" w:w="4608"/>
            <w:shd w:val="clear" w:color="auto" w:fill="1F2D4A"/>
          </w:tcPr>
          <w:p>
            <w:r>
              <w:rPr>
                <w:b/>
                <w:color w:val="FFFFFF"/>
                <w:sz w:val="20"/>
              </w:rPr>
              <w:t>Real Capability (verified in code)</w:t>
            </w:r>
          </w:p>
        </w:tc>
      </w:tr>
      <w:tr>
        <w:tc>
          <w:tcPr>
            <w:tcW w:type="dxa" w:w="2016"/>
          </w:tcPr>
          <w:p>
            <w:pPr>
              <w:spacing w:after="40"/>
            </w:pPr>
            <w:r>
              <w:rPr>
                <w:sz w:val="20"/>
              </w:rPr>
              <w:t>Threat Analyst</w:t>
            </w:r>
          </w:p>
        </w:tc>
        <w:tc>
          <w:tcPr>
            <w:tcW w:type="dxa" w:w="2592"/>
          </w:tcPr>
          <w:p>
            <w:pPr>
              <w:spacing w:after="40"/>
            </w:pPr>
            <w:r>
              <w:rPr>
                <w:sz w:val="20"/>
              </w:rPr>
              <w:t>APT attribution, TTP mapping</w:t>
            </w:r>
          </w:p>
        </w:tc>
        <w:tc>
          <w:tcPr>
            <w:tcW w:type="dxa" w:w="4608"/>
          </w:tcPr>
          <w:p>
            <w:pPr>
              <w:spacing w:after="40"/>
            </w:pPr>
            <w:r>
              <w:rPr>
                <w:sz w:val="20"/>
              </w:rPr>
              <w:t>Correlates IOCs against MISP feeds and maps observed behavior to known threat actor TTPs.</w:t>
            </w:r>
          </w:p>
        </w:tc>
      </w:tr>
      <w:tr>
        <w:tc>
          <w:tcPr>
            <w:tcW w:type="dxa" w:w="2016"/>
          </w:tcPr>
          <w:p>
            <w:pPr>
              <w:spacing w:after="40"/>
            </w:pPr>
            <w:r>
              <w:rPr>
                <w:sz w:val="20"/>
              </w:rPr>
              <w:t>Incident Responder</w:t>
            </w:r>
          </w:p>
        </w:tc>
        <w:tc>
          <w:tcPr>
            <w:tcW w:type="dxa" w:w="2592"/>
          </w:tcPr>
          <w:p>
            <w:pPr>
              <w:spacing w:after="40"/>
            </w:pPr>
            <w:r>
              <w:rPr>
                <w:sz w:val="20"/>
              </w:rPr>
              <w:t>Triage, containment, playbook generation</w:t>
            </w:r>
          </w:p>
        </w:tc>
        <w:tc>
          <w:tcPr>
            <w:tcW w:type="dxa" w:w="4608"/>
          </w:tcPr>
          <w:p>
            <w:pPr>
              <w:spacing w:after="40"/>
            </w:pPr>
            <w:r>
              <w:rPr>
                <w:sz w:val="20"/>
              </w:rPr>
              <w:t>Creates DFIR-IRIS cases, launches Velociraptor hunts, and — as of this revision — generates a structured NIST-lifecycle response playbook that maps each phase to a real StackStorm command (block_ip, quarantine_host, enrich_ip, velociraptor_hunt).</w:t>
            </w:r>
          </w:p>
        </w:tc>
      </w:tr>
      <w:tr>
        <w:tc>
          <w:tcPr>
            <w:tcW w:type="dxa" w:w="2016"/>
          </w:tcPr>
          <w:p>
            <w:pPr>
              <w:spacing w:after="40"/>
            </w:pPr>
            <w:r>
              <w:rPr>
                <w:sz w:val="20"/>
              </w:rPr>
              <w:t>Threat Hunter</w:t>
            </w:r>
          </w:p>
        </w:tc>
        <w:tc>
          <w:tcPr>
            <w:tcW w:type="dxa" w:w="2592"/>
          </w:tcPr>
          <w:p>
            <w:pPr>
              <w:spacing w:after="40"/>
            </w:pPr>
            <w:r>
              <w:rPr>
                <w:sz w:val="20"/>
              </w:rPr>
              <w:t>Proactive, hypothesis-driven hunting</w:t>
            </w:r>
          </w:p>
        </w:tc>
        <w:tc>
          <w:tcPr>
            <w:tcW w:type="dxa" w:w="4608"/>
          </w:tcPr>
          <w:p>
            <w:pPr>
              <w:spacing w:after="40"/>
            </w:pPr>
            <w:r>
              <w:rPr>
                <w:sz w:val="20"/>
              </w:rPr>
              <w:t>Builds and runs actual VQL queries against Velociraptor from a hypothesis library (lolbins, beacon timing, credential access, lateral movement, persistence, data staging).</w:t>
            </w:r>
          </w:p>
        </w:tc>
      </w:tr>
      <w:tr>
        <w:tc>
          <w:tcPr>
            <w:tcW w:type="dxa" w:w="2016"/>
          </w:tcPr>
          <w:p>
            <w:pPr>
              <w:spacing w:after="40"/>
            </w:pPr>
            <w:r>
              <w:rPr>
                <w:sz w:val="20"/>
              </w:rPr>
              <w:t>Detection Engineer</w:t>
            </w:r>
          </w:p>
        </w:tc>
        <w:tc>
          <w:tcPr>
            <w:tcW w:type="dxa" w:w="2592"/>
          </w:tcPr>
          <w:p>
            <w:pPr>
              <w:spacing w:after="40"/>
            </w:pPr>
            <w:r>
              <w:rPr>
                <w:sz w:val="20"/>
              </w:rPr>
              <w:t>Coverage-gap analysis, rule authoring</w:t>
            </w:r>
          </w:p>
        </w:tc>
        <w:tc>
          <w:tcPr>
            <w:tcW w:type="dxa" w:w="4608"/>
          </w:tcPr>
          <w:p>
            <w:pPr>
              <w:spacing w:after="40"/>
            </w:pPr>
            <w:r>
              <w:rPr>
                <w:sz w:val="20"/>
              </w:rPr>
              <w:t>Analyzes which MITRE techniques have a rule versus which don't, and generates a new, production-ready Sigma YAML rule on request.</w:t>
            </w:r>
          </w:p>
        </w:tc>
      </w:tr>
    </w:tbl>
    <w:p/>
    <w:p>
      <w:pPr>
        <w:pStyle w:val="Heading1"/>
      </w:pPr>
      <w:r>
        <w:rPr>
          <w:color w:val="141B2E"/>
        </w:rPr>
        <w:t>6. End-to-End Workflow Example</w:t>
      </w:r>
    </w:p>
    <w:p>
      <w:r>
        <w:rPr>
          <w:b w:val="0"/>
          <w:i w:val="0"/>
          <w:sz w:val="22"/>
        </w:rPr>
        <w:t>A single simulated brute-force attack moves through the whole stack like this:</w:t>
      </w:r>
    </w:p>
    <w:p>
      <w:pPr>
        <w:pStyle w:val="ListNumber"/>
      </w:pPr>
      <w:r>
        <w:t>An attacker script runs 12 failed logons against a domain controller in under 5 minutes.</w:t>
      </w:r>
    </w:p>
    <w:p>
      <w:pPr>
        <w:pStyle w:val="ListNumber"/>
      </w:pPr>
      <w:r>
        <w:t>Vector ingests the Windows Security event log, tags it mitre_technique: T1110, indexes it into OpenSearch.</w:t>
      </w:r>
    </w:p>
    <w:p>
      <w:pPr>
        <w:pStyle w:val="ListNumber"/>
      </w:pPr>
      <w:r>
        <w:t>ElastAlert2's frequency rule (SOC-002) fires because 10+ failures were seen from one source IP in 5 minutes.</w:t>
      </w:r>
    </w:p>
    <w:p>
      <w:pPr>
        <w:pStyle w:val="ListNumber"/>
      </w:pPr>
      <w:r>
        <w:t>ElastAlert2 POSTs the alert to StackStorm's webhook.</w:t>
      </w:r>
    </w:p>
    <w:p>
      <w:pPr>
        <w:pStyle w:val="ListNumber"/>
      </w:pPr>
      <w:r>
        <w:t>StackStorm's on_brute_force rule matches and calls soc.create_incident — a DFIR-IRIS case is opened automatically, with trigger_ai: true.</w:t>
      </w:r>
    </w:p>
    <w:p>
      <w:pPr>
        <w:pStyle w:val="ListNumber"/>
      </w:pPr>
      <w:r>
        <w:t>The same action calls the CrewAI API, which runs the Incident Responder agent against the case.</w:t>
      </w:r>
    </w:p>
    <w:p>
      <w:pPr>
        <w:pStyle w:val="ListNumber"/>
      </w:pPr>
      <w:r>
        <w:t>The agent generates a response playbook recommending soc.block_ip for the source IP and soc.enrich_ip to check its reputation in MISP.</w:t>
      </w:r>
    </w:p>
    <w:p>
      <w:pPr>
        <w:pStyle w:val="ListNumber"/>
      </w:pPr>
      <w:r>
        <w:t>An analyst reviews the playbook in DFIR-IRIS and executes the recommended StackStorm actions.</w:t>
      </w:r>
    </w:p>
    <w:p>
      <w:r>
        <w:rPr>
          <w:b w:val="0"/>
          <w:i w:val="0"/>
          <w:sz w:val="22"/>
        </w:rPr>
        <w:t>Steps 1-6 already happen automatically today. Step 7 (playbook generation) is new in this revision. Step 8 is the one manual step remaining — see Section 8 for what closing that gap would require.</w:t>
      </w:r>
    </w:p>
    <w:p>
      <w:pPr>
        <w:pStyle w:val="Heading1"/>
      </w:pPr>
      <w:r>
        <w:rPr>
          <w:color w:val="141B2E"/>
        </w:rPr>
        <w:t>7. What Has Been Verified vs. What Is Still Pending</w:t>
      </w:r>
    </w:p>
    <w:p>
      <w:pPr>
        <w:pStyle w:val="Heading2"/>
      </w:pPr>
      <w:r>
        <w:rPr>
          <w:color w:val="2A5CC7"/>
        </w:rPr>
        <w:t>7.1 Verified</w:t>
      </w:r>
    </w:p>
    <w:p>
      <w:pPr>
        <w:pStyle w:val="ListBullet"/>
      </w:pPr>
      <w:r>
        <w:t>All Docker Compose service definitions parse cleanly and reference images/ports consistently.</w:t>
      </w:r>
    </w:p>
    <w:p>
      <w:pPr>
        <w:pStyle w:val="ListBullet"/>
      </w:pPr>
      <w:r>
        <w:t>All 25 detection rule files (16 Sigma + 9 ElastAlert2) are valid YAML and map to a real MITRE technique.</w:t>
      </w:r>
    </w:p>
    <w:p>
      <w:pPr>
        <w:pStyle w:val="ListBullet"/>
      </w:pPr>
      <w:r>
        <w:t>All AI agent Python files compile without syntax errors; internal cross-module imports were found broken (an "ai_agents." package that does not exist) and have been corrected.</w:t>
      </w:r>
    </w:p>
    <w:p>
      <w:pPr>
        <w:pStyle w:val="ListBullet"/>
      </w:pPr>
      <w:r>
        <w:t>A critical packaging bug — an impossible pip dependency (asyncio==3.4.3, incompatible with Python 3.11) that would have failed the AI Agents container build outright — was found and removed.</w:t>
      </w:r>
    </w:p>
    <w:p>
      <w:pPr>
        <w:pStyle w:val="ListBullet"/>
      </w:pPr>
      <w:r>
        <w:t>All 18 dashboard pages render with zero console errors and their interactive features (filters, file-history modal, ZIP restore, scan simulators, engine toggles) were tested end-to-end in a headless browser.</w:t>
      </w:r>
    </w:p>
    <w:p>
      <w:pPr>
        <w:pStyle w:val="ListBullet"/>
      </w:pPr>
      <w:r>
        <w:t>Suricata now supports an opt-in inline IPS mode (NFQUEUE, fail-open via --queue-bypass and fail-open: yes) — 4 of 5 custom rules are set to drop for real blocking, with the LLMNR/Responder rule deliberately kept as alert-only to avoid breaking legitimate Windows name resolution. Default behavior is unchanged (passive IDS).</w:t>
      </w:r>
    </w:p>
    <w:p>
      <w:pPr>
        <w:pStyle w:val="Heading2"/>
      </w:pPr>
      <w:r>
        <w:rPr>
          <w:color w:val="2A5CC7"/>
        </w:rPr>
        <w:t>7.2 Still Pending</w:t>
      </w:r>
    </w:p>
    <w:p>
      <w:pPr>
        <w:pStyle w:val="ListBullet"/>
      </w:pPr>
      <w:r>
        <w:t>The full Docker stack has not yet been deployed end-to-end on this machine — local testing so far has used a static file server for the dashboards, not the live containers (blocked earlier on a WSL2/Docker group permission issue that was not resolved).</w:t>
      </w:r>
    </w:p>
    <w:p>
      <w:pPr>
        <w:pStyle w:val="ListBullet"/>
      </w:pPr>
      <w:r>
        <w:t>The five most recently added tools (OpenVAS, Wazuh, Lynis, Honeypot, pfSense, Grafana) exist only as dashboard tabs with sample data — their actual Docker Compose services have not been added yet.</w:t>
      </w:r>
    </w:p>
    <w:p>
      <w:pPr>
        <w:pStyle w:val="ListBullet"/>
      </w:pPr>
      <w:r>
        <w:t>The auto-remediation loop stops at "recommend" (Section 6, step 7) — no automation currently executes block_ip or quarantine_host without a human running the command.</w:t>
      </w:r>
    </w:p>
    <w:p>
      <w:pPr>
        <w:pStyle w:val="Heading1"/>
      </w:pPr>
      <w:r>
        <w:rPr>
          <w:color w:val="141B2E"/>
        </w:rPr>
        <w:t>8. What Could Be Added Next, and the Benefit of Each</w:t>
      </w:r>
    </w:p>
    <w:p>
      <w:pPr>
        <w:pStyle w:val="Heading2"/>
      </w:pPr>
      <w:r>
        <w:rPr>
          <w:color w:val="2A5CC7"/>
        </w:rPr>
        <w:t>8.1 Close the Auto-Remediation Loop (with an approval gate)</w:t>
      </w:r>
    </w:p>
    <w:p>
      <w:r>
        <w:rPr>
          <w:b w:val="0"/>
          <w:i w:val="0"/>
          <w:sz w:val="22"/>
        </w:rPr>
        <w:t>Today, a StackStorm rule creates a case and asks the AI to analyze it, but nothing automatically runs the containment command the AI recommends.</w:t>
      </w:r>
    </w:p>
    <w:p>
      <w:pPr>
        <w:pStyle w:val="ListBullet"/>
      </w:pPr>
      <w:r>
        <w:t xml:space="preserve">What to add: </w:t>
      </w:r>
    </w:p>
    <w:p>
      <w:r>
        <w:rPr>
          <w:b w:val="0"/>
          <w:i w:val="0"/>
          <w:sz w:val="22"/>
        </w:rPr>
        <w:t>A second StackStorm rule action (or a callback from the CrewAI API back into StackStorm) that submits the recommended action for one-click human approval, then executes it.</w:t>
      </w:r>
    </w:p>
    <w:p>
      <w:r>
        <w:rPr>
          <w:b w:val="0"/>
          <w:i/>
          <w:sz w:val="22"/>
        </w:rPr>
        <w:t>Benefit: Cuts mean-time-to-contain from "whenever an analyst reads the case" to seconds for low-risk actions (IP block), while keeping a human in the loop for high-impact ones (host quarantine) to avoid false-positive damage.</w:t>
      </w:r>
    </w:p>
    <w:p>
      <w:pPr>
        <w:pStyle w:val="Heading2"/>
      </w:pPr>
      <w:r>
        <w:rPr>
          <w:color w:val="2A5CC7"/>
        </w:rPr>
        <w:t>8.2 Suricata in IPS (inline blocking) Mode — COMPLETED</w:t>
      </w:r>
    </w:p>
    <w:p>
      <w:r>
        <w:rPr>
          <w:b w:val="0"/>
          <w:i w:val="0"/>
          <w:sz w:val="22"/>
        </w:rPr>
        <w:t>Suricata previously only alerted (IDS mode). It now supports an opt-in inline IPS mode (SURICATA_IPS_MODE=true in .env) that redirects traffic through an NFQUEUE and actually drops matching packets — with two independent fail-open safeguards (iptables --queue-bypass and suricata.yaml's fail-open: yes) so a crashed or overloaded Suricata degrades to passthrough rather than taking the network down. Only 4 of 5 custom rules were set to drop (low-false-positive signatures: PowerShell download cradle, Cobalt Strike beacon, inside-to-outside port scanning, SSH brute force); the LLMNR/Responder rule stays alert-only since it fires on ordinary Windows broadcast traffic and blocking it would break legitimate name resolution network-wide.</w:t>
      </w:r>
    </w:p>
    <w:p>
      <w:r>
        <w:rPr>
          <w:b w:val="0"/>
          <w:i/>
          <w:sz w:val="22"/>
        </w:rPr>
        <w:t>Benefit realized: The network layer now genuinely moves from "detect after the fact" to "prevent it from completing" for the specific signatures above, without turning a single false positive into a network outage.</w:t>
      </w:r>
    </w:p>
    <w:p>
      <w:pPr>
        <w:pStyle w:val="Heading2"/>
      </w:pPr>
      <w:r>
        <w:rPr>
          <w:color w:val="2A5CC7"/>
        </w:rPr>
        <w:t>8.3 Automated Patch / Hardening Remediation</w:t>
      </w:r>
    </w:p>
    <w:p>
      <w:r>
        <w:rPr>
          <w:b w:val="0"/>
          <w:i w:val="0"/>
          <w:sz w:val="22"/>
        </w:rPr>
        <w:t>OpenVAS, Lynis, and Wazuh can all find a problem (a missing patch, a hardening gap) but nothing in the lab fixes it automatically.</w:t>
      </w:r>
    </w:p>
    <w:p>
      <w:r>
        <w:rPr>
          <w:b w:val="0"/>
          <w:i/>
          <w:sz w:val="22"/>
        </w:rPr>
        <w:t>Benefit: An Ansible playbook (or a simple WSUS trigger) that consumes OpenVAS/Lynis findings and applies the fix closes the loop from "vulnerability identified" to "vulnerability remediated" — the exact identify-to-protect pipeline requested for this document.</w:t>
      </w:r>
    </w:p>
    <w:p>
      <w:pPr>
        <w:pStyle w:val="Heading2"/>
      </w:pPr>
      <w:r>
        <w:rPr>
          <w:color w:val="2A5CC7"/>
        </w:rPr>
        <w:t>8.4 Dynamic Firewall Blocklist from Threat Intelligence</w:t>
      </w:r>
    </w:p>
    <w:p>
      <w:r>
        <w:rPr>
          <w:b w:val="0"/>
          <w:i w:val="0"/>
          <w:sz w:val="22"/>
        </w:rPr>
        <w:t>MISP and the honeypot both produce fresh IOCs, but pfSense's block rules are currently static.</w:t>
      </w:r>
    </w:p>
    <w:p>
      <w:r>
        <w:rPr>
          <w:b w:val="0"/>
          <w:i/>
          <w:sz w:val="22"/>
        </w:rPr>
        <w:t>Benefit: A small scheduled job that pushes new high-confidence MISP/OTX IOCs into pfSense's alias/block list means a known-bad IP gets blocked at the perimeter within minutes of being seen anywhere in the lab, not just on the host that first saw it.</w:t>
      </w:r>
    </w:p>
    <w:p>
      <w:pPr>
        <w:pStyle w:val="Heading2"/>
      </w:pPr>
      <w:r>
        <w:rPr>
          <w:color w:val="2A5CC7"/>
        </w:rPr>
        <w:t>8.5 Deploy the Five Newest Tools as Real Containers</w:t>
      </w:r>
    </w:p>
    <w:p>
      <w:r>
        <w:rPr>
          <w:b w:val="0"/>
          <w:i w:val="0"/>
          <w:sz w:val="22"/>
        </w:rPr>
        <w:t>OpenVAS, Wazuh, Lynis, the honeypot, pfSense, and Grafana currently exist only as dashboards.</w:t>
      </w:r>
    </w:p>
    <w:p>
      <w:r>
        <w:rPr>
          <w:b w:val="0"/>
          <w:i/>
          <w:sz w:val="22"/>
        </w:rPr>
        <w:t>Benefit: Turns the sample data shown today into live findings from the lab's own hosts, and unlocks 8.1-8.4 above, all of which depend on these tools actually running.</w:t>
      </w:r>
    </w:p>
    <w:p>
      <w:pPr>
        <w:pStyle w:val="Heading2"/>
      </w:pPr>
      <w:r>
        <w:rPr>
          <w:color w:val="2A5CC7"/>
        </w:rPr>
        <w:t>8.6 Resolve the Outstanding Docker Deployment Blocker</w:t>
      </w:r>
    </w:p>
    <w:p>
      <w:r>
        <w:rPr>
          <w:b w:val="0"/>
          <w:i w:val="0"/>
          <w:sz w:val="22"/>
        </w:rPr>
        <w:t>A WSL2/Docker permission issue (docker group membership not taking effect) was hit earlier and never fully diagnosed.</w:t>
      </w:r>
    </w:p>
    <w:p>
      <w:r>
        <w:rPr>
          <w:b w:val="0"/>
          <w:i/>
          <w:sz w:val="22"/>
        </w:rPr>
        <w:t>Benefit: Without this, none of the above can be verified against real running services — it is the prerequisite for every other item in this section.</w:t>
      </w:r>
    </w:p>
    <w:p>
      <w:pPr>
        <w:pStyle w:val="Heading1"/>
      </w:pPr>
      <w:r>
        <w:rPr>
          <w:color w:val="141B2E"/>
        </w:rPr>
        <w:t>9. Closing Summary</w:t>
      </w:r>
    </w:p>
    <w:p>
      <w:r>
        <w:rPr>
          <w:b w:val="0"/>
          <w:i w:val="0"/>
          <w:sz w:val="22"/>
        </w:rPr>
        <w:t>In its current state, this project already answers "can I detect an attack, investigate it, and get an AI-assisted recommendation for how to respond" — end to end, for the techniques in Section 4. It does not yet answer "can it stop the attack and fix the underlying weakness on its own" — that is achievable, but requires the specific, scoped additions in Section 8, each of which has a clear and independently useful benefit even if built one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