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Write-back – end-to-end call flow</w:t>
      </w:r>
    </w:p>
    <w:p>
      <w:pPr>
        <w:pStyle w:val="Eyebrow"/>
      </w:pPr>
      <w:r>
        <w:t xml:space="preserve">Looker write-back to BigQuery · Architecture v6 · Runtime behaviour</w:t>
      </w:r>
    </w:p>
    <w:p>
      <w:pPr>
        <w:pStyle w:val="BodyText"/>
      </w:pPr>
      <w:r>
        <w:t xml:space="preserve">What happens, call by call, from the moment a user clicks “Write back” on a Looker dashboard until the new value is shown: Looker → Action Hub → Microsoft Entra → Apigee → ID&amp;A → Write-back API → Writer API → BigQuery → back to Looker. Each step lists the endpoint, what is sent, what is checked, what comes back and what happens if it fails.</w:t>
      </w:r>
    </w:p>
    <w:bookmarkStart w:id="20" w:name="pre"/>
    <w:p>
      <w:pPr>
        <w:pStyle w:val="Heading2"/>
      </w:pPr>
      <w:r>
        <w:t xml:space="preserve">Before the click – already in place, not part of each request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450"/>
        <w:gridCol w:w="4388"/>
        <w:gridCol w:w="5083"/>
      </w:tblGrid>
      <w:tr>
        <w:trPr>
          <w:tblHeader w:val="true"/>
          <w:tblHeader w:val="true"/>
        </w:trPr>
        <w:tc>
          <w:tcPr>
            <w:tcW w:w="45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#</w:t>
            </w:r>
          </w:p>
        </w:tc>
        <w:tc>
          <w:tcPr>
            <w:tcW w:w="4388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What</w:t>
            </w:r>
          </w:p>
        </w:tc>
        <w:tc>
          <w:tcPr>
            <w:tcW w:w="5083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Result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43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User signs in to Looker through the existing Entra SAML app</w:t>
            </w:r>
          </w:p>
        </w:tc>
        <w:tc>
          <w:tcPr>
            <w:tcW w:w="50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session; authentication only – no write permission comes from Entra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4388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User is a member of the Looker group “Writeback Users”</w:t>
            </w:r>
          </w:p>
        </w:tc>
        <w:tc>
          <w:tcPr>
            <w:tcW w:w="508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User attribute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writeback_allowed = yes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(everyone else: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P3</w:t>
            </w:r>
          </w:p>
        </w:tc>
        <w:tc>
          <w:tcPr>
            <w:tcW w:w="43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admin registered the Action Hub; Looker called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it</w:t>
            </w:r>
          </w:p>
        </w:tc>
        <w:tc>
          <w:tcPr>
            <w:tcW w:w="50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knows the action “Write back” and on which fields it applies</w:t>
            </w:r>
          </w:p>
        </w:tc>
      </w:tr>
      <w:tr>
        <w:tc>
          <w:tcPr>
            <w:tcW w:w="45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P4</w:t>
            </w:r>
          </w:p>
        </w:tc>
        <w:tc>
          <w:tcPr>
            <w:tcW w:w="4388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LookML field has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tags: ["writeback_key"]</w:t>
            </w:r>
          </w:p>
        </w:tc>
        <w:tc>
          <w:tcPr>
            <w:tcW w:w="508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action appears on that field’s menu</w:t>
            </w:r>
          </w:p>
        </w:tc>
      </w:tr>
      <w:tr>
        <w:tc>
          <w:tcPr>
            <w:tcW w:w="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P5</w:t>
            </w:r>
          </w:p>
        </w:tc>
        <w:tc>
          <w:tcPr>
            <w:tcW w:w="43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Pods started with Workload Identity</w:t>
            </w:r>
          </w:p>
        </w:tc>
        <w:tc>
          <w:tcPr>
            <w:tcW w:w="50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action-hub@</w:t>
            </w:r>
            <w:r>
              <w:rPr>
                <w:sz w:val="17"/>
              </w:rPr>
              <w:t xml:space="preserve">, Write-back API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writeback-api@</w:t>
            </w:r>
            <w:r>
              <w:rPr>
                <w:sz w:val="17"/>
              </w:rPr>
              <w:t xml:space="preserve">, Writer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writer@</w:t>
            </w:r>
            <w:r>
              <w:rPr>
                <w:sz w:val="17"/>
              </w:rPr>
              <w:t xml:space="preserve">; no keys anywhere</w:t>
            </w:r>
          </w:p>
        </w:tc>
      </w:tr>
    </w:tbl>
    <w:bookmarkEnd w:id="20"/>
    <w:bookmarkStart w:id="24" w:name="seq"/>
    <w:p>
      <w:pPr>
        <w:sectPr>
          <w:headerReference w:type="default" r:id="rId9"/>
          <w:footerReference w:type="default" r:id="rId10"/>
          <w:pgSz w:w="11906" w:h="16838"/>
          <w:pgMar w:left="992" w:right="992" w:top="1020" w:bottom="907" w:header="454" w:footer="454" w:gutter="0"/>
        </w:sectPr>
      </w:pPr>
    </w:p>
    <w:p>
      <w:pPr>
        <w:pStyle w:val="Heading2"/>
      </w:pPr>
      <w:r>
        <w:t xml:space="preserve">Sequence diagram</w:t>
      </w:r>
    </w:p>
    <w:p>
      <w:pPr>
        <w:pStyle w:val="FirstParagraph"/>
      </w:pPr>
      <w:r>
        <w:drawing>
          <wp:inline>
            <wp:extent cx="9360000" cy="4056000"/>
            <wp:effectExtent b="0" l="0" r="0" t="0"/>
            <wp:docPr descr="Figure 1 – one write-back click" title="" id="22" name="Picture"/>
            <a:graphic>
              <a:graphicData uri="http://schemas.openxmlformats.org/drawingml/2006/picture">
                <pic:pic>
                  <pic:nvPicPr>
                    <pic:cNvPr descr="/tmp/claude-0/-home-claude/24f85c28-191d-5180-9944-071cdbd3e757/scratchpad/docx_tf/fig_c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0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sectPr>
          <w:headerReference w:type="default" r:id="rId9"/>
          <w:footerReference w:type="default" r:id="rId10"/>
          <w:pgSz w:w="16838" w:h="11906" w:orient="landscape"/>
          <w:pgMar w:left="992" w:right="992" w:top="1020" w:bottom="907" w:header="454" w:footer="454" w:gutter="0"/>
        </w:sectPr>
      </w:pPr>
      <w:r>
        <w:t xml:space="preserve">Figure 1 – One write-back click; numbers are the call order (the form call is skipped if the action has no form)</w:t>
      </w:r>
    </w:p>
    <w:bookmarkEnd w:id="24"/>
    <w:bookmarkStart w:id="29" w:name="A"/>
    <w:p>
      <w:pPr>
        <w:pStyle w:val="Heading2"/>
      </w:pPr>
      <w:r>
        <w:t xml:space="preserve">A · User and Looker – steps 1–4</w:t>
      </w:r>
    </w:p>
    <w:bookmarkStart w:id="25" w:name="X3ba04c716e94a9166bf0a987cf146ee7ae99aa0"/>
    <w:p>
      <w:pPr>
        <w:pStyle w:val="Heading3"/>
      </w:pPr>
      <w:r>
        <w:t xml:space="preserve">1 User clicks the value and chooses “Write back”</w:t>
      </w:r>
    </w:p>
    <w:p>
      <w:pPr>
        <w:pStyle w:val="PathLine"/>
      </w:pPr>
      <w:r>
        <w:rPr>
          <w:bCs/>
          <w:b/>
        </w:rPr>
        <w:t xml:space="preserve">User → Looker UI</w:t>
      </w:r>
      <w:r>
        <w:t xml:space="preserve"> </w:t>
      </w:r>
      <w:r>
        <w:t xml:space="preserve">(browser, existing Looker session)</w:t>
      </w:r>
    </w:p>
    <w:p>
      <w:pPr>
        <w:pStyle w:val="BodyText"/>
      </w:pPr>
      <w:r>
        <w:t xml:space="preserve">On a dashboard tile the user clicks a value of a field tagged</w:t>
      </w:r>
      <w:r>
        <w:t xml:space="preserve"> </w:t>
      </w:r>
      <w:r>
        <w:rPr>
          <w:rStyle w:val="VerbatimChar"/>
        </w:rPr>
        <w:t xml:space="preserve">writeback_key</w:t>
      </w:r>
      <w:r>
        <w:t xml:space="preserve">. The drill/actions menu shows</w:t>
      </w:r>
      <w:r>
        <w:t xml:space="preserve"> </w:t>
      </w:r>
      <w:r>
        <w:rPr>
          <w:bCs/>
          <w:b/>
        </w:rPr>
        <w:t xml:space="preserve">Write back</w:t>
      </w:r>
      <w:r>
        <w:t xml:space="preserve"> </w:t>
      </w:r>
      <w:r>
        <w:t xml:space="preserve">(listed by the Action Hub at registration, step P3).</w:t>
      </w:r>
    </w:p>
    <w:p>
      <w:pPr>
        <w:pStyle w:val="CheckBox"/>
      </w:pPr>
      <w:r>
        <w:rPr>
          <w:bCs/>
          <w:b/>
        </w:rPr>
        <w:t xml:space="preserve">Check:</w:t>
      </w:r>
      <w:r>
        <w:t xml:space="preserve"> </w:t>
      </w:r>
      <w:r>
        <w:t xml:space="preserve">the action is visible only on tagged fields; the role “Writeback User” (send_to_integration) is needed to send.</w:t>
      </w:r>
    </w:p>
    <w:bookmarkEnd w:id="25"/>
    <w:bookmarkStart w:id="26" w:name="looker-asks-the-action-hub-for-the-form"/>
    <w:p>
      <w:pPr>
        <w:pStyle w:val="Heading3"/>
      </w:pPr>
      <w:r>
        <w:t xml:space="preserve">2 Looker asks the Action Hub for the form</w:t>
      </w:r>
    </w:p>
    <w:p>
      <w:pPr>
        <w:pStyle w:val="PathLine"/>
      </w:pPr>
      <w:r>
        <w:rPr>
          <w:bCs/>
          <w:b/>
        </w:rPr>
        <w:t xml:space="preserve">Looker server → Action Hub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https://action-hub.looker-actions.svc.cluster.local/actions/writeback/form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Authorization: Token token="&lt;looker-action-secret&gt;"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"data": { "record_key": "ACC-1042", "field": "forecast_value", "current_value": "118000" } }</w:t>
      </w:r>
    </w:p>
    <w:p>
      <w:pPr>
        <w:pStyle w:val="FirstParagraph"/>
      </w:pPr>
      <w:r>
        <w:t xml:space="preserve">Action Hub checks the Looker secret and returns the form definition: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[ { "name": "new_value", "label": "New value", "type": "text", "required": true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{ "name": "comment",   "label": "Comment",   "type": "textarea" } ]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wrong secret → 401 → Looker shows “action unavailable”. Skipped entirely if the action has no form.</w:t>
      </w:r>
    </w:p>
    <w:bookmarkEnd w:id="26"/>
    <w:bookmarkStart w:id="27" w:name="user-enters-the-new-value-and-submits"/>
    <w:p>
      <w:pPr>
        <w:pStyle w:val="Heading3"/>
      </w:pPr>
      <w:r>
        <w:t xml:space="preserve">3 User enters the new value and submits</w:t>
      </w:r>
    </w:p>
    <w:p>
      <w:pPr>
        <w:pStyle w:val="PathLine"/>
      </w:pPr>
      <w:r>
        <w:rPr>
          <w:bCs/>
          <w:b/>
        </w:rPr>
        <w:t xml:space="preserve">User → Looker UI</w:t>
      </w:r>
    </w:p>
    <w:p>
      <w:pPr>
        <w:pStyle w:val="BodyText"/>
      </w:pPr>
      <w:r>
        <w:t xml:space="preserve">Example: new value</w:t>
      </w:r>
      <w:r>
        <w:t xml:space="preserve"> </w:t>
      </w:r>
      <w:r>
        <w:rPr>
          <w:rStyle w:val="VerbatimChar"/>
        </w:rPr>
        <w:t xml:space="preserve">125000</w:t>
      </w:r>
      <w:r>
        <w:t xml:space="preserve">, comment “Q4 update”. The browser never talks to the Action Hub – only the Looker server does.</w:t>
      </w:r>
    </w:p>
    <w:bookmarkEnd w:id="27"/>
    <w:bookmarkStart w:id="28" w:name="X4914a2186490bb42bf1ee9b2c6bb80cd343be6a"/>
    <w:p>
      <w:pPr>
        <w:pStyle w:val="Heading3"/>
      </w:pPr>
      <w:r>
        <w:t xml:space="preserve">4 Looker sends the action to the Action Hub</w:t>
      </w:r>
    </w:p>
    <w:p>
      <w:pPr>
        <w:pStyle w:val="PathLine"/>
      </w:pPr>
      <w:r>
        <w:rPr>
          <w:bCs/>
          <w:b/>
        </w:rPr>
        <w:t xml:space="preserve">Looker server → Action Hub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/actions/writeback/execute</w:t>
      </w:r>
      <w:r>
        <w:t xml:space="preserve"> </w:t>
      </w:r>
      <w:r>
        <w:t xml:space="preserve">(inside the Looker cluster, ClusterIP + NetworkPolicy)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Authorization: Token token="&lt;looker-action-secret&gt;"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"type": "cell",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"data": { "record_key": "ACC-1042", "field": "forecast_value", "value": "118000"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"form_params": { "new_value": "125000", "comment": "Q4 update" },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"params": { "user_email": "jane.doe@lbg.example", "user_id": "2381",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  "writeback_allowed": "yes", "tenant": "tenant_a" } }</w:t>
      </w:r>
    </w:p>
    <w:p>
      <w:pPr>
        <w:pStyle w:val="PathLine"/>
      </w:pPr>
      <w:r>
        <w:t xml:space="preserve">The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values come from Looker user attributes (liquid</w:t>
      </w:r>
      <w:r>
        <w:t xml:space="preserve"> </w:t>
      </w:r>
      <w:r>
        <w:rPr>
          <w:rStyle w:val="VerbatimChar"/>
        </w:rPr>
        <w:t xml:space="preserve">{{ _user_attributes['writeback_allowed'] }}</w:t>
      </w:r>
      <w:r>
        <w:t xml:space="preserve"> </w:t>
      </w:r>
      <w:r>
        <w:t xml:space="preserve">etc.), so the user cannot change them.</w:t>
      </w:r>
    </w:p>
    <w:bookmarkEnd w:id="28"/>
    <w:bookmarkEnd w:id="29"/>
    <w:bookmarkStart w:id="32" w:name="B"/>
    <w:p>
      <w:pPr>
        <w:pStyle w:val="Heading2"/>
      </w:pPr>
      <w:r>
        <w:t xml:space="preserve">B · Action Hub checks – steps 5–6</w:t>
      </w:r>
    </w:p>
    <w:bookmarkStart w:id="30" w:name="check-the-looker-secret"/>
    <w:p>
      <w:pPr>
        <w:pStyle w:val="Heading3"/>
      </w:pPr>
      <w:r>
        <w:t xml:space="preserve">5 Check the Looker secret</w:t>
      </w:r>
    </w:p>
    <w:p>
      <w:pPr>
        <w:pStyle w:val="PathLine"/>
      </w:pPr>
      <w:r>
        <w:rPr>
          <w:bCs/>
          <w:b/>
        </w:rPr>
        <w:t xml:space="preserve">Action Hub → Secret Manager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accessSecretVersion projects/looker-prj-int/secrets/looker-action-secret/versions/latest</w:t>
      </w:r>
      <w:r>
        <w:t xml:space="preserve"> </w:t>
      </w:r>
      <w:r>
        <w:t xml:space="preserve">(Workload Identity as</w:t>
      </w:r>
      <w:r>
        <w:t xml:space="preserve"> </w:t>
      </w:r>
      <w:r>
        <w:rPr>
          <w:rStyle w:val="VerbatimChar"/>
        </w:rPr>
        <w:t xml:space="preserve">action-hub@</w:t>
      </w:r>
      <w:r>
        <w:t xml:space="preserve">; value cached in memory 5 min)</w:t>
      </w:r>
    </w:p>
    <w:p>
      <w:pPr>
        <w:pStyle w:val="BodyText"/>
      </w:pPr>
      <w:r>
        <w:t xml:space="preserve">Compare the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with the secret (constant-time compare).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401 to Looker; audit event</w:t>
      </w:r>
      <w:r>
        <w:t xml:space="preserve"> </w:t>
      </w:r>
      <w:r>
        <w:rPr>
          <w:rStyle w:val="VerbatimChar"/>
        </w:rPr>
        <w:t xml:space="preserve">ACTION_AUTH_FAILED</w:t>
      </w:r>
      <w:r>
        <w:t xml:space="preserve">.</w:t>
      </w:r>
    </w:p>
    <w:bookmarkEnd w:id="30"/>
    <w:bookmarkStart w:id="31" w:name="X0dd3a9f7cebeee1b0d9c11c77d6560c72032ef5"/>
    <w:p>
      <w:pPr>
        <w:pStyle w:val="Heading3"/>
      </w:pPr>
      <w:r>
        <w:t xml:space="preserve">6 Check permission and payload, create the request 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writeback_allowed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→ otherwise</w:t>
      </w:r>
      <w:r>
        <w:t xml:space="preserve"> </w:t>
      </w:r>
      <w:r>
        <w:rPr>
          <w:bCs/>
          <w:b/>
        </w:rPr>
        <w:t xml:space="preserve">403</w:t>
      </w:r>
      <w:r>
        <w:t xml:space="preserve">, nothing else is called.</w:t>
      </w:r>
    </w:p>
    <w:p>
      <w:pPr>
        <w:pStyle w:val="Compact"/>
        <w:numPr>
          <w:ilvl w:val="0"/>
          <w:numId w:val="1001"/>
        </w:numPr>
      </w:pPr>
      <w:r>
        <w:t xml:space="preserve">Required fields present:</w:t>
      </w:r>
      <w:r>
        <w:t xml:space="preserve"> </w:t>
      </w:r>
      <w:r>
        <w:rPr>
          <w:rStyle w:val="VerbatimChar"/>
        </w:rPr>
        <w:t xml:space="preserve">record_key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(UUID) – sent as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on every following call and used by the Writer to avoid duplicates.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403 “not allowed to write back” or 400 “missing field” returned to Looker; no token is requested.</w:t>
      </w:r>
    </w:p>
    <w:bookmarkEnd w:id="31"/>
    <w:bookmarkEnd w:id="32"/>
    <w:bookmarkStart w:id="35" w:name="C"/>
    <w:p>
      <w:pPr>
        <w:pStyle w:val="Heading2"/>
      </w:pPr>
      <w:r>
        <w:t xml:space="preserve">C · Microsoft Entra token – steps 7–8 · service identity, no user token</w:t>
      </w:r>
    </w:p>
    <w:bookmarkStart w:id="33" w:name="get-a-google-id-token-for-entra"/>
    <w:p>
      <w:pPr>
        <w:pStyle w:val="Heading3"/>
      </w:pPr>
      <w:r>
        <w:t xml:space="preserve">7 Get a Google ID token for Entra</w:t>
      </w:r>
    </w:p>
    <w:p>
      <w:pPr>
        <w:pStyle w:val="PathLine"/>
      </w:pPr>
      <w:r>
        <w:rPr>
          <w:bCs/>
          <w:b/>
        </w:rPr>
        <w:t xml:space="preserve">Action Hub → GKE metadata server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http://metadata.google.internal/computeMetadata/v1/instance/service-accounts/default/identity?audience=api://AzureADTokenExchange&amp;format=full</w:t>
      </w:r>
      <w:r>
        <w:t xml:space="preserve"> </w:t>
      </w:r>
      <w:r>
        <w:t xml:space="preserve">(header</w:t>
      </w:r>
      <w:r>
        <w:t xml:space="preserve"> </w:t>
      </w:r>
      <w:r>
        <w:rPr>
          <w:rStyle w:val="VerbatimChar"/>
        </w:rPr>
        <w:t xml:space="preserve">Metadata-Flavor: Google</w:t>
      </w:r>
      <w:r>
        <w:t xml:space="preserve">)</w:t>
      </w:r>
    </w:p>
    <w:p>
      <w:pPr>
        <w:pStyle w:val="BodyText"/>
      </w:pPr>
      <w:r>
        <w:t xml:space="preserve">Returns a Google-signed ID token for</w:t>
      </w:r>
      <w:r>
        <w:t xml:space="preserve"> </w:t>
      </w:r>
      <w:r>
        <w:rPr>
          <w:rStyle w:val="VerbatimChar"/>
        </w:rPr>
        <w:t xml:space="preserve">action-hub@</w:t>
      </w:r>
      <w:r>
        <w:t xml:space="preserve">:</w:t>
      </w:r>
      <w:r>
        <w:t xml:space="preserve"> </w:t>
      </w:r>
      <w:r>
        <w:rPr>
          <w:rStyle w:val="VerbatimChar"/>
        </w:rPr>
        <w:t xml:space="preserve">iss https://accounts.google.com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sub &lt;unique id of action-hub@&gt;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aud api://AzureADTokenExchange</w:t>
      </w:r>
      <w:r>
        <w:t xml:space="preserve">, valid 1 hour. This replaces a client secret.</w:t>
      </w:r>
    </w:p>
    <w:bookmarkEnd w:id="33"/>
    <w:bookmarkStart w:id="34" w:name="call-the-microsoft-entra-token-endpoint"/>
    <w:p>
      <w:pPr>
        <w:pStyle w:val="Heading3"/>
      </w:pPr>
      <w:r>
        <w:t xml:space="preserve">8 Call the Microsoft Entra token endpoint</w:t>
      </w:r>
    </w:p>
    <w:p>
      <w:pPr>
        <w:pStyle w:val="PathLine"/>
      </w:pPr>
      <w:r>
        <w:rPr>
          <w:bCs/>
          <w:b/>
        </w:rPr>
        <w:t xml:space="preserve">Action Hub → Microsoft Entra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https://login.microsoftonline.com/&lt;tenant-id&gt;/oauth2/v2.0/token</w:t>
      </w:r>
      <w:r>
        <w:t xml:space="preserve"> </w:t>
      </w:r>
      <w:r>
        <w:t xml:space="preserve">(egress from the Looker cluster through the Spoke 2 proxy / NAT allow-list)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Content-Type: application/x-www-form-urlencoded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grant_type=client_credentials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&amp;client_id=&lt;app id of looker-writeback-action-hub&gt;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&amp;scope=api://ida-token-exchange/.default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&amp;client_assertion_type=urn:ietf:params:oauth:client-assertion-type:jwt-bearer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&amp;client_assertion=&lt;Google ID token from step 7&gt;</w:t>
      </w:r>
    </w:p>
    <w:p>
      <w:pPr>
        <w:pStyle w:val="FirstParagraph"/>
      </w:pPr>
      <w:r>
        <w:t xml:space="preserve">Entra checks the app’s</w:t>
      </w:r>
      <w:r>
        <w:t xml:space="preserve"> </w:t>
      </w:r>
      <w:r>
        <w:rPr>
          <w:bCs/>
          <w:b/>
        </w:rPr>
        <w:t xml:space="preserve">federated credential</w:t>
      </w:r>
      <w:r>
        <w:t xml:space="preserve">: issuer</w:t>
      </w:r>
      <w:r>
        <w:t xml:space="preserve"> </w:t>
      </w:r>
      <w:r>
        <w:rPr>
          <w:rStyle w:val="VerbatimChar"/>
        </w:rPr>
        <w:t xml:space="preserve">https://accounts.google.com</w:t>
      </w:r>
      <w:r>
        <w:t xml:space="preserve">, subject = unique id of</w:t>
      </w:r>
      <w:r>
        <w:t xml:space="preserve"> </w:t>
      </w:r>
      <w:r>
        <w:rPr>
          <w:rStyle w:val="VerbatimChar"/>
        </w:rPr>
        <w:t xml:space="preserve">action-hub@</w:t>
      </w:r>
      <w:r>
        <w:t xml:space="preserve">, audience</w:t>
      </w:r>
      <w:r>
        <w:t xml:space="preserve"> </w:t>
      </w:r>
      <w:r>
        <w:rPr>
          <w:rStyle w:val="VerbatimChar"/>
        </w:rPr>
        <w:t xml:space="preserve">api://AzureADTokenExchange</w:t>
      </w:r>
      <w:r>
        <w:t xml:space="preserve">. It then issues an app-only token: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{ "token_type": "Bearer", "expires_in": 3599, "access_token": "&lt;Entra access token&gt;" }</w:t>
      </w:r>
    </w:p>
    <w:p>
      <w:pPr>
        <w:pStyle w:val="CheckBox"/>
      </w:pPr>
      <w:r>
        <w:rPr>
          <w:bCs/>
          <w:b/>
        </w:rPr>
        <w:t xml:space="preserve">Cached:</w:t>
      </w:r>
      <w:r>
        <w:t xml:space="preserve"> </w:t>
      </w:r>
      <w:r>
        <w:t xml:space="preserve">the Entra token is reused until about 5 minutes before expiry, so most clicks skip steps 7–8.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rPr>
          <w:rStyle w:val="VerbatimChar"/>
        </w:rPr>
        <w:t xml:space="preserve">AADSTS70021</w:t>
      </w:r>
      <w:r>
        <w:t xml:space="preserve"> </w:t>
      </w:r>
      <w:r>
        <w:t xml:space="preserve">(subject / audience mismatch) or network error → retry once, then 502 to Looker “write-back service unavailable”; audit</w:t>
      </w:r>
      <w:r>
        <w:t xml:space="preserve"> </w:t>
      </w:r>
      <w:r>
        <w:rPr>
          <w:rStyle w:val="VerbatimChar"/>
        </w:rPr>
        <w:t xml:space="preserve">ENTRA_TOKEN_FAILED</w:t>
      </w:r>
      <w:r>
        <w:t xml:space="preserve">.</w:t>
      </w:r>
    </w:p>
    <w:p>
      <w:pPr>
        <w:pStyle w:val="PathLine"/>
      </w:pPr>
      <w:r>
        <w:t xml:space="preserve">The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value is the Entra identifier of the ID&amp;A exchange API – confirm the exact value with ID&amp;A.</w:t>
      </w:r>
    </w:p>
    <w:bookmarkEnd w:id="34"/>
    <w:bookmarkEnd w:id="35"/>
    <w:bookmarkStart w:id="39" w:name="D"/>
    <w:p>
      <w:pPr>
        <w:pStyle w:val="Heading2"/>
      </w:pPr>
      <w:r>
        <w:t xml:space="preserve">D · Apigee and ID&amp;A token exchange – steps 9–11</w:t>
      </w:r>
    </w:p>
    <w:bookmarkStart w:id="36" w:name="pass-the-entra-token-to-apigee"/>
    <w:p>
      <w:pPr>
        <w:pStyle w:val="Heading3"/>
      </w:pPr>
      <w:r>
        <w:t xml:space="preserve">9 Pass the Entra token to Apigee</w:t>
      </w:r>
    </w:p>
    <w:p>
      <w:pPr>
        <w:pStyle w:val="PathLine"/>
      </w:pPr>
      <w:r>
        <w:rPr>
          <w:bCs/>
          <w:b/>
        </w:rPr>
        <w:t xml:space="preserve">Action Hub → Apigee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https://api-int.lloyds.internal/lloyds-auth-int/v1/token-exchange</w:t>
      </w:r>
      <w:r>
        <w:t xml:space="preserve"> </w:t>
      </w:r>
      <w:r>
        <w:t xml:space="preserve">(Spoke 2 PSC endpoint → Apigee; TLS, internal CA)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Content-Type: application/x-www-form-urlencoded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X-Request-Id: 7f3c…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grant_type=urn:ietf:params:oauth:grant-type:token-exchange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&amp;subject_token=&lt;Entra access token&gt;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&amp;subject_token_type=urn:ietf:params:oauth:token-type:access_token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&amp;audience=writeback-api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&amp;scope=writeback.write</w:t>
      </w:r>
    </w:p>
    <w:bookmarkEnd w:id="36"/>
    <w:bookmarkStart w:id="37" w:name="X3f568c9365a3d3ec5a0a5101ce66aecbcfd57f4"/>
    <w:p>
      <w:pPr>
        <w:pStyle w:val="Heading3"/>
      </w:pPr>
      <w:r>
        <w:t xml:space="preserve">10 Apigee checks the request and forwards it to ID&amp;A</w:t>
      </w:r>
    </w:p>
    <w:p>
      <w:pPr>
        <w:pStyle w:val="PathLine"/>
      </w:pPr>
      <w:r>
        <w:rPr>
          <w:bCs/>
          <w:b/>
        </w:rPr>
        <w:t xml:space="preserve">Apigee proxy lloyds-auth-int</w:t>
      </w:r>
      <w:r>
        <w:t xml:space="preserve"> </w:t>
      </w:r>
      <w:r>
        <w:t xml:space="preserve">policy flow</w:t>
      </w:r>
    </w:p>
    <w:p>
      <w:pPr>
        <w:pStyle w:val="Compact"/>
        <w:numPr>
          <w:ilvl w:val="0"/>
          <w:numId w:val="1002"/>
        </w:numPr>
      </w:pPr>
      <w:r>
        <w:t xml:space="preserve">SpikeArrest 50 per second.</w:t>
      </w:r>
    </w:p>
    <w:p>
      <w:pPr>
        <w:pStyle w:val="Compact"/>
        <w:numPr>
          <w:ilvl w:val="0"/>
          <w:numId w:val="1002"/>
        </w:numPr>
      </w:pPr>
      <w:r>
        <w:t xml:space="preserve">Quota 600 per minute per client.</w:t>
      </w:r>
    </w:p>
    <w:p>
      <w:pPr>
        <w:pStyle w:val="Compact"/>
        <w:numPr>
          <w:ilvl w:val="0"/>
          <w:numId w:val="1002"/>
        </w:numPr>
      </w:pPr>
      <w:r>
        <w:t xml:space="preserve">VerifyJWT on</w:t>
      </w:r>
      <w:r>
        <w:t xml:space="preserve"> </w:t>
      </w:r>
      <w:r>
        <w:rPr>
          <w:rStyle w:val="VerbatimChar"/>
        </w:rPr>
        <w:t xml:space="preserve">subject_token</w:t>
      </w:r>
      <w:r>
        <w:t xml:space="preserve">: Entra JWKS signature, issuer</w:t>
      </w:r>
      <w:r>
        <w:t xml:space="preserve"> </w:t>
      </w:r>
      <w:r>
        <w:rPr>
          <w:rStyle w:val="VerbatimChar"/>
        </w:rPr>
        <w:t xml:space="preserve">https://sts.windows.net/&lt;tenant&gt;/</w:t>
      </w:r>
      <w:r>
        <w:t xml:space="preserve">, audience</w:t>
      </w:r>
      <w:r>
        <w:t xml:space="preserve"> </w:t>
      </w:r>
      <w:r>
        <w:rPr>
          <w:rStyle w:val="VerbatimChar"/>
        </w:rPr>
        <w:t xml:space="preserve">api://ida-token-exchange</w:t>
      </w:r>
      <w:r>
        <w:t xml:space="preserve">, not expired,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= Action Hub app.</w:t>
      </w:r>
    </w:p>
    <w:p>
      <w:pPr>
        <w:pStyle w:val="Compact"/>
        <w:numPr>
          <w:ilvl w:val="0"/>
          <w:numId w:val="1002"/>
        </w:numPr>
      </w:pPr>
      <w:r>
        <w:t xml:space="preserve">Route to the ID&amp;A token-exchange service.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401 (bad or expired Entra token) or 429 (quota) back to the Action Hub → Action Hub drops its cached Entra token, retries once from step 7, then 502 to Looker.</w:t>
      </w:r>
    </w:p>
    <w:bookmarkEnd w:id="37"/>
    <w:bookmarkStart w:id="38" w:name="ida-issues-the-ida-jwt"/>
    <w:p>
      <w:pPr>
        <w:pStyle w:val="Heading3"/>
      </w:pPr>
      <w:r>
        <w:t xml:space="preserve">11 ID&amp;A issues the ID&amp;A JWT</w:t>
      </w:r>
    </w:p>
    <w:p>
      <w:pPr>
        <w:pStyle w:val="PathLine"/>
      </w:pPr>
      <w:r>
        <w:rPr>
          <w:bCs/>
          <w:b/>
        </w:rPr>
        <w:t xml:space="preserve">ID&amp;A → Apigee → Action Hub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{ "access_token": "&lt;ID&amp;A JWT&gt;", "token_type": "Bearer", "expires_in": 900 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// decoded claims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"iss": "https://ida.lloyds.internal", "sub": "looker-action-hub", "aud": "writeback-api",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"scope": "writeback.write", "exp": 1730000900, "kid": "ida-2026-10" }</w:t>
      </w:r>
    </w:p>
    <w:p>
      <w:pPr>
        <w:pStyle w:val="CheckBox"/>
      </w:pPr>
      <w:r>
        <w:rPr>
          <w:bCs/>
          <w:b/>
        </w:rPr>
        <w:t xml:space="preserve">Cached:</w:t>
      </w:r>
      <w:r>
        <w:t xml:space="preserve"> </w:t>
      </w:r>
      <w:r>
        <w:t xml:space="preserve">the ID&amp;A JWT is reused for about 14 minutes (expires in 15).</w:t>
      </w:r>
    </w:p>
    <w:bookmarkEnd w:id="38"/>
    <w:bookmarkEnd w:id="39"/>
    <w:bookmarkStart w:id="44" w:name="E"/>
    <w:p>
      <w:pPr>
        <w:pStyle w:val="Heading2"/>
      </w:pPr>
      <w:r>
        <w:t xml:space="preserve">E · Write-back API – steps 12–15 · new write-back cluster, Spoke 2</w:t>
      </w:r>
    </w:p>
    <w:bookmarkStart w:id="40" w:name="action-hub-calls-the-write-back-api"/>
    <w:p>
      <w:pPr>
        <w:pStyle w:val="Heading3"/>
      </w:pPr>
      <w:r>
        <w:t xml:space="preserve">12 Action Hub calls the Write-back API</w:t>
      </w:r>
    </w:p>
    <w:p>
      <w:pPr>
        <w:pStyle w:val="PathLine"/>
      </w:pPr>
      <w:r>
        <w:rPr>
          <w:bCs/>
          <w:b/>
        </w:rPr>
        <w:t xml:space="preserve">Action Hub → Write-back API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https://writeback-api-int.internal/v1/writeback</w:t>
      </w:r>
      <w:r>
        <w:t xml:space="preserve"> </w:t>
      </w:r>
      <w:r>
        <w:t xml:space="preserve">(internal LB in Spoke 2; only the Looker cluster pod range is allowed)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Authorization: Bearer &lt;ID&amp;A JWT&gt;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X-Request-Id: 7f3c…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"request_id": "7f3c…", "tenant": "tenant_a", "record_key": "ACC-1042", "field": "forecast_value",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"old_value": "118000", "new_value": "125000", "comment": "Q4 update",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"actor_email": "jane.doe@lbg.example", "actor_id": "2381" }</w:t>
      </w:r>
    </w:p>
    <w:bookmarkEnd w:id="40"/>
    <w:bookmarkStart w:id="41" w:name="verify-the-ida-jwt"/>
    <w:p>
      <w:pPr>
        <w:pStyle w:val="Heading3"/>
      </w:pPr>
      <w:r>
        <w:t xml:space="preserve">13 Verify the ID&amp;A JWT</w:t>
      </w:r>
    </w:p>
    <w:p>
      <w:pPr>
        <w:pStyle w:val="PathLine"/>
      </w:pPr>
      <w:r>
        <w:rPr>
          <w:bCs/>
          <w:b/>
        </w:rPr>
        <w:t xml:space="preserve">Write-back API → Apigee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https://api-int.lloyds.internal/lloyds-auth-int/v1/jwks</w:t>
      </w:r>
      <w:r>
        <w:t xml:space="preserve"> </w:t>
      </w:r>
      <w:r>
        <w:t xml:space="preserve">(only when the key cache is empty or a new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appears; cached 10 min)</w:t>
      </w:r>
    </w:p>
    <w:p>
      <w:pPr>
        <w:pStyle w:val="BodyText"/>
      </w:pPr>
      <w:r>
        <w:t xml:space="preserve">Checks: RS256 signature with the key matching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= ID&amp;A ·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writeback-api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writeback.write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looker-action-hub</w:t>
      </w:r>
      <w:r>
        <w:t xml:space="preserve"> </w:t>
      </w:r>
      <w:r>
        <w:t xml:space="preserve">· not expired (60 s clock skew).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401</w:t>
      </w:r>
      <w:r>
        <w:t xml:space="preserve"> </w:t>
      </w:r>
      <w:r>
        <w:rPr>
          <w:rStyle w:val="VerbatimChar"/>
        </w:rPr>
        <w:t xml:space="preserve">invalid_token</w:t>
      </w:r>
      <w:r>
        <w:t xml:space="preserve"> </w:t>
      </w:r>
      <w:r>
        <w:t xml:space="preserve">→ Action Hub drops its cached ID&amp;A JWT, retries once from step 9, then 502 to Looker.</w:t>
      </w:r>
    </w:p>
    <w:bookmarkEnd w:id="41"/>
    <w:bookmarkStart w:id="42" w:name="apply-the-write-back-rules"/>
    <w:p>
      <w:pPr>
        <w:pStyle w:val="Heading3"/>
      </w:pPr>
      <w:r>
        <w:t xml:space="preserve">14 Apply the write-back rules</w:t>
      </w:r>
    </w:p>
    <w:p>
      <w:pPr>
        <w:pStyle w:val="PathLine"/>
      </w:pPr>
      <w:r>
        <w:rPr>
          <w:bCs/>
          <w:b/>
        </w:rPr>
        <w:t xml:space="preserve">Write-back API</w:t>
      </w:r>
      <w:r>
        <w:t xml:space="preserve"> </w:t>
      </w:r>
      <w:r>
        <w:t xml:space="preserve">(rules from</w:t>
      </w:r>
      <w:r>
        <w:t xml:space="preserve"> </w:t>
      </w:r>
      <w:r>
        <w:rPr>
          <w:rStyle w:val="VerbatimChar"/>
        </w:rPr>
        <w:t xml:space="preserve">/config/writeback-rules.yaml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Field</w:t>
      </w:r>
      <w:r>
        <w:t xml:space="preserve"> </w:t>
      </w:r>
      <w:r>
        <w:rPr>
          <w:rStyle w:val="VerbatimChar"/>
        </w:rPr>
        <w:t xml:space="preserve">forecast_value</w:t>
      </w:r>
      <w:r>
        <w:t xml:space="preserve"> </w:t>
      </w:r>
      <w:r>
        <w:t xml:space="preserve">is writable; value is a number within 0 – 100,000,000.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record_key</w:t>
      </w:r>
      <w:r>
        <w:t xml:space="preserve"> </w:t>
      </w:r>
      <w:r>
        <w:t xml:space="preserve">matches the allowed pattern; tenant is known.</w:t>
      </w:r>
    </w:p>
    <w:p>
      <w:pPr>
        <w:pStyle w:val="Compact"/>
        <w:numPr>
          <w:ilvl w:val="0"/>
          <w:numId w:val="1003"/>
        </w:numPr>
      </w:pPr>
      <w:r>
        <w:t xml:space="preserve">Rate limit per user (30 per minute).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400 (invalid value) or 403 (field / tenant not allowed) → Action Hub returns the message to Looker; nothing is written.</w:t>
      </w:r>
    </w:p>
    <w:bookmarkEnd w:id="42"/>
    <w:bookmarkStart w:id="43" w:name="get-a-google-id-token-for-the-writer"/>
    <w:p>
      <w:pPr>
        <w:pStyle w:val="Heading3"/>
      </w:pPr>
      <w:r>
        <w:t xml:space="preserve">15 Get a Google ID token for the Writer</w:t>
      </w:r>
    </w:p>
    <w:p>
      <w:pPr>
        <w:pStyle w:val="PathLine"/>
      </w:pPr>
      <w:r>
        <w:rPr>
          <w:bCs/>
          <w:b/>
        </w:rPr>
        <w:t xml:space="preserve">Write-back API → GKE metadata server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…/service-accounts/default/identity?audience=https://writer.internal&amp;format=full</w:t>
      </w:r>
    </w:p>
    <w:p>
      <w:pPr>
        <w:pStyle w:val="BodyText"/>
      </w:pPr>
      <w:r>
        <w:t xml:space="preserve">Returns an ID token for</w:t>
      </w:r>
      <w:r>
        <w:t xml:space="preserve"> </w:t>
      </w:r>
      <w:r>
        <w:rPr>
          <w:rStyle w:val="VerbatimChar"/>
        </w:rPr>
        <w:t xml:space="preserve">writeback-api@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aud https://writer.internal</w:t>
      </w:r>
      <w:r>
        <w:t xml:space="preserve">.</w:t>
      </w:r>
    </w:p>
    <w:bookmarkEnd w:id="43"/>
    <w:bookmarkEnd w:id="44"/>
    <w:bookmarkStart w:id="48" w:name="F"/>
    <w:p>
      <w:pPr>
        <w:pStyle w:val="Heading2"/>
      </w:pPr>
      <w:r>
        <w:t xml:space="preserve">F · Writer API and BigQuery – steps 16–18</w:t>
      </w:r>
    </w:p>
    <w:bookmarkStart w:id="45" w:name="write-back-api-calls-the-writer"/>
    <w:p>
      <w:pPr>
        <w:pStyle w:val="Heading3"/>
      </w:pPr>
      <w:r>
        <w:t xml:space="preserve">16 Write-back API calls the Writer</w:t>
      </w:r>
    </w:p>
    <w:p>
      <w:pPr>
        <w:pStyle w:val="PathLine"/>
      </w:pPr>
      <w:r>
        <w:rPr>
          <w:bCs/>
          <w:b/>
        </w:rPr>
        <w:t xml:space="preserve">Write-back API → Writer API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https://writer.writeback.svc.cluster.local/v1/write</w:t>
      </w:r>
      <w:r>
        <w:t xml:space="preserve"> </w:t>
      </w:r>
      <w:r>
        <w:t xml:space="preserve">(ClusterIP; NetworkPolicy allows only Write-back API pods)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Authorization: Bearer &lt;Google ID token&gt;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X-Request-Id: 7f3c…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{ "request_id": "7f3c…", "tenant": "tenant_a", "record_key": "ACC-1042", "field": "forecast_value",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"new_value": "125000", "actor_email": "jane.doe@lbg.example", "actor_id": "2381" }</w:t>
      </w:r>
    </w:p>
    <w:p>
      <w:pPr>
        <w:pStyle w:val="FirstParagraph"/>
      </w:pPr>
      <w:r>
        <w:t xml:space="preserve">Writer verifies the ID token with Google’s public certificates: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https://writer.internal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writeback-api@…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 </w:t>
      </w:r>
      <w:r>
        <w:t xml:space="preserve">= true.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401 / 403</w:t>
      </w:r>
      <w:r>
        <w:t xml:space="preserve"> </w:t>
      </w:r>
      <w:r>
        <w:rPr>
          <w:rStyle w:val="VerbatimChar"/>
        </w:rPr>
        <w:t xml:space="preserve">caller_not_allowed</w:t>
      </w:r>
      <w:r>
        <w:t xml:space="preserve"> </w:t>
      </w:r>
      <w:r>
        <w:t xml:space="preserve">→ 502 back up the chain.</w:t>
      </w:r>
    </w:p>
    <w:bookmarkEnd w:id="45"/>
    <w:bookmarkStart w:id="46" w:name="X7e7e92269573a3b6a1b0d0a9c34a036957c1d53"/>
    <w:p>
      <w:pPr>
        <w:pStyle w:val="Heading3"/>
      </w:pPr>
      <w:r>
        <w:t xml:space="preserve">17 (Tenant-owned dataset only) impersonate the tenant writer</w:t>
      </w:r>
    </w:p>
    <w:p>
      <w:pPr>
        <w:pStyle w:val="PathLine"/>
      </w:pPr>
      <w:r>
        <w:rPr>
          <w:bCs/>
          <w:b/>
        </w:rPr>
        <w:t xml:space="preserve">Writer → IAM Credentials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https://iamcredentials.googleapis.com/v1/projects/-/serviceAccounts/writer-tenant-a@tenant-a-data-prj.iam.gserviceaccount.com:generateAccessToken</w:t>
      </w:r>
    </w:p>
    <w:p>
      <w:pPr>
        <w:pStyle w:val="BodyText"/>
      </w:pPr>
      <w:r>
        <w:t xml:space="preserve">Allowed because the tenant granted</w:t>
      </w:r>
      <w:r>
        <w:t xml:space="preserve"> </w:t>
      </w:r>
      <w:r>
        <w:rPr>
          <w:rStyle w:val="VerbatimChar"/>
        </w:rPr>
        <w:t xml:space="preserve">roles/iam.serviceAccountTokenCreator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writer@</w:t>
      </w:r>
      <w:r>
        <w:t xml:space="preserve">. Returns a 1-hour access token for</w:t>
      </w:r>
      <w:r>
        <w:t xml:space="preserve"> </w:t>
      </w:r>
      <w:r>
        <w:rPr>
          <w:rStyle w:val="VerbatimChar"/>
        </w:rPr>
        <w:t xml:space="preserve">writer-tenant-a@</w:t>
      </w:r>
      <w:r>
        <w:t xml:space="preserve">. Skipped for the platform-owned dataset.</w:t>
      </w:r>
    </w:p>
    <w:bookmarkEnd w:id="46"/>
    <w:bookmarkStart w:id="47" w:name="insert-the-row-in-bigquery"/>
    <w:p>
      <w:pPr>
        <w:pStyle w:val="Heading3"/>
      </w:pPr>
      <w:r>
        <w:t xml:space="preserve">18 Insert the row in BigQuery</w:t>
      </w:r>
    </w:p>
    <w:p>
      <w:pPr>
        <w:pStyle w:val="PathLine"/>
      </w:pPr>
      <w:r>
        <w:rPr>
          <w:bCs/>
          <w:b/>
        </w:rPr>
        <w:t xml:space="preserve">Writer → BigQuery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https://bigquery.googleapis.com/bigquery/v2/projects/lbg-data-prj-int/datasets/writeback/tables/writeback_log/insertAll</w:t>
      </w:r>
      <w:r>
        <w:t xml:space="preserve"> </w:t>
      </w:r>
      <w:r>
        <w:t xml:space="preserve">(Private Google Access)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{ "rows": [ { "insertId": "7f3c…",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"json": { "request_id": "7f3c…", "record_key": "ACC-1042", "field": "forecast_value", "new_value": "125000",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            "actor_email": "jane.doe@lbg.example", "actor_id": "2381", "written_at": "2026-10-27T06:46:11Z" } } ] }</w:t>
      </w:r>
    </w:p>
    <w:p>
      <w:pPr>
        <w:pStyle w:val="CheckBox"/>
      </w:pPr>
      <w:r>
        <w:rPr>
          <w:bCs/>
          <w:b/>
        </w:rPr>
        <w:t xml:space="preserve">Duplicates: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is used as</w:t>
      </w:r>
      <w:r>
        <w:t xml:space="preserve"> </w:t>
      </w:r>
      <w:r>
        <w:rPr>
          <w:rStyle w:val="VerbatimChar"/>
        </w:rPr>
        <w:t xml:space="preserve">insertId</w:t>
      </w:r>
      <w:r>
        <w:t xml:space="preserve"> </w:t>
      </w:r>
      <w:r>
        <w:t xml:space="preserve">and checked by the Writer, so a retried click writes one row only.</w:t>
      </w:r>
    </w:p>
    <w:p>
      <w:pPr>
        <w:pStyle w:val="WarnBox"/>
      </w:pPr>
      <w:r>
        <w:rPr>
          <w:bCs/>
          <w:b/>
        </w:rPr>
        <w:t xml:space="preserve">If it fails:</w:t>
      </w:r>
      <w:r>
        <w:t xml:space="preserve"> </w:t>
      </w:r>
      <w:r>
        <w:t xml:space="preserve">500 from BigQuery → Writer retries with back-off (max 3 s) → 502 up the chain.</w:t>
      </w:r>
    </w:p>
    <w:bookmarkEnd w:id="47"/>
    <w:bookmarkEnd w:id="48"/>
    <w:bookmarkStart w:id="52" w:name="G"/>
    <w:p>
      <w:pPr>
        <w:pStyle w:val="Heading2"/>
      </w:pPr>
      <w:r>
        <w:t xml:space="preserve">G · Back to the user – steps 19–21</w:t>
      </w:r>
    </w:p>
    <w:bookmarkStart w:id="49" w:name="responses-travel-back"/>
    <w:p>
      <w:pPr>
        <w:pStyle w:val="Heading3"/>
      </w:pPr>
      <w:r>
        <w:t xml:space="preserve">19 Responses travel back</w:t>
      </w:r>
    </w:p>
    <w:p>
      <w:pPr>
        <w:pStyle w:val="PathLine"/>
      </w:pPr>
      <w:r>
        <w:rPr>
          <w:bCs/>
          <w:b/>
        </w:rPr>
        <w:t xml:space="preserve">Writer → Write-back API → Action Hub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Writer → Write-back API : 200 { "status": "written", "request_id": "7f3c…" }</w:t>
      </w:r>
      <w:r>
        <w:rPr>
          <w:rFonts w:ascii="Consolas" w:hAnsi="Consolas"/>
          <w:sz w:val="15"/>
        </w:rPr>
        <w:br/>
      </w:r>
      <w:r>
        <w:rPr>
          <w:rStyle w:val="VerbatimChar"/>
          <w:rFonts w:ascii="Consolas" w:hAnsi="Consolas"/>
          <w:sz w:val="15"/>
        </w:rPr>
        <w:t xml:space="preserve">Write-back API → Action Hub : 200 { "status": "written", "request_id": "7f3c…" }</w:t>
      </w:r>
    </w:p>
    <w:bookmarkEnd w:id="49"/>
    <w:bookmarkStart w:id="50" w:name="action-hub-answers-looker"/>
    <w:p>
      <w:pPr>
        <w:pStyle w:val="Heading3"/>
      </w:pPr>
      <w:r>
        <w:t xml:space="preserve">20 Action Hub answers Looker</w:t>
      </w:r>
    </w:p>
    <w:p>
      <w:pPr>
        <w:pStyle w:val="PathLine"/>
      </w:pPr>
      <w:r>
        <w:rPr>
          <w:bCs/>
          <w:b/>
        </w:rPr>
        <w:t xml:space="preserve">Action Hub → Looker server</w:t>
      </w:r>
      <w:r>
        <w:t xml:space="preserve"> </w:t>
      </w:r>
      <w:r>
        <w:t xml:space="preserve">(response to step 4)</w:t>
      </w:r>
    </w:p>
    <w:p>
      <w:pPr>
        <w:pStyle w:val="SourceCode"/>
      </w:pPr>
      <w:r>
        <w:rPr>
          <w:rStyle w:val="VerbatimChar"/>
          <w:rFonts w:ascii="Consolas" w:hAnsi="Consolas"/>
          <w:sz w:val="15"/>
        </w:rPr>
        <w:t xml:space="preserve">{ "looker": { "success": true, "refresh_query": true } }</w:t>
      </w:r>
    </w:p>
    <w:p>
      <w:pPr>
        <w:pStyle w:val="FirstParagraph"/>
      </w:pPr>
      <w:r>
        <w:t xml:space="preserve">On any failure:</w:t>
      </w:r>
      <w:r>
        <w:t xml:space="preserve"> </w:t>
      </w:r>
      <w:r>
        <w:rPr>
          <w:rStyle w:val="VerbatimChar"/>
        </w:rPr>
        <w:t xml:space="preserve">{ "looker": { "success": false, "validation_errors": [ { "field": "new_value", "message": "…" } ] } }</w:t>
      </w:r>
      <w:r>
        <w:t xml:space="preserve"> </w:t>
      </w:r>
      <w:r>
        <w:t xml:space="preserve">or a plain error message – Looker shows it to the user.</w:t>
      </w:r>
    </w:p>
    <w:bookmarkEnd w:id="50"/>
    <w:bookmarkStart w:id="51" w:name="Xe70d8e2dfceee9cac0d30d3b9584c669526e132"/>
    <w:p>
      <w:pPr>
        <w:pStyle w:val="Heading3"/>
      </w:pPr>
      <w:r>
        <w:t xml:space="preserve">21 Looker refreshes and the user sees the new value</w:t>
      </w:r>
    </w:p>
    <w:p>
      <w:pPr>
        <w:pStyle w:val="PathLine"/>
      </w:pPr>
      <w:r>
        <w:rPr>
          <w:bCs/>
          <w:b/>
        </w:rPr>
        <w:t xml:space="preserve">Looker → BigQuery → User</w:t>
      </w:r>
    </w:p>
    <w:p>
      <w:pPr>
        <w:pStyle w:val="BodyText"/>
      </w:pPr>
      <w:r>
        <w:t xml:space="preserve">Looker shows “Action sent successfully” and re-runs the tile query. The explore reads</w:t>
      </w:r>
      <w:r>
        <w:t xml:space="preserve"> </w:t>
      </w:r>
      <w:r>
        <w:rPr>
          <w:rStyle w:val="VerbatimChar"/>
        </w:rPr>
        <w:t xml:space="preserve">writeback.current_state</w:t>
      </w:r>
      <w:r>
        <w:t xml:space="preserve"> </w:t>
      </w:r>
      <w:r>
        <w:t xml:space="preserve">(latest value per key and field), so</w:t>
      </w:r>
      <w:r>
        <w:t xml:space="preserve"> </w:t>
      </w:r>
      <w:r>
        <w:rPr>
          <w:rStyle w:val="VerbatimChar"/>
        </w:rPr>
        <w:t xml:space="preserve">ACC-1042 · forecast_value = 125000</w:t>
      </w:r>
      <w:r>
        <w:t xml:space="preserve"> </w:t>
      </w:r>
      <w:r>
        <w:t xml:space="preserve">appears on the dashboard.</w:t>
      </w:r>
    </w:p>
    <w:bookmarkEnd w:id="51"/>
    <w:bookmarkEnd w:id="52"/>
    <w:bookmarkStart w:id="53" w:name="T"/>
    <w:p>
      <w:pPr>
        <w:pStyle w:val="Heading2"/>
      </w:pPr>
      <w:r>
        <w:t xml:space="preserve">Tokens used in the flow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306"/>
        <w:gridCol w:w="2047"/>
        <w:gridCol w:w="2200"/>
        <w:gridCol w:w="1834"/>
        <w:gridCol w:w="1909"/>
        <w:gridCol w:w="625"/>
      </w:tblGrid>
      <w:tr>
        <w:trPr>
          <w:tblHeader w:val="true"/>
          <w:tblHeader w:val="true"/>
        </w:trPr>
        <w:tc>
          <w:tcPr>
            <w:tcW w:w="1306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Token</w:t>
            </w:r>
          </w:p>
        </w:tc>
        <w:tc>
          <w:tcPr>
            <w:tcW w:w="204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Issued by</w:t>
            </w:r>
          </w:p>
        </w:tc>
        <w:tc>
          <w:tcPr>
            <w:tcW w:w="220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For (audience)</w:t>
            </w:r>
          </w:p>
        </w:tc>
        <w:tc>
          <w:tcPr>
            <w:tcW w:w="183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Proves</w:t>
            </w:r>
          </w:p>
        </w:tc>
        <w:tc>
          <w:tcPr>
            <w:tcW w:w="1909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Lifetime / cache</w:t>
            </w:r>
          </w:p>
        </w:tc>
        <w:tc>
          <w:tcPr>
            <w:tcW w:w="625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Steps</w:t>
            </w:r>
          </w:p>
        </w:tc>
      </w:tr>
      <w:tr>
        <w:tc>
          <w:tcPr>
            <w:tcW w:w="13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action secret</w:t>
            </w:r>
          </w:p>
        </w:tc>
        <w:tc>
          <w:tcPr>
            <w:tcW w:w="20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Platform (Secret Manager)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</w:t>
            </w:r>
          </w:p>
        </w:tc>
        <w:tc>
          <w:tcPr>
            <w:tcW w:w="18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Call comes from our Looker</w:t>
            </w:r>
          </w:p>
        </w:tc>
        <w:tc>
          <w:tcPr>
            <w:tcW w:w="19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static, rotated; cached 5 min</w:t>
            </w:r>
          </w:p>
        </w:tc>
        <w:tc>
          <w:tcPr>
            <w:tcW w:w="6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2, 4, 5</w:t>
            </w:r>
          </w:p>
        </w:tc>
      </w:tr>
      <w:tr>
        <w:tc>
          <w:tcPr>
            <w:tcW w:w="130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ID token #1</w:t>
            </w:r>
          </w:p>
        </w:tc>
        <w:tc>
          <w:tcPr>
            <w:tcW w:w="204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(metadata server)</w:t>
            </w:r>
          </w:p>
        </w:tc>
        <w:tc>
          <w:tcPr>
            <w:tcW w:w="22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api://AzureADTokenExchange</w:t>
            </w:r>
          </w:p>
        </w:tc>
        <w:tc>
          <w:tcPr>
            <w:tcW w:w="18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Caller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action-hub@</w:t>
            </w:r>
          </w:p>
        </w:tc>
        <w:tc>
          <w:tcPr>
            <w:tcW w:w="1909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h</w:t>
            </w:r>
          </w:p>
        </w:tc>
        <w:tc>
          <w:tcPr>
            <w:tcW w:w="62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7, 8</w:t>
            </w:r>
          </w:p>
        </w:tc>
      </w:tr>
      <w:tr>
        <w:tc>
          <w:tcPr>
            <w:tcW w:w="13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 access token</w:t>
            </w:r>
          </w:p>
        </w:tc>
        <w:tc>
          <w:tcPr>
            <w:tcW w:w="20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Microsoft Entra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api://ida-token-exchange</w:t>
            </w:r>
          </w:p>
        </w:tc>
        <w:tc>
          <w:tcPr>
            <w:tcW w:w="18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Caller is app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looker-writeback-action-hub</w:t>
            </w:r>
          </w:p>
        </w:tc>
        <w:tc>
          <w:tcPr>
            <w:tcW w:w="19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~1 h; reused until 5 min before expiry</w:t>
            </w:r>
          </w:p>
        </w:tc>
        <w:tc>
          <w:tcPr>
            <w:tcW w:w="6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8, 9, 10</w:t>
            </w:r>
          </w:p>
        </w:tc>
      </w:tr>
      <w:tr>
        <w:tc>
          <w:tcPr>
            <w:tcW w:w="130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 JWT</w:t>
            </w:r>
          </w:p>
        </w:tc>
        <w:tc>
          <w:tcPr>
            <w:tcW w:w="204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 (via Apigee)</w:t>
            </w:r>
          </w:p>
        </w:tc>
        <w:tc>
          <w:tcPr>
            <w:tcW w:w="22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writeback-api</w:t>
            </w:r>
          </w:p>
        </w:tc>
        <w:tc>
          <w:tcPr>
            <w:tcW w:w="18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may write back (</w:t>
            </w:r>
            <w:r>
              <w:rPr>
                <w:rStyle w:val="VerbatimChar"/>
                <w:sz w:val="17"/>
              </w:rPr>
              <w:t xml:space="preserve">writeback.write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909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 min; reused ~14 min</w:t>
            </w:r>
          </w:p>
        </w:tc>
        <w:tc>
          <w:tcPr>
            <w:tcW w:w="62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11, 12, 13</w:t>
            </w:r>
          </w:p>
        </w:tc>
      </w:tr>
      <w:tr>
        <w:tc>
          <w:tcPr>
            <w:tcW w:w="13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ID token #2</w:t>
            </w:r>
          </w:p>
        </w:tc>
        <w:tc>
          <w:tcPr>
            <w:tcW w:w="20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(metadata server)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https://writer.internal</w:t>
            </w:r>
          </w:p>
        </w:tc>
        <w:tc>
          <w:tcPr>
            <w:tcW w:w="18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Caller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writeback-api@</w:t>
            </w:r>
          </w:p>
        </w:tc>
        <w:tc>
          <w:tcPr>
            <w:tcW w:w="19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h</w:t>
            </w:r>
          </w:p>
        </w:tc>
        <w:tc>
          <w:tcPr>
            <w:tcW w:w="6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15, 16</w:t>
            </w:r>
          </w:p>
        </w:tc>
      </w:tr>
      <w:tr>
        <w:tc>
          <w:tcPr>
            <w:tcW w:w="130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access token</w:t>
            </w:r>
          </w:p>
        </w:tc>
        <w:tc>
          <w:tcPr>
            <w:tcW w:w="204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Google (metadata / IAM Credentials)</w:t>
            </w:r>
          </w:p>
        </w:tc>
        <w:tc>
          <w:tcPr>
            <w:tcW w:w="22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BigQuery API</w:t>
            </w:r>
          </w:p>
        </w:tc>
        <w:tc>
          <w:tcPr>
            <w:tcW w:w="183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writer@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writer-&lt;tenant&gt;@</w:t>
            </w:r>
          </w:p>
        </w:tc>
        <w:tc>
          <w:tcPr>
            <w:tcW w:w="1909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h</w:t>
            </w:r>
          </w:p>
        </w:tc>
        <w:tc>
          <w:tcPr>
            <w:tcW w:w="625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17, 18</w:t>
            </w:r>
          </w:p>
        </w:tc>
      </w:tr>
    </w:tbl>
    <w:p>
      <w:pPr>
        <w:pStyle w:val="NoteBox"/>
      </w:pPr>
      <w:r>
        <w:rPr>
          <w:bCs/>
          <w:b/>
        </w:rPr>
        <w:t xml:space="preserve">User identity:</w:t>
      </w:r>
      <w:r>
        <w:t xml:space="preserve"> </w:t>
      </w:r>
      <w:r>
        <w:t xml:space="preserve">the user is never authenticated by these tokens. Who clicked (</w:t>
      </w:r>
      <w:r>
        <w:rPr>
          <w:rStyle w:val="VerbatimChar"/>
        </w:rPr>
        <w:t xml:space="preserve">user_email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) and whether they may write (</w:t>
      </w:r>
      <w:r>
        <w:rPr>
          <w:rStyle w:val="VerbatimChar"/>
        </w:rPr>
        <w:t xml:space="preserve">writeback_allowed</w:t>
      </w:r>
      <w:r>
        <w:t xml:space="preserve">) come from Looker user attributes and are carried in the request body to BigQuery for the audit trail.</w:t>
      </w:r>
    </w:p>
    <w:bookmarkEnd w:id="53"/>
    <w:bookmarkStart w:id="54" w:name="X"/>
    <w:p>
      <w:pPr>
        <w:pStyle w:val="Heading2"/>
      </w:pPr>
      <w:r>
        <w:t xml:space="preserve">Failure paths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627"/>
        <w:gridCol w:w="2874"/>
        <w:gridCol w:w="1831"/>
        <w:gridCol w:w="2389"/>
        <w:gridCol w:w="2200"/>
      </w:tblGrid>
      <w:tr>
        <w:trPr>
          <w:tblHeader w:val="true"/>
          <w:tblHeader w:val="true"/>
        </w:trPr>
        <w:tc>
          <w:tcPr>
            <w:tcW w:w="627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Where</w:t>
            </w:r>
          </w:p>
        </w:tc>
        <w:tc>
          <w:tcPr>
            <w:tcW w:w="2874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Cause</w:t>
            </w:r>
          </w:p>
        </w:tc>
        <w:tc>
          <w:tcPr>
            <w:tcW w:w="1831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Returned</w:t>
            </w:r>
          </w:p>
        </w:tc>
        <w:tc>
          <w:tcPr>
            <w:tcW w:w="2389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User sees</w:t>
            </w:r>
          </w:p>
        </w:tc>
        <w:tc>
          <w:tcPr>
            <w:tcW w:w="2200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Audit event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5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Wrong / missing Looker secret</w:t>
            </w:r>
          </w:p>
        </w:tc>
        <w:tc>
          <w:tcPr>
            <w:tcW w:w="18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401 to Looker</w:t>
            </w:r>
          </w:p>
        </w:tc>
        <w:tc>
          <w:tcPr>
            <w:tcW w:w="23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“Action failed”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ACTION_AUTH_FAILED</w:t>
            </w:r>
          </w:p>
        </w:tc>
      </w:tr>
      <w:tr>
        <w:tc>
          <w:tcPr>
            <w:tcW w:w="6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6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User not in “Writeback Users”</w:t>
            </w:r>
          </w:p>
        </w:tc>
        <w:tc>
          <w:tcPr>
            <w:tcW w:w="1831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403 to Looker</w:t>
            </w:r>
          </w:p>
        </w:tc>
        <w:tc>
          <w:tcPr>
            <w:tcW w:w="2389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“You are not allowed to write back”</w:t>
            </w:r>
          </w:p>
        </w:tc>
        <w:tc>
          <w:tcPr>
            <w:tcW w:w="22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WRITEBACK_DENIED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8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 rejects the assertion / unreachable</w:t>
            </w:r>
          </w:p>
        </w:tc>
        <w:tc>
          <w:tcPr>
            <w:tcW w:w="18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502 to Looker after 1 retry</w:t>
            </w:r>
          </w:p>
        </w:tc>
        <w:tc>
          <w:tcPr>
            <w:tcW w:w="23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“Write-back service unavailable, try again”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ENTRA_TOKEN_FAILED</w:t>
            </w:r>
          </w:p>
        </w:tc>
      </w:tr>
      <w:tr>
        <w:tc>
          <w:tcPr>
            <w:tcW w:w="6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10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 401 / 429</w:t>
            </w:r>
          </w:p>
        </w:tc>
        <w:tc>
          <w:tcPr>
            <w:tcW w:w="1831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502 after 1 retry</w:t>
            </w:r>
          </w:p>
        </w:tc>
        <w:tc>
          <w:tcPr>
            <w:tcW w:w="2389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“Write-back service unavailable”</w:t>
            </w:r>
          </w:p>
        </w:tc>
        <w:tc>
          <w:tcPr>
            <w:tcW w:w="22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TOKEN_EXCHANGE_FAILED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13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ID&amp;A JWT invalid / expired / wrong audience</w:t>
            </w:r>
          </w:p>
        </w:tc>
        <w:tc>
          <w:tcPr>
            <w:tcW w:w="18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401 → retry once → 502</w:t>
            </w:r>
          </w:p>
        </w:tc>
        <w:tc>
          <w:tcPr>
            <w:tcW w:w="23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“Write-back service unavailable”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JWT_REJECTED</w:t>
            </w:r>
          </w:p>
        </w:tc>
      </w:tr>
      <w:tr>
        <w:tc>
          <w:tcPr>
            <w:tcW w:w="6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14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Value or field not allowed</w:t>
            </w:r>
          </w:p>
        </w:tc>
        <w:tc>
          <w:tcPr>
            <w:tcW w:w="1831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400 / 403</w:t>
            </w:r>
          </w:p>
        </w:tc>
        <w:tc>
          <w:tcPr>
            <w:tcW w:w="2389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validation message</w:t>
            </w:r>
          </w:p>
        </w:tc>
        <w:tc>
          <w:tcPr>
            <w:tcW w:w="22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RULE_REJECTED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16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Wrong caller or audience</w:t>
            </w:r>
          </w:p>
        </w:tc>
        <w:tc>
          <w:tcPr>
            <w:tcW w:w="18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403 → 502</w:t>
            </w:r>
          </w:p>
        </w:tc>
        <w:tc>
          <w:tcPr>
            <w:tcW w:w="23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“Write-back service unavailable”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CALLER_NOT_ALLOWED</w:t>
            </w:r>
          </w:p>
        </w:tc>
      </w:tr>
      <w:tr>
        <w:tc>
          <w:tcPr>
            <w:tcW w:w="627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18</w:t>
            </w:r>
          </w:p>
        </w:tc>
        <w:tc>
          <w:tcPr>
            <w:tcW w:w="2874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BigQuery error</w:t>
            </w:r>
          </w:p>
        </w:tc>
        <w:tc>
          <w:tcPr>
            <w:tcW w:w="1831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500 → 502</w:t>
            </w:r>
          </w:p>
        </w:tc>
        <w:tc>
          <w:tcPr>
            <w:tcW w:w="2389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“Could not save, try again”</w:t>
            </w:r>
          </w:p>
        </w:tc>
        <w:tc>
          <w:tcPr>
            <w:tcW w:w="2200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WRITE_FAILED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18</w:t>
            </w:r>
          </w:p>
        </w:tc>
        <w:tc>
          <w:tcPr>
            <w:tcW w:w="28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Same request twice</w:t>
            </w:r>
          </w:p>
        </w:tc>
        <w:tc>
          <w:tcPr>
            <w:tcW w:w="18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 (no second row)</w:t>
            </w:r>
          </w:p>
        </w:tc>
        <w:tc>
          <w:tcPr>
            <w:tcW w:w="238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Success</w:t>
            </w:r>
          </w:p>
        </w:tc>
        <w:tc>
          <w:tcPr>
            <w:tcW w:w="22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DUPLICATE_IGNORED</w:t>
            </w:r>
          </w:p>
        </w:tc>
      </w:tr>
    </w:tbl>
    <w:p>
      <w:pPr>
        <w:pStyle w:val="InfoBox"/>
      </w:pPr>
      <w:r>
        <w:t xml:space="preserve">Every log line carries the same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 so one search in Cloud Logging shows the whole click across Action Hub, Write-back API and Writer. Tokens, secrets and full values are never logged.</w:t>
      </w:r>
    </w:p>
    <w:bookmarkEnd w:id="54"/>
    <w:bookmarkStart w:id="55" w:name="N"/>
    <w:p>
      <w:pPr>
        <w:pStyle w:val="Heading2"/>
      </w:pPr>
      <w:r>
        <w:t xml:space="preserve">Network path of each call</w:t>
      </w:r>
    </w:p>
    <w:tbl>
      <w:tblPr>
        <w:tblStyle w:val="Table"/>
        <w:tblW w:type="dxa" w:w="9921"/>
        <w:jc w:val="start"/>
        <w:tblBorders>
          <w:top w:val="single" w:sz="4" w:color="C9C2D6"/>
          <w:left w:val="single" w:sz="4" w:color="C9C2D6"/>
          <w:bottom w:val="single" w:sz="4" w:color="C9C2D6"/>
          <w:right w:val="single" w:sz="4" w:color="C9C2D6"/>
          <w:insideH w:val="single" w:sz="4" w:color="C9C2D6"/>
          <w:insideV w:val="single" w:sz="4" w:color="C9C2D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1603"/>
        <w:gridCol w:w="3076"/>
        <w:gridCol w:w="5242"/>
      </w:tblGrid>
      <w:tr>
        <w:trPr>
          <w:tblHeader w:val="true"/>
          <w:tblHeader w:val="true"/>
        </w:trPr>
        <w:tc>
          <w:tcPr>
            <w:tcW w:w="1603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Call</w:t>
            </w:r>
          </w:p>
        </w:tc>
        <w:tc>
          <w:tcPr>
            <w:tcW w:w="3076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From → To</w:t>
            </w:r>
          </w:p>
        </w:tc>
        <w:tc>
          <w:tcPr>
            <w:tcW w:w="5242" w:type="dxa"/>
            <w:shd w:val="clear" w:color="auto" w:fill="D9E5F2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1F4E79"/>
                <w:sz w:val="17"/>
              </w:rPr>
              <w:t xml:space="preserve">Path</w:t>
            </w:r>
          </w:p>
        </w:tc>
      </w:tr>
      <w:tr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Steps 2, 4</w:t>
            </w:r>
          </w:p>
        </w:tc>
        <w:tc>
          <w:tcPr>
            <w:tcW w:w="30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→ Action Hub</w:t>
            </w:r>
          </w:p>
        </w:tc>
        <w:tc>
          <w:tcPr>
            <w:tcW w:w="52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Inside the Looker GKE cluster (ClusterIP, NetworkPolicy)</w:t>
            </w:r>
          </w:p>
        </w:tc>
      </w:tr>
      <w:tr>
        <w:tc>
          <w:tcPr>
            <w:tcW w:w="160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Steps 5, 7, 15, 17, 18</w:t>
            </w:r>
          </w:p>
        </w:tc>
        <w:tc>
          <w:tcPr>
            <w:tcW w:w="307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Pods → Google APIs / metadata server</w:t>
            </w:r>
          </w:p>
        </w:tc>
        <w:tc>
          <w:tcPr>
            <w:tcW w:w="524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Node metadata server; Private Google Access – no internet</w:t>
            </w:r>
          </w:p>
        </w:tc>
      </w:tr>
      <w:tr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8</w:t>
            </w:r>
          </w:p>
        </w:tc>
        <w:tc>
          <w:tcPr>
            <w:tcW w:w="30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→ Entra</w:t>
            </w:r>
          </w:p>
        </w:tc>
        <w:tc>
          <w:tcPr>
            <w:tcW w:w="52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cluster → Spoke 2 egress proxy / Cloud NAT allow-list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login.microsoftonline.com</w:t>
            </w:r>
          </w:p>
        </w:tc>
      </w:tr>
      <w:tr>
        <w:tc>
          <w:tcPr>
            <w:tcW w:w="160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Steps 9, 13</w:t>
            </w:r>
          </w:p>
        </w:tc>
        <w:tc>
          <w:tcPr>
            <w:tcW w:w="307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/ Write-back API → Apigee</w:t>
            </w:r>
          </w:p>
        </w:tc>
        <w:tc>
          <w:tcPr>
            <w:tcW w:w="524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Spoke 2 PSC endpoint → Apigee (</w:t>
            </w:r>
            <w:r>
              <w:rPr>
                <w:rStyle w:val="VerbatimChar"/>
                <w:sz w:val="17"/>
              </w:rPr>
              <w:t xml:space="preserve">api-int.lloyds.internal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10–11</w:t>
            </w:r>
          </w:p>
        </w:tc>
        <w:tc>
          <w:tcPr>
            <w:tcW w:w="30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 → ID&amp;A</w:t>
            </w:r>
          </w:p>
        </w:tc>
        <w:tc>
          <w:tcPr>
            <w:tcW w:w="52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Apigee southbound (Apigee team)</w:t>
            </w:r>
          </w:p>
        </w:tc>
      </w:tr>
      <w:tr>
        <w:tc>
          <w:tcPr>
            <w:tcW w:w="1603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12</w:t>
            </w:r>
          </w:p>
        </w:tc>
        <w:tc>
          <w:tcPr>
            <w:tcW w:w="3076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 Hub → Write-back API</w:t>
            </w:r>
          </w:p>
        </w:tc>
        <w:tc>
          <w:tcPr>
            <w:tcW w:w="5242" w:type="dxa"/>
            <w:shd w:val="clear" w:color="auto" w:fill="FBF9FE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Looker cluster → internal LB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writeback-api-int.internal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Spoke 2 (no HUB)</w:t>
            </w:r>
          </w:p>
        </w:tc>
      </w:tr>
      <w:tr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 16</w:t>
            </w:r>
          </w:p>
        </w:tc>
        <w:tc>
          <w:tcPr>
            <w:tcW w:w="30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Write-back API → Writer</w:t>
            </w:r>
          </w:p>
        </w:tc>
        <w:tc>
          <w:tcPr>
            <w:tcW w:w="52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Inside the write-back cluster (ClusterIP, NetworkPolicy)</w:t>
            </w:r>
          </w:p>
        </w:tc>
      </w:tr>
    </w:tbl>
    <w:bookmarkEnd w:id="55"/>
    <w:sectPr>
      <w:headerReference w:type="default" r:id="rId9"/>
      <w:footerReference w:type="default" r:id="rId10"/>
      <w:pgSz w:w="11906" w:h="16838"/>
      <w:pgMar w:left="992" w:right="992" w:top="1020" w:bottom="907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B7B"/>
        <w:sz w:val="16"/>
      </w:rPr>
      <w:t>Looker write-back · End-to-end call flow · Architecture v6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val="single" w:sz="12" w:space="6" w:color="1F4E79"/>
      </w:pBdr>
      <w:spacing w:after="160" w:before="360"/>
      <w:outlineLvl w:val="0"/>
    </w:pPr>
    <w:rPr>
      <w:rFonts w:ascii="Calibri" w:hAnsi="Calibr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ageBreakBefore w:val="0"/>
      <w:pBdr>
        <w:bottom w:val="single" w:sz="12" w:space="6" w:color="1F4E79"/>
      </w:pBdr>
      <w:spacing w:after="160" w:before="360"/>
      <w:outlineLvl w:val="1"/>
    </w:pPr>
    <w:rPr>
      <w:rFonts w:ascii="Calibri" w:hAnsi="Calibri"/>
      <w:b/>
      <w:bCs/>
      <w:color w:val="1F4E79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pBdr>
        <w:left w:val="single" w:sz="24" w:space="6" w:color="2E75B6"/>
      </w:pBdr>
      <w:spacing w:after="40" w:before="240"/>
      <w:outlineLvl w:val="2"/>
    </w:pPr>
    <w:rPr>
      <w:rFonts w:ascii="Calibri" w:hAnsi="Calibri"/>
      <w:b/>
      <w:bCs/>
      <w:color w:val="2E75B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D2733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hd w:val="clear" w:color="auto" w:fill="FFFFFF"/>
      <w:spacing w:before="240" w:line="259" w:lineRule="auto"/>
      <w:outlineLvl w:val="9"/>
    </w:pPr>
    <w:rPr>
      <w:rFonts w:asciiTheme="majorHAnsi" w:cstheme="majorBidi" w:eastAsiaTheme="majorEastAsia" w:hAnsiTheme="majorHAnsi"/>
      <w:b/>
      <w:bCs w:val="0"/>
      <w:color w:val="1F4E79"/>
      <w:sz w:val="28"/>
    </w:rPr>
  </w:style>
  <w:style w:type="paragraph" w:customStyle="1" w:styleId="CaptionText">
    <w:name w:val="Caption Text"/>
    <w:basedOn w:val="BodyText"/>
    <w:qFormat/>
    <w:pPr>
      <w:keepNext/>
      <w:spacing w:after="60"/>
      <w:jc w:val="center"/>
    </w:pPr>
    <w:rPr>
      <w:i/>
      <w:color w:val="5B6B7B"/>
      <w:sz w:val="18"/>
    </w:rPr>
  </w:style>
  <w:style w:type="paragraph" w:customStyle="1" w:styleId="CheckBox">
    <w:name w:val="Check Box"/>
    <w:basedOn w:val="BodyText"/>
    <w:qFormat/>
    <w:pPr>
      <w:pBdr>
        <w:left w:val="single" w:sz="24" w:space="6" w:color="38761D"/>
      </w:pBdr>
      <w:shd w:val="clear" w:color="auto" w:fill="E2EFDA"/>
      <w:spacing w:before="80" w:after="160"/>
    </w:pPr>
    <w:rPr>
      <w:sz w:val="20"/>
    </w:rPr>
  </w:style>
  <w:style w:type="paragraph" w:customStyle="1" w:styleId="Eyebrow">
    <w:name w:val="Eyebrow"/>
    <w:basedOn w:val="BodyText"/>
    <w:qFormat/>
    <w:pPr>
      <w:keepNext/>
      <w:spacing w:after="60"/>
    </w:pPr>
    <w:rPr>
      <w:i w:val="0"/>
      <w:color w:val="5B6B7B"/>
      <w:sz w:val="18"/>
    </w:rPr>
  </w:style>
  <w:style w:type="paragraph" w:customStyle="1" w:styleId="InfoBox">
    <w:name w:val="Info Box"/>
    <w:basedOn w:val="BodyText"/>
    <w:qFormat/>
    <w:pPr>
      <w:pBdr>
        <w:left w:val="single" w:sz="24" w:space="6" w:color="2E75B6"/>
      </w:pBdr>
      <w:shd w:val="clear" w:color="auto" w:fill="EFE8F8"/>
      <w:spacing w:before="80" w:after="160"/>
    </w:pPr>
    <w:rPr>
      <w:sz w:val="20"/>
    </w:rPr>
  </w:style>
  <w:style w:type="paragraph" w:customStyle="1" w:styleId="NoteBox">
    <w:name w:val="Note Box"/>
    <w:basedOn w:val="BodyText"/>
    <w:qFormat/>
    <w:pPr>
      <w:pBdr>
        <w:left w:val="single" w:sz="24" w:space="6" w:color="C9A227"/>
      </w:pBdr>
      <w:shd w:val="clear" w:color="auto" w:fill="FFF4CE"/>
      <w:spacing w:before="80" w:after="160"/>
    </w:pPr>
    <w:rPr>
      <w:sz w:val="20"/>
    </w:rPr>
  </w:style>
  <w:style w:type="paragraph" w:customStyle="1" w:styleId="PathLine">
    <w:name w:val="Path Line"/>
    <w:basedOn w:val="BodyText"/>
    <w:qFormat/>
    <w:pPr>
      <w:keepNext/>
      <w:spacing w:after="60"/>
    </w:pPr>
    <w:rPr>
      <w:i w:val="0"/>
      <w:color w:val="1D2733"/>
      <w:sz w:val="18"/>
    </w:rPr>
  </w:style>
  <w:style w:type="paragraph" w:customStyle="1" w:styleId="WarnBox">
    <w:name w:val="Warn Box"/>
    <w:basedOn w:val="BodyText"/>
    <w:qFormat/>
    <w:pPr>
      <w:pBdr>
        <w:left w:val="single" w:sz="24" w:space="6" w:color="C00000"/>
      </w:pBdr>
      <w:shd w:val="clear" w:color="auto" w:fill="FDE9E7"/>
      <w:spacing w:before="80" w:after="160"/>
    </w:pPr>
    <w:rPr>
      <w:sz w:val="20"/>
    </w:rPr>
  </w:style>
  <w:style w:type="paragraph" w:customStyle="1" w:styleId="SourceCode">
    <w:name w:val="Source Code"/>
    <w:basedOn w:val="Normal"/>
    <w:link w:val="VerbatimChar"/>
    <w:pPr>
      <w:pBdr>
        <w:left w:val="single" w:sz="18" w:space="6" w:color="2E75B6"/>
      </w:pBdr>
      <w:shd w:val="clear" w:color="auto" w:fill="F3F0F8"/>
      <w:wordWrap w:val="off"/>
      <w:spacing w:before="80" w:after="120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Write-back call flow</dc:title>
  <dc:creator/>
  <dc:language>en</dc:language>
  <cp:keywords/>
  <dcterms:created xsi:type="dcterms:W3CDTF">2026-10-27T06:50:30Z</dcterms:created>
  <dcterms:modified xsi:type="dcterms:W3CDTF">2026-10-27T06:50:30Z</dcterms:modified>
  <dc:subject>Looker write-back to BigQuery · Architecture v6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