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Write-back – endpoints to develop and APIs to deploy</w:t>
      </w:r>
    </w:p>
    <w:p>
      <w:pPr>
        <w:pStyle w:val="Eyebrow"/>
      </w:pPr>
      <w:r>
        <w:t xml:space="preserve">Looker write-back to BigQuery · Architecture v6 · Development scope</w:t>
      </w:r>
    </w:p>
    <w:p>
      <w:pPr>
        <w:pStyle w:val="BodyText"/>
      </w:pPr>
      <w:r>
        <w:t xml:space="preserve">Every endpoint in the write-back flow: what the teams build, what Apigee builds, what is only configured, and which Google endpoints the services call. Action Hub runs on the existing Looker GKE cluster; Write-back API and Writer API run on the new write-back GKE cluster in Spoke 2.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666"/>
        <w:gridCol w:w="9255"/>
      </w:tblGrid>
      <w:tr>
        <w:trPr>
          <w:tblHeader w:val="true"/>
          <w:tblHeader w:val="true"/>
        </w:trPr>
        <w:tc>
          <w:tcPr>
            <w:tcW w:w="666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Count</w:t>
            </w:r>
          </w:p>
        </w:tc>
        <w:tc>
          <w:tcPr>
            <w:tcW w:w="925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What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92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services to build and deploy Action Hub · Write-back API · Writer API</w:t>
            </w:r>
          </w:p>
        </w:tc>
      </w:tr>
      <w:tr>
        <w:tc>
          <w:tcPr>
            <w:tcW w:w="66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92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endpoints in those services (5 + 3 + 3, incl. health probes)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92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 proxy endpoints token-exchange · jwks</w:t>
            </w:r>
          </w:p>
        </w:tc>
      </w:tr>
      <w:tr>
        <w:tc>
          <w:tcPr>
            <w:tcW w:w="66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92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configured or consumed only Entra, ID&amp;A, Google APIs, Looker</w:t>
            </w:r>
          </w:p>
        </w:tc>
      </w:tr>
    </w:tbl>
    <w:bookmarkStart w:id="23" w:name="flow"/>
    <w:p>
      <w:pPr>
        <w:pStyle w:val="Heading2"/>
      </w:pPr>
      <w:r>
        <w:t xml:space="preserve">Call flow – one “Write back” click</w:t>
      </w:r>
    </w:p>
    <w:p>
      <w:pPr>
        <w:pStyle w:val="FirstParagraph"/>
      </w:pPr>
      <w:r>
        <w:drawing>
          <wp:inline>
            <wp:extent cx="6300000" cy="2270270"/>
            <wp:effectExtent b="0" l="0" r="0" t="0"/>
            <wp:docPr descr="Figure 1 – call flow for one write-back click" title="" id="21" name="Picture"/>
            <a:graphic>
              <a:graphicData uri="http://schemas.openxmlformats.org/drawingml/2006/picture">
                <pic:pic>
                  <pic:nvPicPr>
                    <pic:cNvPr descr="/tmp/claude-0/-home-claude/24f85c28-191d-5180-9944-071cdbd3e757/scratchpad/docx_tf/fig_e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27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 xml:space="preserve">Figure 1 – Request path for one write-back click; numbers are the call order</w:t>
      </w:r>
    </w:p>
    <w:bookmarkEnd w:id="23"/>
    <w:bookmarkStart w:id="24" w:name="sum"/>
    <w:p>
      <w:pPr>
        <w:pStyle w:val="Heading2"/>
      </w:pPr>
      <w:r>
        <w:t xml:space="preserve">All endpoints at a glance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855"/>
        <w:gridCol w:w="1565"/>
        <w:gridCol w:w="2874"/>
        <w:gridCol w:w="1895"/>
        <w:gridCol w:w="2282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85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Type</w:t>
            </w:r>
          </w:p>
        </w:tc>
        <w:tc>
          <w:tcPr>
            <w:tcW w:w="156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Service</w:t>
            </w:r>
          </w:p>
        </w:tc>
        <w:tc>
          <w:tcPr>
            <w:tcW w:w="287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tcW w:w="189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Called by</w:t>
            </w:r>
          </w:p>
        </w:tc>
        <w:tc>
          <w:tcPr>
            <w:tcW w:w="2282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Auth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secret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/actions/writeback/form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secret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/actions/writeback/execute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server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secret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/healthz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probe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 (cluster only)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probe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 (cluster only)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/v1/writeback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 JWT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/healthz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probe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probe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/v1/write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ID token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/healthz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probe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Build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probe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lloyds-auth-int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/v1/token-exchange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 access token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lloyds-auth-int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/v1/jwks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none (public keys)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Configure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/&lt;tenant&gt;/oauth2/v2.0/token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federated credential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Configure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token exchange (behind Apigee)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client registration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Configure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JWKS (behind Apigee)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Secret Manager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accessSecretVersion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Workload Identity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metadata server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…/service-accounts/default/identity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Hub, Write-back API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Workload Identity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IAM Credentials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generateAccessToken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Workload Identity + tokenCreator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BigQuery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tabledata.insertAll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Storage Write API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Workload Identity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>
            <w:tcW w:w="8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</w:t>
            </w:r>
          </w:p>
        </w:tc>
        <w:tc>
          <w:tcPr>
            <w:tcW w:w="1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Admin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registration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admin / script</w:t>
            </w:r>
          </w:p>
        </w:tc>
        <w:tc>
          <w:tcPr>
            <w:tcW w:w="22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secret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>
            <w:tcW w:w="85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</w:t>
            </w:r>
          </w:p>
        </w:tc>
        <w:tc>
          <w:tcPr>
            <w:tcW w:w="1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LookML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tags: ["writeback_key"]</w:t>
            </w:r>
          </w:p>
        </w:tc>
        <w:tc>
          <w:tcPr>
            <w:tcW w:w="18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developers</w:t>
            </w:r>
          </w:p>
        </w:tc>
        <w:tc>
          <w:tcPr>
            <w:tcW w:w="22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4"/>
    <w:bookmarkStart w:id="28" w:name="A"/>
    <w:p>
      <w:pPr>
        <w:pStyle w:val="Heading2"/>
      </w:pPr>
      <w:r>
        <w:t xml:space="preserve">A · APIs to build and deploy – your code – 3 services</w:t>
      </w:r>
    </w:p>
    <w:bookmarkStart w:id="25" w:name="action-hub"/>
    <w:p>
      <w:pPr>
        <w:pStyle w:val="Heading3"/>
      </w:pPr>
      <w:r>
        <w:t xml:space="preserve">1 · Action Hub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887"/>
        <w:gridCol w:w="7034"/>
      </w:tblGrid>
      <w:tr>
        <w:trPr>
          <w:tblHeader w:val="true"/>
          <w:tblHeader w:val="true"/>
        </w:trPr>
        <w:tc>
          <w:tcPr>
            <w:tcW w:w="288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Item</w:t>
            </w:r>
          </w:p>
        </w:tc>
        <w:tc>
          <w:tcPr>
            <w:tcW w:w="703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Value</w:t>
            </w:r>
          </w:p>
        </w:tc>
      </w:tr>
      <w:tr>
        <w:tc>
          <w:tcPr>
            <w:tcW w:w="28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Cluster / namespace</w:t>
            </w:r>
          </w:p>
        </w:tc>
        <w:tc>
          <w:tcPr>
            <w:tcW w:w="70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Existing Looker GKE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looker-actions</w:t>
            </w:r>
          </w:p>
        </w:tc>
      </w:tr>
      <w:tr>
        <w:tc>
          <w:tcPr>
            <w:tcW w:w="288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Deployment / identity</w:t>
            </w:r>
          </w:p>
        </w:tc>
        <w:tc>
          <w:tcPr>
            <w:tcW w:w="70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action-hub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KSA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action-hub-ksa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action-hub@</w:t>
            </w:r>
          </w:p>
        </w:tc>
      </w:tr>
      <w:tr>
        <w:tc>
          <w:tcPr>
            <w:tcW w:w="28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Exposed as</w:t>
            </w:r>
          </w:p>
        </w:tc>
        <w:tc>
          <w:tcPr>
            <w:tcW w:w="70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ClusterIP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https://action-hub.looker-actions.svc.cluster.local</w:t>
            </w:r>
          </w:p>
        </w:tc>
      </w:tr>
      <w:tr>
        <w:tc>
          <w:tcPr>
            <w:tcW w:w="288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Who may call</w:t>
            </w:r>
          </w:p>
        </w:tc>
        <w:tc>
          <w:tcPr>
            <w:tcW w:w="70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only (NetworkPolicy from Looker's namespace)</w:t>
            </w:r>
          </w:p>
        </w:tc>
      </w:tr>
    </w:tbl>
    <w:p/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1434"/>
        <w:gridCol w:w="2393"/>
        <w:gridCol w:w="3662"/>
        <w:gridCol w:w="1982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143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tcW w:w="2393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Called by / when</w:t>
            </w:r>
          </w:p>
        </w:tc>
        <w:tc>
          <w:tcPr>
            <w:tcW w:w="3662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What it does</w:t>
            </w:r>
          </w:p>
        </w:tc>
        <w:tc>
          <w:tcPr>
            <w:tcW w:w="1982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Responses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4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</w:t>
            </w:r>
          </w:p>
        </w:tc>
        <w:tc>
          <w:tcPr>
            <w:tcW w:w="23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Looker, when the hub is registered or refreshed</w:t>
            </w:r>
          </w:p>
        </w:tc>
        <w:tc>
          <w:tcPr>
            <w:tcW w:w="36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Returns the action list (Looker Action Hub protocol): action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</w:t>
            </w:r>
            <w:r>
              <w:rPr>
                <w:sz w:val="17"/>
              </w:rPr>
              <w:t xml:space="preserve">, supported on fields tagged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writeback_key</w:t>
            </w:r>
            <w:r>
              <w:rPr>
                <w:sz w:val="17"/>
              </w:rPr>
              <w:t xml:space="preserve">. Checks the Looker secret in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Authorization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header.</w:t>
            </w:r>
          </w:p>
        </w:tc>
        <w:tc>
          <w:tcPr>
            <w:tcW w:w="19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action list · 401 bad secret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4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/actions/writeback/form</w:t>
            </w:r>
          </w:p>
        </w:tc>
        <w:tc>
          <w:tcPr>
            <w:tcW w:w="239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Looker, before showing the action (only if a form is used)</w:t>
            </w:r>
          </w:p>
        </w:tc>
        <w:tc>
          <w:tcPr>
            <w:tcW w:w="366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Returns the input form: field, new value, comment.</w:t>
            </w:r>
          </w:p>
        </w:tc>
        <w:tc>
          <w:tcPr>
            <w:tcW w:w="19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form · 401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14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/actions/writeback/execute</w:t>
            </w:r>
          </w:p>
        </w:tc>
        <w:tc>
          <w:tcPr>
            <w:tcW w:w="23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server, once per click (never the browser)</w:t>
            </w:r>
          </w:p>
        </w:tc>
        <w:tc>
          <w:tcPr>
            <w:tcW w:w="36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Receives the row, user email and id,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writeback_allowed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new value. Checks the Looker secret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writeback_allowed = yes</w:t>
            </w:r>
            <w:r>
              <w:rPr>
                <w:sz w:val="17"/>
              </w:rPr>
              <w:t xml:space="preserve">, gets an Entra token (#14), exchanges it at Apigee for an ID&amp;A JWT (#12, cached until expiry), calls the Write-back API (#6) and returns the outcome to Looker.</w:t>
            </w:r>
          </w:p>
        </w:tc>
        <w:tc>
          <w:tcPr>
            <w:tcW w:w="19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success · 401 bad secret · 403 not allowed · 502 downstream failure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4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/healthz</w:t>
            </w:r>
          </w:p>
        </w:tc>
        <w:tc>
          <w:tcPr>
            <w:tcW w:w="239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liveness probe</w:t>
            </w:r>
          </w:p>
        </w:tc>
        <w:tc>
          <w:tcPr>
            <w:tcW w:w="366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Process is alive.</w:t>
            </w:r>
          </w:p>
        </w:tc>
        <w:tc>
          <w:tcPr>
            <w:tcW w:w="198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· 503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4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</w:p>
        </w:tc>
        <w:tc>
          <w:tcPr>
            <w:tcW w:w="23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readiness probe</w:t>
            </w:r>
          </w:p>
        </w:tc>
        <w:tc>
          <w:tcPr>
            <w:tcW w:w="36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Looker secret can be read from Secret Manager.</w:t>
            </w:r>
          </w:p>
        </w:tc>
        <w:tc>
          <w:tcPr>
            <w:tcW w:w="19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· 503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// #3 request from Looker (abridged)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"type": "cell",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"scheduled_plan": null,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"data": { "record_key": "ACC-1042", "field": "forecast_value", "new_value": "125000", "comment": "Q4 update"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"attachment": null,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"params": { "user_email": "jane.doe@lbg.example", "user_id": "2381", "writeback_allowed": "yes" }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// #3 response to Looker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"looker": { "success": true, "refresh_query": true } }</w:t>
      </w:r>
    </w:p>
    <w:bookmarkEnd w:id="25"/>
    <w:bookmarkStart w:id="26" w:name="write-back-api"/>
    <w:p>
      <w:pPr>
        <w:pStyle w:val="Heading3"/>
      </w:pPr>
      <w:r>
        <w:t xml:space="preserve">2 · Write-back API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774"/>
        <w:gridCol w:w="7147"/>
      </w:tblGrid>
      <w:tr>
        <w:trPr>
          <w:tblHeader w:val="true"/>
          <w:tblHeader w:val="true"/>
        </w:trPr>
        <w:tc>
          <w:tcPr>
            <w:tcW w:w="277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Item</w:t>
            </w:r>
          </w:p>
        </w:tc>
        <w:tc>
          <w:tcPr>
            <w:tcW w:w="714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Value</w:t>
            </w:r>
          </w:p>
        </w:tc>
      </w:tr>
      <w:tr>
        <w:tc>
          <w:tcPr>
            <w:tcW w:w="27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Cluster / namespace</w:t>
            </w:r>
          </w:p>
        </w:tc>
        <w:tc>
          <w:tcPr>
            <w:tcW w:w="71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New write-back GKE (Spoke 2)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</w:t>
            </w:r>
          </w:p>
        </w:tc>
      </w:tr>
      <w:tr>
        <w:tc>
          <w:tcPr>
            <w:tcW w:w="27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Deployment / identity</w:t>
            </w:r>
          </w:p>
        </w:tc>
        <w:tc>
          <w:tcPr>
            <w:tcW w:w="714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writeback-api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KSA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writeback-ksa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writeback-api@</w:t>
            </w:r>
          </w:p>
        </w:tc>
      </w:tr>
      <w:tr>
        <w:tc>
          <w:tcPr>
            <w:tcW w:w="27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Exposed as</w:t>
            </w:r>
          </w:p>
        </w:tc>
        <w:tc>
          <w:tcPr>
            <w:tcW w:w="71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Internal LB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https://writeback-api-int.internal</w:t>
            </w:r>
          </w:p>
        </w:tc>
      </w:tr>
      <w:tr>
        <w:tc>
          <w:tcPr>
            <w:tcW w:w="27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Who may call</w:t>
            </w:r>
          </w:p>
        </w:tc>
        <w:tc>
          <w:tcPr>
            <w:tcW w:w="714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cluster pod range only (ILB source ranges + firewall + NetworkPolicy)</w:t>
            </w:r>
          </w:p>
        </w:tc>
      </w:tr>
    </w:tbl>
    <w:p/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976"/>
        <w:gridCol w:w="2100"/>
        <w:gridCol w:w="3781"/>
        <w:gridCol w:w="2614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976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tcW w:w="210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Called by / when</w:t>
            </w:r>
          </w:p>
        </w:tc>
        <w:tc>
          <w:tcPr>
            <w:tcW w:w="3781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What it does</w:t>
            </w:r>
          </w:p>
        </w:tc>
        <w:tc>
          <w:tcPr>
            <w:tcW w:w="261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Responses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9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/v1/writeback</w:t>
            </w:r>
          </w:p>
        </w:tc>
        <w:tc>
          <w:tcPr>
            <w:tcW w:w="21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Hub,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Authorization: Bearer &lt;ID&amp;A JWT&gt;</w:t>
            </w:r>
          </w:p>
        </w:tc>
        <w:tc>
          <w:tcPr>
            <w:tcW w:w="37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Verifies the JWT with JWKS from #13 (signature,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 = writeback-api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scope = writeback.write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 = looker-action-hub</w:t>
            </w:r>
            <w:r>
              <w:rPr>
                <w:sz w:val="17"/>
              </w:rPr>
              <w:t xml:space="preserve">). Validates field and value against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writeback-rules.yaml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tenant. Calls the Writer (#9) with a Google ID token (audience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https://writer.internal</w:t>
            </w:r>
            <w:r>
              <w:rPr>
                <w:sz w:val="17"/>
              </w:rPr>
              <w:t xml:space="preserve">).</w:t>
            </w:r>
          </w:p>
        </w:tc>
        <w:tc>
          <w:tcPr>
            <w:tcW w:w="26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written · 400 invalid value · 401 bad token · 403 field/tenant not allowed · 409 duplicate request_id · 502 Writer failure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97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/healthz</w:t>
            </w:r>
          </w:p>
        </w:tc>
        <w:tc>
          <w:tcPr>
            <w:tcW w:w="21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liveness probe</w:t>
            </w:r>
          </w:p>
        </w:tc>
        <w:tc>
          <w:tcPr>
            <w:tcW w:w="3781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Process is alive.</w:t>
            </w:r>
          </w:p>
        </w:tc>
        <w:tc>
          <w:tcPr>
            <w:tcW w:w="261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· 503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9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</w:p>
        </w:tc>
        <w:tc>
          <w:tcPr>
            <w:tcW w:w="21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readiness probe</w:t>
            </w:r>
          </w:p>
        </w:tc>
        <w:tc>
          <w:tcPr>
            <w:tcW w:w="37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JWKS loaded (and not older than 30 min); Writer reachable.</w:t>
            </w:r>
          </w:p>
        </w:tc>
        <w:tc>
          <w:tcPr>
            <w:tcW w:w="26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· 503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// #6 request from Action Hub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POST /v1/writeback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Authorization: Bearer eyJhbGciOiJSUzI1NiIsImtpZCI6…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X-Request-Id: 7f3c…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"request_id": "7f3c…", "tenant": "tenant_a", "record_key": "ACC-1042", "field": "forecast_value",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"new_value": "125000", "actor_email": "jane.doe@lbg.example", "actor_id": "2381" }</w:t>
      </w:r>
    </w:p>
    <w:bookmarkEnd w:id="26"/>
    <w:bookmarkStart w:id="27" w:name="writer-api"/>
    <w:p>
      <w:pPr>
        <w:pStyle w:val="Heading3"/>
      </w:pPr>
      <w:r>
        <w:t xml:space="preserve">3 · Writer API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856"/>
        <w:gridCol w:w="7065"/>
      </w:tblGrid>
      <w:tr>
        <w:trPr>
          <w:tblHeader w:val="true"/>
          <w:tblHeader w:val="true"/>
        </w:trPr>
        <w:tc>
          <w:tcPr>
            <w:tcW w:w="2856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Item</w:t>
            </w:r>
          </w:p>
        </w:tc>
        <w:tc>
          <w:tcPr>
            <w:tcW w:w="706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Value</w:t>
            </w:r>
          </w:p>
        </w:tc>
      </w:tr>
      <w:tr>
        <w:tc>
          <w:tcPr>
            <w:tcW w:w="28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Cluster / namespace</w:t>
            </w:r>
          </w:p>
        </w:tc>
        <w:tc>
          <w:tcPr>
            <w:tcW w:w="7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New write-back GKE (Spoke 2)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</w:t>
            </w:r>
          </w:p>
        </w:tc>
      </w:tr>
      <w:tr>
        <w:tc>
          <w:tcPr>
            <w:tcW w:w="285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Deployment / identity</w:t>
            </w:r>
          </w:p>
        </w:tc>
        <w:tc>
          <w:tcPr>
            <w:tcW w:w="70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writer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KSA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writer-ksa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writer@</w:t>
            </w:r>
          </w:p>
        </w:tc>
      </w:tr>
      <w:tr>
        <w:tc>
          <w:tcPr>
            <w:tcW w:w="28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Exposed as</w:t>
            </w:r>
          </w:p>
        </w:tc>
        <w:tc>
          <w:tcPr>
            <w:tcW w:w="7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ClusterIP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https://writer.writeback.svc.cluster.local</w:t>
            </w:r>
          </w:p>
        </w:tc>
      </w:tr>
      <w:tr>
        <w:tc>
          <w:tcPr>
            <w:tcW w:w="285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Who may call</w:t>
            </w:r>
          </w:p>
        </w:tc>
        <w:tc>
          <w:tcPr>
            <w:tcW w:w="70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 pods only (NetworkPolicy) and ID token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writeback-api@</w:t>
            </w:r>
          </w:p>
        </w:tc>
      </w:tr>
    </w:tbl>
    <w:p/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890"/>
        <w:gridCol w:w="2080"/>
        <w:gridCol w:w="4093"/>
        <w:gridCol w:w="2408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89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tcW w:w="208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Called by / when</w:t>
            </w:r>
          </w:p>
        </w:tc>
        <w:tc>
          <w:tcPr>
            <w:tcW w:w="4093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What it does</w:t>
            </w:r>
          </w:p>
        </w:tc>
        <w:tc>
          <w:tcPr>
            <w:tcW w:w="2408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Responses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89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/v1/write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API, with a Google ID token</w:t>
            </w:r>
          </w:p>
        </w:tc>
        <w:tc>
          <w:tcPr>
            <w:tcW w:w="40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Verifies the ID token (</w:t>
            </w:r>
            <w:r>
              <w:rPr>
                <w:rStyle w:val="VerbatimChar"/>
                <w:sz w:val="17"/>
              </w:rPr>
              <w:t xml:space="preserve">aud = https://writer.internal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 = writeback-api@</w:t>
            </w:r>
            <w:r>
              <w:rPr>
                <w:sz w:val="17"/>
              </w:rPr>
              <w:t xml:space="preserve">). Writes one row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writeback.writeback_log</w:t>
            </w:r>
            <w:r>
              <w:rPr>
                <w:sz w:val="17"/>
              </w:rPr>
              <w:t xml:space="preserve">; for tenant-owned datasets first impersonates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writer-&lt;tenant&gt;@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(#19). Idempotent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– the same request twice writes one row.</w:t>
            </w:r>
          </w:p>
        </w:tc>
        <w:tc>
          <w:tcPr>
            <w:tcW w:w="24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row ref · 401 bad token · 403 caller_not_allowed · 409 duplicate · 500 BigQuery error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89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/healthz</w:t>
            </w:r>
          </w:p>
        </w:tc>
        <w:tc>
          <w:tcPr>
            <w:tcW w:w="208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liveness probe</w:t>
            </w:r>
          </w:p>
        </w:tc>
        <w:tc>
          <w:tcPr>
            <w:tcW w:w="409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Process is alive.</w:t>
            </w:r>
          </w:p>
        </w:tc>
        <w:tc>
          <w:tcPr>
            <w:tcW w:w="2408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· 503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89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readiness probe</w:t>
            </w:r>
          </w:p>
        </w:tc>
        <w:tc>
          <w:tcPr>
            <w:tcW w:w="40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BigQuery reachable.</w:t>
            </w:r>
          </w:p>
        </w:tc>
        <w:tc>
          <w:tcPr>
            <w:tcW w:w="24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· 503</w:t>
            </w:r>
          </w:p>
        </w:tc>
      </w:tr>
    </w:tbl>
    <w:bookmarkEnd w:id="27"/>
    <w:bookmarkEnd w:id="28"/>
    <w:bookmarkStart w:id="29" w:name="B"/>
    <w:p>
      <w:pPr>
        <w:pStyle w:val="Heading2"/>
      </w:pPr>
      <w:r>
        <w:t xml:space="preserve">B · Apigee proxies to build – Apigee team · proxy lloyds-auth-int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2565"/>
        <w:gridCol w:w="1702"/>
        <w:gridCol w:w="3277"/>
        <w:gridCol w:w="1927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256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tcW w:w="1702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Called by</w:t>
            </w:r>
          </w:p>
        </w:tc>
        <w:tc>
          <w:tcPr>
            <w:tcW w:w="327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Policy flow</w:t>
            </w:r>
          </w:p>
        </w:tc>
        <w:tc>
          <w:tcPr>
            <w:tcW w:w="192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Returns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2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https://api-int.lloyds.internal/lloyds-auth-int/v1/token-exchange</w:t>
            </w:r>
          </w:p>
        </w:tc>
        <w:tc>
          <w:tcPr>
            <w:tcW w:w="1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Hub, over the Spoke 2 PSC endpoint</w:t>
            </w:r>
          </w:p>
        </w:tc>
        <w:tc>
          <w:tcPr>
            <w:tcW w:w="3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SpikeArrest (50 ps) → Quota per client (600/min) → VerifyJWT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subject_token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(Entra JWKS, issuer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https://sts.windows.net/&lt;tenant&gt;/</w:t>
            </w:r>
            <w:r>
              <w:rPr>
                <w:sz w:val="17"/>
              </w:rPr>
              <w:t xml:space="preserve">, audience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api://ida-token-exchange</w:t>
            </w:r>
            <w:r>
              <w:rPr>
                <w:sz w:val="17"/>
              </w:rPr>
              <w:t xml:space="preserve">) → route to ID&amp;A token exchange</w:t>
            </w:r>
          </w:p>
        </w:tc>
        <w:tc>
          <w:tcPr>
            <w:tcW w:w="19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{access_token, expires_in}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401 tampered/expired token · 429 quota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>
            <w:tcW w:w="256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https://api-int.lloyds.internal/lloyds-auth-int/v1/jwks</w:t>
            </w:r>
          </w:p>
        </w:tc>
        <w:tc>
          <w:tcPr>
            <w:tcW w:w="170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>
            <w:tcW w:w="327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Proxy ID&amp;A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/.well-known/jwks.json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ResponseCache 10 min</w:t>
            </w:r>
          </w:p>
        </w:tc>
        <w:tc>
          <w:tcPr>
            <w:tcW w:w="19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JWKS keys</w:t>
            </w:r>
          </w:p>
        </w:tc>
      </w:tr>
    </w:tbl>
    <w:bookmarkEnd w:id="29"/>
    <w:bookmarkStart w:id="30" w:name="C"/>
    <w:p>
      <w:pPr>
        <w:pStyle w:val="Heading2"/>
      </w:pPr>
      <w:r>
        <w:t xml:space="preserve">C · Configured, not built – owned by other teams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3334"/>
        <w:gridCol w:w="742"/>
        <w:gridCol w:w="5395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333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tcW w:w="742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Owner</w:t>
            </w:r>
          </w:p>
        </w:tc>
        <w:tc>
          <w:tcPr>
            <w:tcW w:w="539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What is configured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>
            <w:tcW w:w="33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https://login.microsoftonline.com/&lt;tenant&gt;/oauth2/v2.0/token</w:t>
            </w:r>
          </w:p>
        </w:tc>
        <w:tc>
          <w:tcPr>
            <w:tcW w:w="7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IAM (Entra)</w:t>
            </w:r>
          </w:p>
        </w:tc>
        <w:tc>
          <w:tcPr>
            <w:tcW w:w="5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looker-writeback-action-hub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 federated credential (issuer Google, subject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action-hub@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unique id). Action Hub sends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client_assertion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Google ID token, no secret.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33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 token exchange (behind Apigee)</w:t>
            </w:r>
          </w:p>
        </w:tc>
        <w:tc>
          <w:tcPr>
            <w:tcW w:w="74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</w:t>
            </w:r>
          </w:p>
        </w:tc>
        <w:tc>
          <w:tcPr>
            <w:tcW w:w="539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Client registration; token profile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 looker-action-hub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 writeback-api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scope writeback.write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 900 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RS256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kid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>
            <w:tcW w:w="33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 JWKS (behind Apigee)</w:t>
            </w:r>
          </w:p>
        </w:tc>
        <w:tc>
          <w:tcPr>
            <w:tcW w:w="7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</w:t>
            </w:r>
          </w:p>
        </w:tc>
        <w:tc>
          <w:tcPr>
            <w:tcW w:w="5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Public signing keys and a key-rotation notice.</w:t>
            </w:r>
          </w:p>
        </w:tc>
      </w:tr>
    </w:tbl>
    <w:bookmarkEnd w:id="30"/>
    <w:bookmarkStart w:id="31" w:name="D"/>
    <w:p>
      <w:pPr>
        <w:pStyle w:val="Heading2"/>
      </w:pPr>
      <w:r>
        <w:t xml:space="preserve">D · Google endpoints the services call – nothing to build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3827"/>
        <w:gridCol w:w="1727"/>
        <w:gridCol w:w="3917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382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tcW w:w="172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Used by</w:t>
            </w:r>
          </w:p>
        </w:tc>
        <w:tc>
          <w:tcPr>
            <w:tcW w:w="391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Purpose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>
            <w:tcW w:w="3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Secret Manager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accessSecretVersion</w:t>
            </w:r>
          </w:p>
        </w:tc>
        <w:tc>
          <w:tcPr>
            <w:tcW w:w="17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39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looker-action-secret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38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GKE metadata server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/computeMetadata/v1/instance/service-accounts/default/identity</w:t>
            </w:r>
          </w:p>
        </w:tc>
        <w:tc>
          <w:tcPr>
            <w:tcW w:w="17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· Write-back API</w:t>
            </w:r>
          </w:p>
        </w:tc>
        <w:tc>
          <w:tcPr>
            <w:tcW w:w="391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ID tokens: audience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api://AzureADTokenExchange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(for Entra)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https://writer.internal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(for the Writer)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>
            <w:tcW w:w="3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IAM Credentials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generateAccessToken</w:t>
            </w:r>
          </w:p>
        </w:tc>
        <w:tc>
          <w:tcPr>
            <w:tcW w:w="17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>
            <w:tcW w:w="39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Impersonate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writer-&lt;tenant&gt;@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tenant-owned datasets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38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BigQuery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tabledata.insertAll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 Storage Write API</w:t>
            </w:r>
          </w:p>
        </w:tc>
        <w:tc>
          <w:tcPr>
            <w:tcW w:w="17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>
            <w:tcW w:w="391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Insert into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writeback.writeback_log</w:t>
            </w:r>
          </w:p>
        </w:tc>
      </w:tr>
    </w:tbl>
    <w:bookmarkEnd w:id="31"/>
    <w:bookmarkStart w:id="32" w:name="E"/>
    <w:p>
      <w:pPr>
        <w:pStyle w:val="Heading2"/>
      </w:pPr>
      <w:r>
        <w:t xml:space="preserve">E · Looker-side registration – configured, not built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3005"/>
        <w:gridCol w:w="2023"/>
        <w:gridCol w:w="4443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300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Item</w:t>
            </w:r>
          </w:p>
        </w:tc>
        <w:tc>
          <w:tcPr>
            <w:tcW w:w="2023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Owner</w:t>
            </w:r>
          </w:p>
        </w:tc>
        <w:tc>
          <w:tcPr>
            <w:tcW w:w="4443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Details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>
            <w:tcW w:w="30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registration (Admin › Platform › Actions)</w:t>
            </w:r>
          </w:p>
        </w:tc>
        <w:tc>
          <w:tcPr>
            <w:tcW w:w="20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BIaaS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configure_looker.py</w:t>
            </w:r>
          </w:p>
        </w:tc>
        <w:tc>
          <w:tcPr>
            <w:tcW w:w="44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URL from #1 with the Looker secret; enable the “Write back” action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>
            <w:tcW w:w="300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LookML field tags</w:t>
            </w:r>
          </w:p>
        </w:tc>
        <w:tc>
          <w:tcPr>
            <w:tcW w:w="202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developers</w:t>
            </w:r>
          </w:p>
        </w:tc>
        <w:tc>
          <w:tcPr>
            <w:tcW w:w="444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tags: ["writeback_key"]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writable fields; explores read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writeback.current_state</w:t>
            </w:r>
          </w:p>
        </w:tc>
      </w:tr>
    </w:tbl>
    <w:bookmarkEnd w:id="32"/>
    <w:bookmarkStart w:id="33" w:name="F"/>
    <w:p>
      <w:pPr>
        <w:pStyle w:val="Heading2"/>
      </w:pPr>
      <w:r>
        <w:t xml:space="preserve">F · Common rules for every endpoint we build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285"/>
        <w:gridCol w:w="8636"/>
      </w:tblGrid>
      <w:tr>
        <w:trPr>
          <w:tblHeader w:val="true"/>
          <w:tblHeader w:val="true"/>
        </w:trPr>
        <w:tc>
          <w:tcPr>
            <w:tcW w:w="128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Rule</w:t>
            </w:r>
          </w:p>
        </w:tc>
        <w:tc>
          <w:tcPr>
            <w:tcW w:w="8636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Detail</w:t>
            </w:r>
          </w:p>
        </w:tc>
      </w:tr>
      <w:tr>
        <w:tc>
          <w:tcPr>
            <w:tcW w:w="12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Transport</w:t>
            </w:r>
          </w:p>
        </w:tc>
        <w:tc>
          <w:tcPr>
            <w:tcW w:w="86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HTTPS on container port 8443; TLS PEM mounted from Secret Manager at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/tls/tls.pem</w:t>
            </w:r>
          </w:p>
        </w:tc>
      </w:tr>
      <w:tr>
        <w:tc>
          <w:tcPr>
            <w:tcW w:w="128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Correlation</w:t>
            </w:r>
          </w:p>
        </w:tc>
        <w:tc>
          <w:tcPr>
            <w:tcW w:w="863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X-Request-Id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accepted or generated, passed to every downstream call and logged on every line</w:t>
            </w:r>
          </w:p>
        </w:tc>
      </w:tr>
      <w:tr>
        <w:tc>
          <w:tcPr>
            <w:tcW w:w="12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Logging</w:t>
            </w:r>
          </w:p>
        </w:tc>
        <w:tc>
          <w:tcPr>
            <w:tcW w:w="86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 logs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outcome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(feed the log-based alerts); never log tokens, secrets or the new value in full</w:t>
            </w:r>
          </w:p>
        </w:tc>
      </w:tr>
      <w:tr>
        <w:tc>
          <w:tcPr>
            <w:tcW w:w="128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Timeouts</w:t>
            </w:r>
          </w:p>
        </w:tc>
        <w:tc>
          <w:tcPr>
            <w:tcW w:w="863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Total click budget under 5 s; Entra and Apigee 2 s each with one retry; BigQuery 3 s</w:t>
            </w:r>
          </w:p>
        </w:tc>
      </w:tr>
      <w:tr>
        <w:tc>
          <w:tcPr>
            <w:tcW w:w="12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Errors</w:t>
            </w:r>
          </w:p>
        </w:tc>
        <w:tc>
          <w:tcPr>
            <w:tcW w:w="86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 "error": "&lt;code&gt;", "request_id": "…" }</w:t>
            </w:r>
            <w:r>
              <w:rPr>
                <w:sz w:val="17"/>
              </w:rPr>
              <w:t xml:space="preserve">; no stack traces to callers</w:t>
            </w:r>
          </w:p>
        </w:tc>
      </w:tr>
      <w:tr>
        <w:tc>
          <w:tcPr>
            <w:tcW w:w="128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Probes</w:t>
            </w:r>
          </w:p>
        </w:tc>
        <w:tc>
          <w:tcPr>
            <w:tcW w:w="863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/healthz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liveness,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readiness – cluster-internal only, never exposed through the ILB rules</w:t>
            </w:r>
          </w:p>
        </w:tc>
      </w:tr>
      <w:tr>
        <w:tc>
          <w:tcPr>
            <w:tcW w:w="12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Identity</w:t>
            </w:r>
          </w:p>
        </w:tc>
        <w:tc>
          <w:tcPr>
            <w:tcW w:w="86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Workload Identity only; no key files, no secrets in environment variables or YAML</w:t>
            </w:r>
          </w:p>
        </w:tc>
      </w:tr>
      <w:tr>
        <w:tc>
          <w:tcPr>
            <w:tcW w:w="128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>
            <w:tcW w:w="863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Non-root, read-only root filesystem, all capabilities dropped; 2–6 replicas with PDB and HPA</w:t>
            </w:r>
          </w:p>
        </w:tc>
      </w:tr>
    </w:tbl>
    <w:p>
      <w:pPr>
        <w:pStyle w:val="InfoBox"/>
      </w:pPr>
      <w:r>
        <w:rPr>
          <w:bCs/>
          <w:b/>
        </w:rPr>
        <w:t xml:space="preserve">Related documents:</w:t>
      </w:r>
      <w:r>
        <w:t xml:space="preserve"> </w:t>
      </w:r>
      <w:r>
        <w:rPr>
          <w:rStyle w:val="VerbatimChar"/>
        </w:rPr>
        <w:t xml:space="preserve">writeback-setup-runbook.html</w:t>
      </w:r>
      <w:r>
        <w:t xml:space="preserve"> </w:t>
      </w:r>
      <w:r>
        <w:t xml:space="preserve">(gcloud),</w:t>
      </w:r>
      <w:r>
        <w:t xml:space="preserve"> </w:t>
      </w:r>
      <w:r>
        <w:rPr>
          <w:rStyle w:val="VerbatimChar"/>
        </w:rPr>
        <w:t xml:space="preserve">writeback-setup-runbook-terraform.html</w:t>
      </w:r>
      <w:r>
        <w:t xml:space="preserve"> </w:t>
      </w:r>
      <w:r>
        <w:t xml:space="preserve">(Terraform),</w:t>
      </w:r>
      <w:r>
        <w:t xml:space="preserve"> </w:t>
      </w:r>
      <w:r>
        <w:rPr>
          <w:rStyle w:val="VerbatimChar"/>
        </w:rPr>
        <w:t xml:space="preserve">service-impersonation.html</w:t>
      </w:r>
      <w:r>
        <w:t xml:space="preserve"> </w:t>
      </w:r>
      <w:r>
        <w:t xml:space="preserve">(tenant writers).</w:t>
      </w:r>
    </w:p>
    <w:bookmarkEnd w:id="33"/>
    <w:sectPr>
      <w:headerReference w:type="default" r:id="rId9"/>
      <w:footerReference w:type="default" r:id="rId10"/>
      <w:pgSz w:w="11906" w:h="16838"/>
      <w:pgMar w:left="992" w:right="992" w:top="1020" w:bottom="907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B7B"/>
        <w:sz w:val="16"/>
      </w:rPr>
      <w:t>Looker write-back · Endpoints and APIs · Architecture v6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val="single" w:sz="12" w:space="6" w:color="1F4E79"/>
      </w:pBdr>
      <w:spacing w:after="160" w:before="360"/>
      <w:outlineLvl w:val="0"/>
    </w:pPr>
    <w:rPr>
      <w:rFonts w:ascii="Calibri" w:hAnsi="Calibr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ageBreakBefore w:val="0"/>
      <w:pBdr>
        <w:bottom w:val="single" w:sz="12" w:space="6" w:color="1F4E79"/>
      </w:pBdr>
      <w:spacing w:after="160" w:before="360"/>
      <w:outlineLvl w:val="1"/>
    </w:pPr>
    <w:rPr>
      <w:rFonts w:ascii="Calibri" w:hAnsi="Calibri"/>
      <w:b/>
      <w:bCs/>
      <w:color w:val="1F4E79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pBdr>
        <w:left w:val="single" w:sz="24" w:space="6" w:color="2E75B6"/>
      </w:pBdr>
      <w:spacing w:after="40" w:before="240"/>
      <w:outlineLvl w:val="2"/>
    </w:pPr>
    <w:rPr>
      <w:rFonts w:ascii="Calibri" w:hAnsi="Calibri"/>
      <w:b/>
      <w:bCs/>
      <w:color w:val="2E75B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D2733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hd w:val="clear" w:color="auto" w:fill="FFFFFF"/>
      <w:spacing w:before="240" w:line="259" w:lineRule="auto"/>
      <w:outlineLvl w:val="9"/>
    </w:pPr>
    <w:rPr>
      <w:rFonts w:asciiTheme="majorHAnsi" w:cstheme="majorBidi" w:eastAsiaTheme="majorEastAsia" w:hAnsiTheme="majorHAnsi"/>
      <w:b/>
      <w:bCs w:val="0"/>
      <w:color w:val="1F4E79"/>
      <w:sz w:val="28"/>
    </w:rPr>
  </w:style>
  <w:style w:type="paragraph" w:customStyle="1" w:styleId="CaptionText">
    <w:name w:val="Caption Text"/>
    <w:basedOn w:val="BodyText"/>
    <w:qFormat/>
    <w:pPr>
      <w:keepNext/>
      <w:spacing w:after="60"/>
      <w:jc w:val="center"/>
    </w:pPr>
    <w:rPr>
      <w:i/>
      <w:color w:val="5B6B7B"/>
      <w:sz w:val="18"/>
    </w:rPr>
  </w:style>
  <w:style w:type="paragraph" w:customStyle="1" w:styleId="Eyebrow">
    <w:name w:val="Eyebrow"/>
    <w:basedOn w:val="BodyText"/>
    <w:qFormat/>
    <w:pPr>
      <w:keepNext/>
      <w:spacing w:after="60"/>
    </w:pPr>
    <w:rPr>
      <w:i w:val="0"/>
      <w:color w:val="5B6B7B"/>
      <w:sz w:val="18"/>
    </w:rPr>
  </w:style>
  <w:style w:type="paragraph" w:customStyle="1" w:styleId="InfoBox">
    <w:name w:val="Info Box"/>
    <w:basedOn w:val="BodyText"/>
    <w:qFormat/>
    <w:pPr>
      <w:pBdr>
        <w:left w:val="single" w:sz="24" w:space="6" w:color="2E75B6"/>
      </w:pBdr>
      <w:shd w:val="clear" w:color="auto" w:fill="EFE8F8"/>
      <w:spacing w:before="80" w:after="160"/>
    </w:pPr>
    <w:rPr>
      <w:sz w:val="20"/>
    </w:rPr>
  </w:style>
  <w:style w:type="paragraph" w:customStyle="1" w:styleId="SourceCode">
    <w:name w:val="Source Code"/>
    <w:basedOn w:val="Normal"/>
    <w:link w:val="VerbatimChar"/>
    <w:pPr>
      <w:pBdr>
        <w:left w:val="single" w:sz="18" w:space="6" w:color="2E75B6"/>
      </w:pBdr>
      <w:shd w:val="clear" w:color="auto" w:fill="F3F0F8"/>
      <w:wordWrap w:val="off"/>
      <w:spacing w:before="80" w:after="120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Write-back endpoints and APIs</dc:title>
  <dc:creator/>
  <dc:language>en</dc:language>
  <cp:keywords/>
  <dcterms:created xsi:type="dcterms:W3CDTF">2026-10-27T06:33:21Z</dcterms:created>
  <dcterms:modified xsi:type="dcterms:W3CDTF">2026-10-27T06:33:21Z</dcterms:modified>
  <dc:subject>Looker write-back to BigQuery · Architecture v6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