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95959"/>
          <w:sz w:val="28"/>
          <w:szCs w:val="28"/>
        </w:rPr>
        <w:t xml:space="preserve">Looker Write-Back to BigQuery</w:t>
      </w:r>
    </w:p>
    <w:p>
      <w:pPr>
        <w:pBdr>
          <w:bottom w:val="single" w:color="1F4E79" w:sz="12" w:space="8"/>
        </w:pBdr>
        <w:spacing w:after="200"/>
      </w:pPr>
      <w:r>
        <w:rPr>
          <w:b/>
          <w:bCs/>
          <w:color w:val="1F4E79"/>
          <w:sz w:val="52"/>
          <w:szCs w:val="52"/>
        </w:rPr>
        <w:t xml:space="preserve">Solution Architecture Document</w:t>
      </w:r>
    </w:p>
    <w:p>
      <w:pPr>
        <w:spacing w:after="600"/>
      </w:pPr>
      <w:r>
        <w:rPr>
          <w:color w:val="404040"/>
          <w:sz w:val="24"/>
          <w:szCs w:val="24"/>
        </w:rPr>
        <w:t xml:space="preserve">Secure write-back from Looker dashboards to BigQuery using an Entra token exchanged for an ID&amp;A JWT, verified by JWKS, then machine-to-machine service accounts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 Solution Architecture Document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 — Draft for Architecture Council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October 2026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Solution Architecture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Related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looker-writeback-oauth2-entra-v4.drawio · 02 Security &amp; Threat Assessment · 03 End-to-End Steps · 04 API &amp; Endpoint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1. Executive summary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2. Scope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3. Business context and requirements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4. Architecture overview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5. Components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6. Runtime flow (summary)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7. Identity and trust model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8. Architecture decisions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9. Non-functional requirements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10. Deployment and network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11. Operations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12. Risks, assumptions and open decisions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13. Approval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Business users need to correct or enrich values directly from Looker dashboards (“write-back”) and see the change reflected immediately. This document describes how a write-back click in Looker reaches BigQuery securely, using the bank’s identity services (Microsoft Entra ID and ID&amp;A) and Google Cloud service accounts, without user passwords, static API keys or long-lived tokens on the wire.</w:t>
      </w:r>
    </w:p>
    <w:p>
      <w:pPr>
        <w:spacing w:after="120"/>
      </w:pPr>
      <w:r>
        <w:rPr>
          <w:b/>
          <w:bCs/>
        </w:rPr>
        <w:t xml:space="preserve">Decision requested:</w:t>
      </w:r>
      <w:r>
        <w:t xml:space="preserve"> approve the target design in section 6 and the open decisions in section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write is authenticated twice:</w:t>
      </w:r>
      <w:r>
        <w:t xml:space="preserve"> the caller (Action Hub) proves itself with an ID&amp;A-issued JWT obtained by exchanging an Entra token through Apigee; the Write-back API verifies that JWT against ID&amp;A’s public keys (JWKS).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write is authorised for the user:</w:t>
      </w:r>
      <w:r>
        <w:t xml:space="preserve"> the user’s Entra identity is checked live (Microsoft Graph) for membership of the write-back group, fail-closed.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Everything after verification is machine-to-machine:</w:t>
      </w:r>
      <w:r>
        <w:t xml:space="preserve"> the Write-back API calls the Writer with a Google ID token, and the Writer writes to BigQuery as its own service account through Workload Identity — no keys, no user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ID&amp;A is reached only through the Apigee internal proxy</w:t>
      </w:r>
      <w:r>
        <w:t xml:space="preserve">, in line with the bank’s integration standard.</w:t>
      </w:r>
    </w:p>
    <w:p>
      <w:pPr>
        <w:pStyle w:val="Heading1"/>
      </w:pPr>
      <w:r>
        <w:t xml:space="preserve">2. Scope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action on Looker dashboards for internal (Entra) users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Hub, Write-back API, Writer API on GKE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Token exchange Entra → ID&amp;A via Apigee; JWKS verification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 write table and current-state view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Audit, monitoring, secrets, network controls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External partner access (covered by the partner dashboard design)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Bulk/batch data loads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Changes to Looker SAML sign-in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Data model changes beyond the write-back table</w:t>
            </w:r>
          </w:p>
        </w:tc>
      </w:tr>
    </w:tbl>
    <w:p>
      <w:pPr>
        <w:pStyle w:val="Heading1"/>
      </w:pPr>
      <w:r>
        <w:t xml:space="preserve">3. Business context and requirements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"/>
        <w:gridCol w:w="3610"/>
        <w:gridCol w:w="4514"/>
      </w:tblGrid>
      <w:tr>
        <w:trPr>
          <w:tblHeader/>
        </w:trPr>
        <w:tc>
          <w:tcPr>
            <w:tcW w:type="dxa" w:w="9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51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the design meets it</w:t>
            </w:r>
          </w:p>
        </w:tc>
      </w:tr>
      <w:tr>
        <w:tc>
          <w:tcPr>
            <w:tcW w:type="dxa" w:w="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FR-1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Authorised users can change a value from a Looker dashboard</w:t>
            </w:r>
          </w:p>
        </w:tc>
        <w:tc>
          <w:tcPr>
            <w:tcW w:type="dxa" w:w="4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“Write back” on tagged fields; Action Hub → Write-back API → Writer → BigQuery</w:t>
            </w:r>
          </w:p>
        </w:tc>
      </w:tr>
      <w:tr>
        <w:tc>
          <w:tcPr>
            <w:tcW w:type="dxa" w:w="9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dashboard shows the new value after saving</w:t>
            </w:r>
          </w:p>
        </w:tc>
        <w:tc>
          <w:tcPr>
            <w:tcW w:type="dxa" w:w="45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appends to writeback_log; current_state view returns latest value; Looker refreshes the query</w:t>
            </w:r>
          </w:p>
        </w:tc>
      </w:tr>
      <w:tr>
        <w:tc>
          <w:tcPr>
            <w:tcW w:type="dxa" w:w="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FR-3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Each change is traceable to a person</w:t>
            </w:r>
          </w:p>
        </w:tc>
        <w:tc>
          <w:tcPr>
            <w:tcW w:type="dxa" w:w="4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entra_oid and email carried with every write; stored in each row and in Cloud Logging</w:t>
            </w:r>
          </w:p>
        </w:tc>
      </w:tr>
      <w:tr>
        <w:tc>
          <w:tcPr>
            <w:tcW w:type="dxa" w:w="9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SR-1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Service calls must carry an ID&amp;A-issued token</w:t>
            </w:r>
          </w:p>
        </w:tc>
        <w:tc>
          <w:tcPr>
            <w:tcW w:type="dxa" w:w="45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exchanges an Entra token for an ID&amp;A JWT via Apigee</w:t>
            </w:r>
          </w:p>
        </w:tc>
      </w:tr>
      <w:tr>
        <w:tc>
          <w:tcPr>
            <w:tcW w:type="dxa" w:w="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SR-2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Tokens must be verified before data is touched</w:t>
            </w:r>
          </w:p>
        </w:tc>
        <w:tc>
          <w:tcPr>
            <w:tcW w:type="dxa" w:w="4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verifies the JWT (signature via JWKS, issuer, audience, expiry, scope)</w:t>
            </w:r>
          </w:p>
        </w:tc>
      </w:tr>
      <w:tr>
        <w:tc>
          <w:tcPr>
            <w:tcW w:type="dxa" w:w="9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SR-3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static credentials for Google access</w:t>
            </w:r>
          </w:p>
        </w:tc>
        <w:tc>
          <w:tcPr>
            <w:tcW w:type="dxa" w:w="45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Workload Identity for all pods; no service-account keys</w:t>
            </w:r>
          </w:p>
        </w:tc>
      </w:tr>
      <w:tr>
        <w:tc>
          <w:tcPr>
            <w:tcW w:type="dxa" w:w="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SR-4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45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can only insert into one table; each service reads only its own secret</w:t>
            </w:r>
          </w:p>
        </w:tc>
      </w:tr>
      <w:tr>
        <w:tc>
          <w:tcPr>
            <w:tcW w:type="dxa" w:w="9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SR-5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reached only via Apigee</w:t>
            </w:r>
          </w:p>
        </w:tc>
        <w:tc>
          <w:tcPr>
            <w:tcW w:type="dxa" w:w="451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 exchange and JWKS both go through lloyds-auth-int</w:t>
            </w:r>
          </w:p>
        </w:tc>
      </w:tr>
    </w:tbl>
    <w:p>
      <w:pPr>
        <w:pStyle w:val="Heading1"/>
      </w:pPr>
      <w:r>
        <w:t xml:space="preserve">4. Architecture overview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diagram" descr="Figure 1 — Logical architecture (full detail in looker-writeback-oauth2-entra-v4.drawio)" title="Figure 1 — Logical architecture (full detail in looker-writeback-oauth2-entra-v4.draw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Logical architecture (full detail in looker-writeback-oauth2-entra-v4.drawio)</w:t>
      </w:r>
    </w:p>
    <w:p>
      <w:pPr>
        <w:spacing w:after="120"/>
      </w:pPr>
      <w:r>
        <w:t xml:space="preserve">The diagram file contains every sub-step as numbered boxes (0.1 – 10). The numbering is used consistently across all four documents.</w:t>
      </w:r>
    </w:p>
    <w:p>
      <w:pPr>
        <w:pStyle w:val="Heading1"/>
      </w:pPr>
      <w:r>
        <w:t xml:space="preserve">5. Components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504"/>
        <w:gridCol w:w="3710"/>
        <w:gridCol w:w="2007"/>
      </w:tblGrid>
      <w:tr>
        <w:trPr>
          <w:tblHeader/>
        </w:trPr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7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Spoke 2 · GKE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Dashboards; SAML sign-in with Entra; fires the write-back action from its server</w:t>
            </w:r>
          </w:p>
        </w:tc>
        <w:tc>
          <w:tcPr>
            <w:tcW w:type="dxa" w:w="2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 (shared with Action Hub)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(custom action server)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project · GKE</w:t>
            </w:r>
          </w:p>
        </w:tc>
        <w:tc>
          <w:tcPr>
            <w:tcW w:type="dxa" w:w="37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Receives Looker action calls; verifies the Looker secret; gets the Entra auth token; exchanges it for an ID&amp;A JWT via Apigee; calls the Write-back API</w:t>
            </w:r>
          </w:p>
        </w:tc>
        <w:tc>
          <w:tcPr>
            <w:tcW w:type="dxa" w:w="20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KSA action-hub-ksa → GSA action-hub@; Entra app (federated credential)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 cloud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SAML sign-in for users; issues the Action Hub’s app token (client credentials); Graph for user checks</w:t>
            </w:r>
          </w:p>
        </w:tc>
        <w:tc>
          <w:tcPr>
            <w:tcW w:type="dxa" w:w="2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X · lloyds-auth-int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internal</w:t>
            </w:r>
          </w:p>
        </w:tc>
        <w:tc>
          <w:tcPr>
            <w:tcW w:type="dxa" w:w="37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Entra token; calls ID&amp;A token exchange; exposes ID&amp;A JWKS</w:t>
            </w:r>
          </w:p>
        </w:tc>
        <w:tc>
          <w:tcPr>
            <w:tcW w:type="dxa" w:w="20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proxy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token service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Bank identity platform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Issues the Apigee-approved JWT (aud = writeback-api, scope = writeback.write)</w:t>
            </w:r>
          </w:p>
        </w:tc>
        <w:tc>
          <w:tcPr>
            <w:tcW w:type="dxa" w:w="2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signing keys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Spoke 1 · GKE · ns writeback</w:t>
            </w:r>
          </w:p>
        </w:tc>
        <w:tc>
          <w:tcPr>
            <w:tcW w:type="dxa" w:w="37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JWT via JWKS; checks the user (Graph); validates the change; calls the Writer</w:t>
            </w:r>
          </w:p>
        </w:tc>
        <w:tc>
          <w:tcPr>
            <w:tcW w:type="dxa" w:w="20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KSA writeback-ksa → GSA writeback-api@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API (Node.js)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Spoke 1 · GKE · ns writeback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Verifies the caller (Google ID token); writes to BigQuery</w:t>
            </w:r>
          </w:p>
        </w:tc>
        <w:tc>
          <w:tcPr>
            <w:tcW w:type="dxa" w:w="2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KSA writer-ksa → GSA writer@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project</w:t>
            </w:r>
          </w:p>
        </w:tc>
        <w:tc>
          <w:tcPr>
            <w:tcW w:type="dxa" w:w="37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writeback_log (append-only) and current_state / authorised views</w:t>
            </w:r>
          </w:p>
        </w:tc>
        <w:tc>
          <w:tcPr>
            <w:tcW w:type="dxa" w:w="20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GCP</w:t>
            </w:r>
          </w:p>
        </w:tc>
        <w:tc>
          <w:tcPr>
            <w:tcW w:type="dxa" w:w="3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LOOKER_SECRET, GRAPH_CLIENT_SECRET</w:t>
            </w:r>
          </w:p>
        </w:tc>
        <w:tc>
          <w:tcPr>
            <w:tcW w:type="dxa" w:w="2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Cloud Logging / Monitoring</w:t>
            </w:r>
          </w:p>
        </w:tc>
        <w:tc>
          <w:tcPr>
            <w:tcW w:type="dxa" w:w="15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GCP</w:t>
            </w:r>
          </w:p>
        </w:tc>
        <w:tc>
          <w:tcPr>
            <w:tcW w:type="dxa" w:w="37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Audit trail and alerting</w:t>
            </w:r>
          </w:p>
        </w:tc>
        <w:tc>
          <w:tcPr>
            <w:tcW w:type="dxa" w:w="20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6. Runtime flow (summary)</w:t>
      </w:r>
    </w:p>
    <w:p>
      <w:pPr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diagram" descr="Figure 2 — Sequence of one write-back click" title="Figure 2 — Sequence of one write-back 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Sequence of one write-back click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4"/>
        <w:gridCol w:w="1303"/>
        <w:gridCol w:w="6119"/>
      </w:tblGrid>
      <w:tr>
        <w:trPr>
          <w:tblHeader/>
        </w:trPr>
        <w:tc>
          <w:tcPr>
            <w:tcW w:type="dxa" w:w="16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30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61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Sign-in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 – 0.3</w:t>
            </w:r>
          </w:p>
        </w:tc>
        <w:tc>
          <w:tcPr>
            <w:tcW w:type="dxa" w:w="6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signs in to Looker with Entra (SAML, MFA). Looker holds entra_oid and groups as user attributes.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</w:t>
            </w:r>
          </w:p>
        </w:tc>
        <w:tc>
          <w:tcPr>
            <w:tcW w:type="dxa" w:w="1303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1.1 – 1.3</w:t>
            </w:r>
          </w:p>
        </w:tc>
        <w:tc>
          <w:tcPr>
            <w:tcW w:type="dxa" w:w="61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clicks “Write back”. Looker’s server sends the action to the Action Hub with the Looker secret, entra_oid and the rows.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 exchange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 – 2.7</w:t>
            </w:r>
          </w:p>
        </w:tc>
        <w:tc>
          <w:tcPr>
            <w:tcW w:type="dxa" w:w="6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verifies the Looker secret, gets an Entra auth token (client credentials, federated, no secret), sends it to ID&amp;A via Apigee; Apigee verifies it; ID&amp;A issues a JWT; Action Hub caches it.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</w:t>
            </w:r>
          </w:p>
        </w:tc>
        <w:tc>
          <w:tcPr>
            <w:tcW w:type="dxa" w:w="1303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3.1 – 3.4</w:t>
            </w:r>
          </w:p>
        </w:tc>
        <w:tc>
          <w:tcPr>
            <w:tcW w:type="dxa" w:w="61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calls the Write-back API with Bearer ID&amp;A JWT. The API fetches ID&amp;A public keys (JWKS call, cached) and verifies signature, issuer, audience, expiry, scope. Invalid → 401.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Authorise user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(4a – 4c)</w:t>
            </w:r>
          </w:p>
        </w:tc>
        <w:tc>
          <w:tcPr>
            <w:tcW w:type="dxa" w:w="6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checks via Microsoft Graph that entra_oid is enabled and in BQ-Writeback. Cached 5 min, fail-closed → 403.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Validate</w:t>
            </w:r>
          </w:p>
        </w:tc>
        <w:tc>
          <w:tcPr>
            <w:tcW w:type="dxa" w:w="1303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1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Schema, allowed columns, ranges, row limits; request_id set as idempotency key.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Machine-to-machine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– 8</w:t>
            </w:r>
          </w:p>
        </w:tc>
        <w:tc>
          <w:tcPr>
            <w:tcW w:type="dxa" w:w="6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calls the Writer with a Google ID token (writeback-api@). Writer verifies the caller and inserts into BigQuery as writer@ (insertId = request_id).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Result</w:t>
            </w:r>
          </w:p>
        </w:tc>
        <w:tc>
          <w:tcPr>
            <w:tcW w:type="dxa" w:w="1303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 – 10</w:t>
            </w:r>
          </w:p>
        </w:tc>
        <w:tc>
          <w:tcPr>
            <w:tcW w:type="dxa" w:w="61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 returned to Looker (“success”); the dashboard refreshes from current_state.</w:t>
            </w:r>
          </w:p>
        </w:tc>
      </w:tr>
    </w:tbl>
    <w:p>
      <w:pPr>
        <w:pStyle w:val="Heading1"/>
      </w:pPr>
      <w:r>
        <w:t xml:space="preserve">7. Identity and trust model</w:t>
      </w:r>
    </w:p>
    <w:p>
      <w:pPr>
        <w:pStyle w:val="Heading2"/>
      </w:pPr>
      <w:r>
        <w:t xml:space="preserve">7.1 Identities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6"/>
        <w:gridCol w:w="1805"/>
        <w:gridCol w:w="2707"/>
        <w:gridCol w:w="2408"/>
      </w:tblGrid>
      <w:tr>
        <w:trPr>
          <w:tblHeader/>
        </w:trPr>
        <w:tc>
          <w:tcPr>
            <w:tcW w:type="dxa" w:w="21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4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Granted</w:t>
            </w:r>
          </w:p>
        </w:tc>
      </w:tr>
      <w:tr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Internal user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user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Signs in to Looker; identity carried as entra_oid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Member of BQ-Writeback (write permission)</w:t>
            </w:r>
          </w:p>
        </w:tc>
      </w:tr>
      <w:tr>
        <w:tc>
          <w:tcPr>
            <w:tcW w:type="dxa" w:w="21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→ Action Hub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Shared action secret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Proves the caller is Looker</w:t>
            </w:r>
          </w:p>
        </w:tc>
        <w:tc>
          <w:tcPr>
            <w:tcW w:type="dxa" w:w="24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Configured in Looker › Admin › Actions</w:t>
            </w:r>
          </w:p>
        </w:tc>
      </w:tr>
      <w:tr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looker-writeback-action-hub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app registration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Client-credentials token for the token exchange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Federated credential trusting action-hub@ (no client secret)</w:t>
            </w:r>
          </w:p>
        </w:tc>
      </w:tr>
      <w:tr>
        <w:tc>
          <w:tcPr>
            <w:tcW w:type="dxa" w:w="21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action-hub@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service account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pods</w:t>
            </w:r>
          </w:p>
        </w:tc>
        <w:tc>
          <w:tcPr>
            <w:tcW w:type="dxa" w:w="24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secretAccessor on LOOKER_SECRET</w:t>
            </w:r>
          </w:p>
        </w:tc>
      </w:tr>
      <w:tr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writeback-api@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service account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pods; caller identity to Writer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secretAccessor on GRAPH_CLIENT_SECRET</w:t>
            </w:r>
          </w:p>
        </w:tc>
      </w:tr>
      <w:tr>
        <w:tc>
          <w:tcPr>
            <w:tcW w:type="dxa" w:w="21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writer@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service account</w:t>
            </w:r>
          </w:p>
        </w:tc>
        <w:tc>
          <w:tcPr>
            <w:tcW w:type="dxa" w:w="2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pods; BigQuery writes</w:t>
            </w:r>
          </w:p>
        </w:tc>
        <w:tc>
          <w:tcPr>
            <w:tcW w:type="dxa" w:w="24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bigquery.dataEditor on writeback.writeback_log only</w:t>
            </w:r>
          </w:p>
        </w:tc>
      </w:tr>
      <w:tr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writeback-graph-reader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app registration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 user checks</w:t>
            </w:r>
          </w:p>
        </w:tc>
        <w:tc>
          <w:tcPr>
            <w:tcW w:type="dxa" w:w="2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User.Read.All, GroupMember.Read.All (application)</w:t>
            </w:r>
          </w:p>
        </w:tc>
      </w:tr>
    </w:tbl>
    <w:p>
      <w:pPr>
        <w:pStyle w:val="Heading2"/>
      </w:pPr>
      <w:r>
        <w:t xml:space="preserve">7.2 Tokens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704"/>
        <w:gridCol w:w="1805"/>
        <w:gridCol w:w="1704"/>
        <w:gridCol w:w="2008"/>
      </w:tblGrid>
      <w:tr>
        <w:trPr>
          <w:tblHeader/>
        </w:trPr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Issued by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travels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Configured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Rotated quarterly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→ Action Hub header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auth token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ID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token-exchange app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≈ 60 min</w:t>
            </w:r>
          </w:p>
        </w:tc>
        <w:tc>
          <w:tcPr>
            <w:tcW w:type="dxa" w:w="2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Apigee (only)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JWT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(via Apigee)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writeback-api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≈ 15 min, cached by Action Hub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Write-back API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ID token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(metadata server)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https://writer.internal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≈ 60 min</w:t>
            </w:r>
          </w:p>
        </w:tc>
        <w:tc>
          <w:tcPr>
            <w:tcW w:type="dxa" w:w="2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Writer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access token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(metadata server)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APIs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≈ 60 min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Pods → Secret Manager / BigQuery</w:t>
            </w:r>
          </w:p>
        </w:tc>
      </w:tr>
    </w:tbl>
    <w:p>
      <w:pPr>
        <w:pStyle w:val="Heading1"/>
      </w:pPr>
      <w:r>
        <w:t xml:space="preserve">8. Architecture decisions</w:t>
      </w:r>
    </w:p>
    <w:p>
      <w:pPr>
        <w:pStyle w:val="Heading2"/>
      </w:pPr>
      <w:r>
        <w:t xml:space="preserve">ADR-01 Service authentication for write-back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4"/>
        <w:gridCol w:w="4212"/>
        <w:gridCol w:w="3210"/>
      </w:tblGrid>
      <w:tr>
        <w:trPr>
          <w:tblHeader/>
        </w:trPr>
        <w:tc>
          <w:tcPr>
            <w:tcW w:type="dxa" w:w="16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421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(previous v3)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obtains an ID&amp;A token with client credentials (client secret in Secret Manager); Apigee write proxy verifies it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Static client secret to manage; extra Apigee hop on every write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42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 + Workload Identity only, no ID&amp;A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Simplest, but does not meet SR-1 (ID&amp;A-issued token on service calls)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 (chosen)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exchanges an Entra app token for an ID&amp;A JWT via Apigee; Write-back API verifies it via JWKS; downstream M2M on service accounts</w:t>
            </w:r>
          </w:p>
        </w:tc>
        <w:tc>
          <w:tcPr>
            <w:tcW w:type="dxa" w:w="3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Meets SR-1/SR-2/SR-5; no static ID&amp;A secret; verification local and fast; short-lived token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42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User’s own Entra token from the browser (Looker extension)</w:t>
            </w:r>
          </w:p>
        </w:tc>
        <w:tc>
          <w:tcPr>
            <w:tcW w:type="dxa" w:w="32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Requires rebuilding write-back as an extension; not justified for internal users</w:t>
            </w:r>
          </w:p>
        </w:tc>
      </w:tr>
    </w:tbl>
    <w:p>
      <w:pPr>
        <w:pBdr>
          <w:left w:val="single" w:color="C9A227" w:sz="18" w:space="6"/>
        </w:pBdr>
        <w:shd w:fill="FFF4CE" w:color="auto" w:val="clear"/>
        <w:spacing w:after="160" w:before="80"/>
        <w:ind w:left="120" w:right="120"/>
      </w:pPr>
      <w:r>
        <w:rPr>
          <w:b/>
          <w:bCs/>
          <w:sz w:val="19"/>
          <w:szCs w:val="19"/>
        </w:rPr>
        <w:t xml:space="preserve">Decision:</w:t>
      </w:r>
      <w:r>
        <w:rPr>
          <w:sz w:val="19"/>
          <w:szCs w:val="19"/>
        </w:rPr>
        <w:t xml:space="preserve"> Option C. Rationale: satisfies the bank’s requirement for ID&amp;A-issued tokens through Apigee, removes the ID&amp;A client secret, keeps the write path to one network hop after verification.</w:t>
      </w:r>
    </w:p>
    <w:p>
      <w:pPr>
        <w:pStyle w:val="Heading2"/>
      </w:pPr>
      <w:r>
        <w:t xml:space="preserve">ADR-02 User authorisation</w:t>
      </w:r>
    </w:p>
    <w:p>
      <w:pPr>
        <w:spacing w:after="120"/>
      </w:pPr>
      <w:r>
        <w:t xml:space="preserve">Current design: live Microsoft Graph check of entra_oid against the Entra group BQ-Writeback (cached 5 minutes, fail-closed). Alternative under consideration: manual Looker group “Writeback Users” setting a hidden user attribute writeback_allowed = yes, sent by Looker with each click (removes Graph and its client secret). See open decision OD-1.</w:t>
      </w:r>
    </w:p>
    <w:p>
      <w:pPr>
        <w:pStyle w:val="Heading2"/>
      </w:pPr>
      <w:r>
        <w:t xml:space="preserve">ADR-03 Machine-to-machine after verification</w:t>
      </w:r>
    </w:p>
    <w:p>
      <w:pPr>
        <w:spacing w:after="120"/>
      </w:pPr>
      <w:r>
        <w:t xml:space="preserve">Once the JWT is verified, no user or ID&amp;A token is forwarded. The Writer trusts only Google ID tokens minted for writeback-api@ and writes as writer@. This limits blast radius: a stolen ID&amp;A JWT cannot reach BigQuery directly.</w:t>
      </w:r>
    </w:p>
    <w:p>
      <w:pPr>
        <w:pStyle w:val="Heading1"/>
      </w:pPr>
      <w:r>
        <w:t xml:space="preserve">9. Non-functional requirements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2406"/>
        <w:gridCol w:w="4815"/>
      </w:tblGrid>
      <w:tr>
        <w:trPr>
          <w:tblHeader/>
        </w:trPr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81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 measure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Latency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p95 &lt; 2 s per click</w:t>
            </w:r>
          </w:p>
        </w:tc>
        <w:tc>
          <w:tcPr>
            <w:tcW w:type="dxa" w:w="4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JWT cached (≈15 min); JWKS cached (10 min); Graph answer cached (5 min)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Aligned with Looker (99.9%)</w:t>
            </w:r>
          </w:p>
        </w:tc>
        <w:tc>
          <w:tcPr>
            <w:tcW w:type="dxa" w:w="481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2+ replicas per service; PodDisruptionBudgets; regional GKE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Resilience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duplicate rows on retry</w:t>
            </w:r>
          </w:p>
        </w:tc>
        <w:tc>
          <w:tcPr>
            <w:tcW w:type="dxa" w:w="4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request_id as BigQuery insertId; idempotent APIs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Dependency failure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Fail closed</w:t>
            </w:r>
          </w:p>
        </w:tc>
        <w:tc>
          <w:tcPr>
            <w:tcW w:type="dxa" w:w="481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/ Apigee / Graph unavailable → write refused with clear message; no bypass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≥ 20 writes/s</w:t>
            </w:r>
          </w:p>
        </w:tc>
        <w:tc>
          <w:tcPr>
            <w:tcW w:type="dxa" w:w="4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Stateless services; HPA on CPU</w:t>
            </w:r>
          </w:p>
        </w:tc>
      </w:tr>
      <w:tr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Auditability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Who, what, when for every write</w:t>
            </w:r>
          </w:p>
        </w:tc>
        <w:tc>
          <w:tcPr>
            <w:tcW w:type="dxa" w:w="481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actor in each row; structured audit logs with request_id, JWT sub, outcome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UK/EU</w:t>
            </w:r>
          </w:p>
        </w:tc>
        <w:tc>
          <w:tcPr>
            <w:tcW w:type="dxa" w:w="4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europe-west2 for GKE, Secret Manager, BigQuery</w:t>
            </w:r>
          </w:p>
        </w:tc>
      </w:tr>
    </w:tbl>
    <w:p>
      <w:pPr>
        <w:pStyle w:val="Heading1"/>
      </w:pPr>
      <w:r>
        <w:t xml:space="preserve">10. Deployment and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Hub and Looker run in the Looker project (Spoke 2); Write-back API and Writer run in Spoke 1 GKE, namespace </w:t>
      </w:r>
      <w:r>
        <w:rPr>
          <w:rFonts w:ascii="Consolas" w:cs="Consolas" w:eastAsia="Consolas" w:hAnsi="Consolas"/>
          <w:sz w:val="18"/>
          <w:szCs w:val="18"/>
        </w:rPr>
        <w:t xml:space="preserve">writeback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API is exposed only through an internal load balancer (</w:t>
      </w:r>
      <w:r>
        <w:rPr>
          <w:rFonts w:ascii="Consolas" w:cs="Consolas" w:eastAsia="Consolas" w:hAnsi="Consolas"/>
          <w:sz w:val="18"/>
          <w:szCs w:val="18"/>
        </w:rPr>
        <w:t xml:space="preserve">writeback-api.internal</w:t>
      </w:r>
      <w:r>
        <w:t xml:space="preserve">); the firewall admits only the Action Hub’s egress range; TLS with the internal 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is ClusterIP only; NetworkPolicy allows only Write-back API pods.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Apigee internal proxy </w:t>
      </w:r>
      <w:r>
        <w:rPr>
          <w:rFonts w:ascii="Consolas" w:cs="Consolas" w:eastAsia="Consolas" w:hAnsi="Consolas"/>
          <w:sz w:val="18"/>
          <w:szCs w:val="18"/>
        </w:rPr>
        <w:t xml:space="preserve">lloyds-auth-int</w:t>
      </w:r>
      <w:r>
        <w:t xml:space="preserve"> reached privately (PSC); ID&amp;A never called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Spoke-to-spoke traffic transits the HUB (HA VPN, Cloud Router); private DNS for internal names.</w:t>
      </w:r>
    </w:p>
    <w:p>
      <w:pPr>
        <w:pStyle w:val="Heading1"/>
      </w:pPr>
      <w:r>
        <w:t xml:space="preserve">11. 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6"/>
        <w:gridCol w:w="6620"/>
      </w:tblGrid>
      <w:tr>
        <w:trPr>
          <w:tblHeader/>
        </w:trPr>
        <w:tc>
          <w:tcPr>
            <w:tcW w:type="dxa" w:w="24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6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 rotation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LOOKER_SECRET quarterly (dual-accept window); GRAPH_CLIENT_SECRET per bank policy; no ID&amp;A secret exists</w:t>
            </w:r>
          </w:p>
        </w:tc>
      </w:tr>
      <w:tr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Key rotation</w:t>
            </w:r>
          </w:p>
        </w:tc>
        <w:tc>
          <w:tcPr>
            <w:tcW w:type="dxa" w:w="66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rotates signing keys; Write-back API refreshes JWKS on unknown kid</w:t>
            </w:r>
          </w:p>
        </w:tc>
      </w:tr>
      <w:tr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Alerts: 401/403 spikes, token-exchange failures, Writer 5xx, latency SLO</w:t>
            </w:r>
          </w:p>
        </w:tc>
      </w:tr>
      <w:tr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Access management</w:t>
            </w:r>
          </w:p>
        </w:tc>
        <w:tc>
          <w:tcPr>
            <w:tcW w:type="dxa" w:w="662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Add/remove writers via Entra group BQ-Writeback</w:t>
            </w:r>
          </w:p>
        </w:tc>
      </w:tr>
      <w:tr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Trace any write by request_id across Action Hub, Write-back API, Writer logs</w:t>
            </w:r>
          </w:p>
        </w:tc>
      </w:tr>
    </w:tbl>
    <w:p>
      <w:pPr>
        <w:pStyle w:val="Heading1"/>
      </w:pPr>
      <w:r>
        <w:t xml:space="preserve">12. Risks, assumptions and open decisions</w:t>
      </w:r>
    </w:p>
    <w:p>
      <w:pPr>
        <w:pStyle w:val="Heading2"/>
      </w:pPr>
      <w:r>
        <w:t xml:space="preserve">12.1 Risks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2"/>
        <w:gridCol w:w="3008"/>
        <w:gridCol w:w="1805"/>
        <w:gridCol w:w="3511"/>
      </w:tblGrid>
      <w:tr>
        <w:trPr>
          <w:tblHeader/>
        </w:trPr>
        <w:tc>
          <w:tcPr>
            <w:tcW w:type="dxa" w:w="7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R-1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or Apigee unavailable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Writes refused</w:t>
            </w:r>
          </w:p>
        </w:tc>
        <w:tc>
          <w:tcPr>
            <w:tcW w:type="dxa" w:w="3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JWT cached ≈15 min; alerting; clear user message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R-2</w:t>
            </w:r>
          </w:p>
        </w:tc>
        <w:tc>
          <w:tcPr>
            <w:tcW w:type="dxa" w:w="3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federated credential (Google issuer) not permitted by tenant policy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 exchange cannot start</w:t>
            </w:r>
          </w:p>
        </w:tc>
        <w:tc>
          <w:tcPr>
            <w:tcW w:type="dxa" w:w="351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Fallback: Entra client certificate in Secret Manager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R-3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 throttling or outage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Writes refused (fail-closed)</w:t>
            </w:r>
          </w:p>
        </w:tc>
        <w:tc>
          <w:tcPr>
            <w:tcW w:type="dxa" w:w="3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5-minute cache; or adopt Looker-group option (OD-1)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R-4</w:t>
            </w:r>
          </w:p>
        </w:tc>
        <w:tc>
          <w:tcPr>
            <w:tcW w:type="dxa" w:w="3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 leaked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Unauthorised calls to Action Hub</w:t>
            </w:r>
          </w:p>
        </w:tc>
        <w:tc>
          <w:tcPr>
            <w:tcW w:type="dxa" w:w="3511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Network allow-list; rotation; still requires ID&amp;A JWT and Graph check downstream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R-5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JWT replay within its lifetime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Repeat calls</w:t>
            </w:r>
          </w:p>
        </w:tc>
        <w:tc>
          <w:tcPr>
            <w:tcW w:type="dxa" w:w="3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Short TTL; audience-bound; internal network only; idempotent writes</w:t>
            </w:r>
          </w:p>
        </w:tc>
      </w:tr>
    </w:tbl>
    <w:p>
      <w:pPr>
        <w:pStyle w:val="Heading2"/>
      </w:pPr>
      <w:r>
        <w:t xml:space="preserve">12.2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ID&amp;A supports token exchange for Entra-issued tokens and publishes a JWKS endpoint via Apigee.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runs on GKE and can reach the Action Hub privately.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already sign in to Looker through Entra SAML.</w:t>
      </w:r>
    </w:p>
    <w:p>
      <w:pPr>
        <w:pStyle w:val="Heading2"/>
      </w:pPr>
      <w:r>
        <w:t xml:space="preserve">12.3 Open decisions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2607"/>
        <w:gridCol w:w="3810"/>
        <w:gridCol w:w="1807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8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OD-1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authorisation source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Microsoft Graph (current) or manual Looker group with writeback_allowed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platform + IAM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OD-2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token-exchange contract</w:t>
            </w:r>
          </w:p>
        </w:tc>
        <w:tc>
          <w:tcPr>
            <w:tcW w:type="dxa" w:w="38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RFC 8693 shape assumed; confirm endpoint, claims, TTL</w:t>
            </w:r>
          </w:p>
        </w:tc>
        <w:tc>
          <w:tcPr>
            <w:tcW w:type="dxa" w:w="18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team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OD-3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hosting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project (Spoke 2) or Spoke 1 tooling cluster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OD-4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JWT lifetime</w:t>
            </w:r>
          </w:p>
        </w:tc>
        <w:tc>
          <w:tcPr>
            <w:tcW w:type="dxa" w:w="38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 min proposed</w:t>
            </w:r>
          </w:p>
        </w:tc>
        <w:tc>
          <w:tcPr>
            <w:tcW w:type="dxa" w:w="18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</w:tbl>
    <w:p>
      <w:pPr>
        <w:pStyle w:val="Heading1"/>
      </w:pPr>
      <w:r>
        <w:t xml:space="preserve">13. Approval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8"/>
        <w:gridCol w:w="2406"/>
        <w:gridCol w:w="1805"/>
        <w:gridCol w:w="1807"/>
      </w:tblGrid>
      <w:tr>
        <w:trPr>
          <w:tblHeader/>
        </w:trPr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Architecture Council chair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 architecture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platform owner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30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IAM / ID&amp;A owner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01 Solution Architecture Document  ·  Draft for Architecture Council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939b5394db58a95ce3d8fb50f2f42ca9d4c34c.png"/><Relationship Id="rId10" Type="http://schemas.openxmlformats.org/officeDocument/2006/relationships/image" Target="media/1f4a1fc61c376c2f1fe370303be02be55b6b221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Solution Architecture Document</dc:title>
  <dc:creator>Solution Architecture</dc:creator>
  <cp:lastModifiedBy>Un-named</cp:lastModifiedBy>
  <cp:revision>1</cp:revision>
  <dcterms:created xsi:type="dcterms:W3CDTF">2026-10-06T06:53:18.401Z</dcterms:created>
  <dcterms:modified xsi:type="dcterms:W3CDTF">2026-10-06T06:53:18.401Z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