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color w:val="595959"/>
          <w:sz w:val="28"/>
          <w:szCs w:val="28"/>
        </w:rPr>
        <w:t xml:space="preserve">BIaaS – Minimum Viable Design</w:t>
      </w:r>
    </w:p>
    <w:p>
      <w:pPr>
        <w:pBdr>
          <w:bottom w:val="single" w:color="1F4E79" w:sz="12" w:space="8"/>
        </w:pBdr>
        <w:spacing w:after="200"/>
      </w:pPr>
      <w:r>
        <w:rPr>
          <w:b/>
          <w:bCs/>
          <w:color w:val="1F4E79"/>
          <w:sz w:val="52"/>
          <w:szCs w:val="52"/>
        </w:rPr>
        <w:t xml:space="preserve">Minimum Viable Design (MVD-1) – Looker External Design</w:t>
      </w:r>
    </w:p>
    <w:p>
      <w:pPr>
        <w:spacing w:after="600"/>
      </w:pPr>
      <w:r>
        <w:rPr>
          <w:color w:val="404040"/>
          <w:sz w:val="24"/>
          <w:szCs w:val="24"/>
        </w:rPr>
        <w:t xml:space="preserve">Secure, reusable external-facing Looker capability: partner dashboard access (signed embedding, ID&amp;A, Apigee, Tenant Registry) and dashboard write-back to BigQuery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7"/>
        <w:gridCol w:w="6419"/>
      </w:tblGrid>
      <w:tr>
        <w:trPr>
          <w:tblHeader/>
        </w:trPr>
        <w:tc>
          <w:tcPr>
            <w:tcW w:type="dxa" w:w="2607"/>
            <w:shd w:fill="1F4E79" w:color="auto" w:val="clear"/>
            <w:tcMar>
              <w:top w:type="dxa" w:w="60"/>
              <w:left w:type="dxa" w:w="100"/>
              <w:bottom w:type="dxa" w:w="60"/>
              <w:right w:type="dxa" w:w="100"/>
            </w:tcMar>
          </w:tcPr>
          <w:p>
            <w:pPr>
              <w:spacing w:after="40"/>
            </w:pPr>
            <w:r>
              <w:rPr>
                <w:b/>
                <w:bCs/>
                <w:color w:val="FFFFFF"/>
                <w:sz w:val="18"/>
                <w:szCs w:val="18"/>
              </w:rPr>
              <w:t xml:space="preserve">Item</w:t>
            </w:r>
          </w:p>
        </w:tc>
        <w:tc>
          <w:tcPr>
            <w:tcW w:type="dxa" w:w="6419"/>
            <w:shd w:fill="1F4E79" w:color="auto" w:val="clear"/>
            <w:tcMar>
              <w:top w:type="dxa" w:w="60"/>
              <w:left w:type="dxa" w:w="100"/>
              <w:bottom w:type="dxa" w:w="60"/>
              <w:right w:type="dxa" w:w="100"/>
            </w:tcMar>
          </w:tcPr>
          <w:p>
            <w:pPr>
              <w:spacing w:after="40"/>
            </w:pPr>
            <w:r>
              <w:rPr>
                <w:b/>
                <w:bCs/>
                <w:color w:val="FFFFFF"/>
                <w:sz w:val="18"/>
                <w:szCs w:val="18"/>
              </w:rPr>
              <w:t xml:space="preserve">Detail</w:t>
            </w:r>
          </w:p>
        </w:tc>
      </w:tr>
      <w:tr>
        <w:tc>
          <w:tcPr>
            <w:tcW w:type="dxa" w:w="2607"/>
            <w:tcMar>
              <w:top w:type="dxa" w:w="60"/>
              <w:left w:type="dxa" w:w="100"/>
              <w:bottom w:type="dxa" w:w="60"/>
              <w:right w:type="dxa" w:w="100"/>
            </w:tcMar>
          </w:tcPr>
          <w:p>
            <w:pPr>
              <w:spacing w:after="40"/>
            </w:pPr>
            <w:r>
              <w:rPr>
                <w:sz w:val="18"/>
                <w:szCs w:val="18"/>
              </w:rPr>
              <w:t xml:space="preserve">Document</w:t>
            </w:r>
          </w:p>
        </w:tc>
        <w:tc>
          <w:tcPr>
            <w:tcW w:type="dxa" w:w="6419"/>
            <w:tcMar>
              <w:top w:type="dxa" w:w="60"/>
              <w:left w:type="dxa" w:w="100"/>
              <w:bottom w:type="dxa" w:w="60"/>
              <w:right w:type="dxa" w:w="100"/>
            </w:tcMar>
          </w:tcPr>
          <w:p>
            <w:pPr>
              <w:spacing w:after="40"/>
            </w:pPr>
            <w:r>
              <w:rPr>
                <w:sz w:val="18"/>
                <w:szCs w:val="18"/>
              </w:rPr>
              <w:t xml:space="preserve">BIaaS – Minimum Viable Design (MVD-1) – Looker Ext. Design</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Version</w:t>
            </w:r>
          </w:p>
        </w:tc>
        <w:tc>
          <w:tcPr>
            <w:tcW w:type="dxa" w:w="6419"/>
            <w:shd w:fill="F7F9FC" w:color="auto" w:val="clear"/>
            <w:tcMar>
              <w:top w:type="dxa" w:w="60"/>
              <w:left w:type="dxa" w:w="100"/>
              <w:bottom w:type="dxa" w:w="60"/>
              <w:right w:type="dxa" w:w="100"/>
            </w:tcMar>
          </w:tcPr>
          <w:p>
            <w:pPr>
              <w:spacing w:after="40"/>
            </w:pPr>
            <w:r>
              <w:rPr>
                <w:sz w:val="18"/>
                <w:szCs w:val="18"/>
              </w:rPr>
              <w:t xml:space="preserve">0.1 – Draft for architecture review</w:t>
            </w:r>
          </w:p>
        </w:tc>
      </w:tr>
      <w:tr>
        <w:tc>
          <w:tcPr>
            <w:tcW w:type="dxa" w:w="2607"/>
            <w:tcMar>
              <w:top w:type="dxa" w:w="60"/>
              <w:left w:type="dxa" w:w="100"/>
              <w:bottom w:type="dxa" w:w="60"/>
              <w:right w:type="dxa" w:w="100"/>
            </w:tcMar>
          </w:tcPr>
          <w:p>
            <w:pPr>
              <w:spacing w:after="40"/>
            </w:pPr>
            <w:r>
              <w:rPr>
                <w:sz w:val="18"/>
                <w:szCs w:val="18"/>
              </w:rPr>
              <w:t xml:space="preserve">Date</w:t>
            </w:r>
          </w:p>
        </w:tc>
        <w:tc>
          <w:tcPr>
            <w:tcW w:type="dxa" w:w="6419"/>
            <w:tcMar>
              <w:top w:type="dxa" w:w="60"/>
              <w:left w:type="dxa" w:w="100"/>
              <w:bottom w:type="dxa" w:w="60"/>
              <w:right w:type="dxa" w:w="100"/>
            </w:tcMar>
          </w:tcPr>
          <w:p>
            <w:pPr>
              <w:spacing w:after="40"/>
            </w:pPr>
            <w:r>
              <w:rPr>
                <w:sz w:val="18"/>
                <w:szCs w:val="18"/>
              </w:rPr>
              <w:t xml:space="preserve">6 October 2026</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Platform</w:t>
            </w:r>
          </w:p>
        </w:tc>
        <w:tc>
          <w:tcPr>
            <w:tcW w:type="dxa" w:w="6419"/>
            <w:shd w:fill="F7F9FC" w:color="auto" w:val="clear"/>
            <w:tcMar>
              <w:top w:type="dxa" w:w="60"/>
              <w:left w:type="dxa" w:w="100"/>
              <w:bottom w:type="dxa" w:w="60"/>
              <w:right w:type="dxa" w:w="100"/>
            </w:tcMar>
          </w:tcPr>
          <w:p>
            <w:pPr>
              <w:spacing w:after="40"/>
            </w:pPr>
            <w:r>
              <w:rPr>
                <w:sz w:val="18"/>
                <w:szCs w:val="18"/>
              </w:rPr>
              <w:t xml:space="preserve">BIaaS (Business Intelligence as a Service) on Google Cloud</w:t>
            </w:r>
          </w:p>
        </w:tc>
      </w:tr>
      <w:tr>
        <w:tc>
          <w:tcPr>
            <w:tcW w:type="dxa" w:w="2607"/>
            <w:tcMar>
              <w:top w:type="dxa" w:w="60"/>
              <w:left w:type="dxa" w:w="100"/>
              <w:bottom w:type="dxa" w:w="60"/>
              <w:right w:type="dxa" w:w="100"/>
            </w:tcMar>
          </w:tcPr>
          <w:p>
            <w:pPr>
              <w:spacing w:after="40"/>
            </w:pPr>
            <w:r>
              <w:rPr>
                <w:sz w:val="18"/>
                <w:szCs w:val="18"/>
              </w:rPr>
              <w:t xml:space="preserve">Initial use case</w:t>
            </w:r>
          </w:p>
        </w:tc>
        <w:tc>
          <w:tcPr>
            <w:tcW w:type="dxa" w:w="6419"/>
            <w:tcMar>
              <w:top w:type="dxa" w:w="60"/>
              <w:left w:type="dxa" w:w="100"/>
              <w:bottom w:type="dxa" w:w="60"/>
              <w:right w:type="dxa" w:w="100"/>
            </w:tcMar>
          </w:tcPr>
          <w:p>
            <w:pPr>
              <w:spacing w:after="40"/>
            </w:pPr>
            <w:r>
              <w:rPr>
                <w:sz w:val="18"/>
                <w:szCs w:val="18"/>
              </w:rPr>
              <w:t xml:space="preserve">GEM Analytics – Looker reports embedded in a third-party portal</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Prepared by</w:t>
            </w:r>
          </w:p>
        </w:tc>
        <w:tc>
          <w:tcPr>
            <w:tcW w:type="dxa" w:w="6419"/>
            <w:shd w:fill="F7F9FC" w:color="auto" w:val="clear"/>
            <w:tcMar>
              <w:top w:type="dxa" w:w="60"/>
              <w:left w:type="dxa" w:w="100"/>
              <w:bottom w:type="dxa" w:w="60"/>
              <w:right w:type="dxa" w:w="100"/>
            </w:tcMar>
          </w:tcPr>
          <w:p>
            <w:pPr>
              <w:spacing w:after="40"/>
            </w:pPr>
            <w:r>
              <w:rPr>
                <w:sz w:val="18"/>
                <w:szCs w:val="18"/>
              </w:rPr>
              <w:t xml:space="preserve">Solution Architecture</w:t>
            </w:r>
          </w:p>
        </w:tc>
      </w:tr>
      <w:tr>
        <w:tc>
          <w:tcPr>
            <w:tcW w:type="dxa" w:w="2607"/>
            <w:tcMar>
              <w:top w:type="dxa" w:w="60"/>
              <w:left w:type="dxa" w:w="100"/>
              <w:bottom w:type="dxa" w:w="60"/>
              <w:right w:type="dxa" w:w="100"/>
            </w:tcMar>
          </w:tcPr>
          <w:p>
            <w:pPr>
              <w:spacing w:after="40"/>
            </w:pPr>
            <w:r>
              <w:rPr>
                <w:sz w:val="18"/>
                <w:szCs w:val="18"/>
              </w:rPr>
              <w:t xml:space="preserve">Architecture significance</w:t>
            </w:r>
          </w:p>
        </w:tc>
        <w:tc>
          <w:tcPr>
            <w:tcW w:type="dxa" w:w="6419"/>
            <w:tcMar>
              <w:top w:type="dxa" w:w="60"/>
              <w:left w:type="dxa" w:w="100"/>
              <w:bottom w:type="dxa" w:w="60"/>
              <w:right w:type="dxa" w:w="100"/>
            </w:tcMar>
          </w:tcPr>
          <w:p>
            <w:pPr>
              <w:spacing w:after="40"/>
            </w:pPr>
            <w:r>
              <w:rPr>
                <w:sz w:val="18"/>
                <w:szCs w:val="18"/>
              </w:rPr>
              <w:t xml:space="preserve">SIGNIFICANT – group-level architecture review required</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Status</w:t>
            </w:r>
          </w:p>
        </w:tc>
        <w:tc>
          <w:tcPr>
            <w:tcW w:type="dxa" w:w="6419"/>
            <w:shd w:fill="F7F9FC" w:color="auto" w:val="clear"/>
            <w:tcMar>
              <w:top w:type="dxa" w:w="60"/>
              <w:left w:type="dxa" w:w="100"/>
              <w:bottom w:type="dxa" w:w="60"/>
              <w:right w:type="dxa" w:w="100"/>
            </w:tcMar>
          </w:tcPr>
          <w:p>
            <w:pPr>
              <w:spacing w:after="40"/>
            </w:pPr>
            <w:r>
              <w:rPr>
                <w:sz w:val="18"/>
                <w:szCs w:val="18"/>
              </w:rPr>
              <w:t xml:space="preserve">For review</w:t>
            </w:r>
          </w:p>
        </w:tc>
      </w:tr>
    </w:tbl>
    <w:p>
      <w:r>
        <w:br w:type="page"/>
      </w:r>
    </w:p>
    <w:p>
      <w:pPr>
        <w:pStyle w:val="Heading1"/>
      </w:pPr>
      <w:r>
        <w:t xml:space="preserve">Contents</w:t>
      </w:r>
    </w:p>
    <w:p>
      <w:pPr>
        <w:pBdr>
          <w:bottom w:val="dotted" w:color="BFBFBF" w:sz="4" w:space="4"/>
        </w:pBdr>
        <w:spacing w:after="100"/>
      </w:pPr>
      <w:r>
        <w:rPr>
          <w:sz w:val="22"/>
          <w:szCs w:val="22"/>
        </w:rPr>
        <w:t xml:space="preserve">Section 1 – Design Overview and Strategic Alignment</w:t>
      </w:r>
    </w:p>
    <w:p>
      <w:pPr>
        <w:pBdr>
          <w:bottom w:val="dotted" w:color="BFBFBF" w:sz="4" w:space="4"/>
        </w:pBdr>
        <w:spacing w:after="100"/>
      </w:pPr>
      <w:r>
        <w:rPr>
          <w:sz w:val="22"/>
          <w:szCs w:val="22"/>
        </w:rPr>
        <w:t xml:space="preserve">Section 2 – Solution Design</w:t>
      </w:r>
    </w:p>
    <w:p>
      <w:pPr>
        <w:pBdr>
          <w:bottom w:val="dotted" w:color="BFBFBF" w:sz="4" w:space="4"/>
        </w:pBdr>
        <w:spacing w:after="100"/>
      </w:pPr>
      <w:r>
        <w:rPr>
          <w:sz w:val="22"/>
          <w:szCs w:val="22"/>
        </w:rPr>
        <w:t xml:space="preserve">Section 3 – Additional Design Detail</w:t>
      </w:r>
    </w:p>
    <w:p>
      <w:pPr>
        <w:pBdr>
          <w:bottom w:val="dotted" w:color="BFBFBF" w:sz="4" w:space="4"/>
        </w:pBdr>
        <w:spacing w:after="100"/>
      </w:pPr>
      <w:r>
        <w:rPr>
          <w:sz w:val="22"/>
          <w:szCs w:val="22"/>
        </w:rPr>
        <w:t xml:space="preserve">Section 4 – Design Time Considerations</w:t>
      </w:r>
    </w:p>
    <w:p>
      <w:pPr>
        <w:pBdr>
          <w:bottom w:val="dotted" w:color="BFBFBF" w:sz="4" w:space="4"/>
        </w:pBdr>
        <w:spacing w:after="100"/>
      </w:pPr>
      <w:r>
        <w:rPr>
          <w:sz w:val="22"/>
          <w:szCs w:val="22"/>
        </w:rPr>
        <w:t xml:space="preserve">Section 5 – Design Quality</w:t>
      </w:r>
    </w:p>
    <w:p>
      <w:r>
        <w:br w:type="page"/>
      </w:r>
    </w:p>
    <w:p>
      <w:pPr>
        <w:pStyle w:val="Heading1"/>
      </w:pPr>
      <w:r>
        <w:t xml:space="preserve">Section 1 – Design Overview and Strategic Alignment</w:t>
      </w:r>
    </w:p>
    <w:p>
      <w:pPr>
        <w:spacing w:after="120"/>
      </w:pPr>
      <w:r>
        <w:rPr>
          <w:b/>
          <w:bCs/>
          <w:color w:val="C00000"/>
          <w:sz w:val="16"/>
          <w:szCs w:val="16"/>
        </w:rPr>
        <w:t xml:space="preserve">MANDATORY – Section Guidance</w:t>
      </w:r>
    </w:p>
    <w:p>
      <w:pPr>
        <w:pStyle w:val="Heading2"/>
      </w:pPr>
      <w:r>
        <w:t xml:space="preserve">1.1 The Need / Problem / Opportunity</w:t>
      </w:r>
    </w:p>
    <w:p>
      <w:pPr>
        <w:spacing w:after="120"/>
      </w:pPr>
      <w:r>
        <w:t xml:space="preserve">Several business areas have emerging requirements to share analytics and reporting with external parties who cannot access LBG’s internal BI platforms. The initial use case is GEM Analytics, who need to embed Looker reports within a portal accessed by third parties. However, this requirement is expected to grow across multiple business domains.</w:t>
      </w:r>
    </w:p>
    <w:p>
      <w:pPr>
        <w:spacing w:after="120"/>
      </w:pPr>
      <w:r>
        <w:t xml:space="preserve">Today, BIaaS primarily provides internally facing Looker capabilities, and there is no approved, reusable architecture for securely delivering Looker content to external audiences. This creates a risk of duplicated solutions, inconsistent security controls, longer delivery times, and increased operational overhead as new use cases emerge.</w:t>
      </w:r>
    </w:p>
    <w:p>
      <w:pPr>
        <w:spacing w:after="120"/>
      </w:pPr>
      <w:r>
        <w:t xml:space="preserve">LBG currently has established external reporting solutions for Power BI, Tableau, and other legacy BI technologies. As Tableau and other non-strategic BI platforms are decommissioned and Looker becomes the strategic analytics platform, an equivalent external-facing capability is required to support existing and future external analytics use cases.</w:t>
      </w:r>
    </w:p>
    <w:p>
      <w:pPr>
        <w:spacing w:after="120"/>
      </w:pPr>
      <w:r>
        <w:t xml:space="preserve">There is an opportunity to establish a standardised external-facing Looker capability that enables business areas to securely embed and share analytics with third parties. The solution should provide a reusable architecture, security model, operational framework, and onboarding process that can be adopted by future use cases beyond GEM Analytics, reducing delivery effort, avoiding bespoke implementations, and accelerating external analytics adoption across the organisation.</w:t>
      </w:r>
    </w:p>
    <w:p>
      <w:pPr>
        <w:pStyle w:val="Heading3"/>
      </w:pPr>
      <w:r>
        <w:t xml:space="preserve">Proposed solution in one paragraph</w:t>
      </w:r>
    </w:p>
    <w:p>
      <w:pPr>
        <w:spacing w:after="120"/>
      </w:pPr>
      <w:r>
        <w:t xml:space="preserve">External partner users sign in to the partner WebApp with ID&amp;A credentials. When they open a dashboard, the WebApp calls a </w:t>
      </w:r>
      <w:r>
        <w:rPr>
          <w:b/>
          <w:bCs/>
        </w:rPr>
        <w:t xml:space="preserve">Looker API</w:t>
      </w:r>
      <w:r>
        <w:t xml:space="preserve"> in the Spoke 1 Tooling GKE cluster with the ID&amp;A JWT. The API validates the user with ID&amp;A through the </w:t>
      </w:r>
      <w:r>
        <w:rPr>
          <w:b/>
          <w:bCs/>
        </w:rPr>
        <w:t xml:space="preserve">Apigee internal proxy</w:t>
      </w:r>
      <w:r>
        <w:t xml:space="preserve">, reads the partner’s tenant, Looker groups and folders from a </w:t>
      </w:r>
      <w:r>
        <w:rPr>
          <w:b/>
          <w:bCs/>
        </w:rPr>
        <w:t xml:space="preserve">Tenant Registry in Cloud SQL</w:t>
      </w:r>
      <w:r>
        <w:t xml:space="preserve">, and asks Looker to create a single-use </w:t>
      </w:r>
      <w:r>
        <w:rPr>
          <w:b/>
          <w:bCs/>
        </w:rPr>
        <w:t xml:space="preserve">signed embed URL</w:t>
      </w:r>
      <w:r>
        <w:t xml:space="preserve">. The browser opens the URL in an iframe; Looker places the user in the tenant’s groups (which decide </w:t>
      </w:r>
      <w:r>
        <w:rPr>
          <w:b/>
          <w:bCs/>
        </w:rPr>
        <w:t xml:space="preserve">which dashboards</w:t>
      </w:r>
      <w:r>
        <w:t xml:space="preserve">) and sets user attributes (which decide </w:t>
      </w:r>
      <w:r>
        <w:rPr>
          <w:b/>
          <w:bCs/>
        </w:rPr>
        <w:t xml:space="preserve">which rows</w:t>
      </w:r>
      <w:r>
        <w:t xml:space="preserve">, via LookML access filters on BigQuery). Separately, authorised internal users can </w:t>
      </w:r>
      <w:r>
        <w:rPr>
          <w:b/>
          <w:bCs/>
        </w:rPr>
        <w:t xml:space="preserve">write back</w:t>
      </w:r>
      <w:r>
        <w:t xml:space="preserve"> values from a dashboard: Looker calls an Action Hub, which exchanges an Entra auth token for an ID&amp;A JWT through Apigee, calls the </w:t>
      </w:r>
      <w:r>
        <w:rPr>
          <w:b/>
          <w:bCs/>
        </w:rPr>
        <w:t xml:space="preserve">Write-back API</w:t>
      </w:r>
      <w:r>
        <w:t xml:space="preserve"> (JWT verified via JWKS), and the write continues machine-to-machine under service accounts into BigQuery.</w:t>
      </w:r>
    </w:p>
    <w:p>
      <w:pPr>
        <w:pStyle w:val="Heading2"/>
      </w:pPr>
      <w:r>
        <w:t xml:space="preserve">1.2 Problems to be solved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1"/>
        <w:gridCol w:w="3610"/>
        <w:gridCol w:w="4915"/>
      </w:tblGrid>
      <w:tr>
        <w:trPr>
          <w:tblHeader/>
        </w:trPr>
        <w:tc>
          <w:tcPr>
            <w:tcW w:type="dxa" w:w="501"/>
            <w:shd w:fill="1F4E79" w:color="auto" w:val="clear"/>
            <w:tcMar>
              <w:top w:type="dxa" w:w="60"/>
              <w:left w:type="dxa" w:w="100"/>
              <w:bottom w:type="dxa" w:w="60"/>
              <w:right w:type="dxa" w:w="100"/>
            </w:tcMar>
          </w:tcPr>
          <w:p>
            <w:pPr>
              <w:spacing w:after="40"/>
            </w:pPr>
            <w:r>
              <w:rPr>
                <w:b/>
                <w:bCs/>
                <w:color w:val="FFFFFF"/>
                <w:sz w:val="18"/>
                <w:szCs w:val="18"/>
              </w:rPr>
              <w:t xml:space="preserve">#</w:t>
            </w:r>
          </w:p>
        </w:tc>
        <w:tc>
          <w:tcPr>
            <w:tcW w:type="dxa" w:w="3610"/>
            <w:shd w:fill="1F4E79" w:color="auto" w:val="clear"/>
            <w:tcMar>
              <w:top w:type="dxa" w:w="60"/>
              <w:left w:type="dxa" w:w="100"/>
              <w:bottom w:type="dxa" w:w="60"/>
              <w:right w:type="dxa" w:w="100"/>
            </w:tcMar>
          </w:tcPr>
          <w:p>
            <w:pPr>
              <w:spacing w:after="40"/>
            </w:pPr>
            <w:r>
              <w:rPr>
                <w:b/>
                <w:bCs/>
                <w:color w:val="FFFFFF"/>
                <w:sz w:val="18"/>
                <w:szCs w:val="18"/>
              </w:rPr>
              <w:t xml:space="preserve">Problem</w:t>
            </w:r>
          </w:p>
        </w:tc>
        <w:tc>
          <w:tcPr>
            <w:tcW w:type="dxa" w:w="4915"/>
            <w:shd w:fill="1F4E79" w:color="auto" w:val="clear"/>
            <w:tcMar>
              <w:top w:type="dxa" w:w="60"/>
              <w:left w:type="dxa" w:w="100"/>
              <w:bottom w:type="dxa" w:w="60"/>
              <w:right w:type="dxa" w:w="100"/>
            </w:tcMar>
          </w:tcPr>
          <w:p>
            <w:pPr>
              <w:spacing w:after="40"/>
            </w:pPr>
            <w:r>
              <w:rPr>
                <w:b/>
                <w:bCs/>
                <w:color w:val="FFFFFF"/>
                <w:sz w:val="18"/>
                <w:szCs w:val="18"/>
              </w:rPr>
              <w:t xml:space="preserve">How this design addresses it</w:t>
            </w:r>
          </w:p>
        </w:tc>
      </w:tr>
      <w:tr>
        <w:tc>
          <w:tcPr>
            <w:tcW w:type="dxa" w:w="501"/>
            <w:tcMar>
              <w:top w:type="dxa" w:w="60"/>
              <w:left w:type="dxa" w:w="100"/>
              <w:bottom w:type="dxa" w:w="60"/>
              <w:right w:type="dxa" w:w="100"/>
            </w:tcMar>
          </w:tcPr>
          <w:p>
            <w:pPr>
              <w:spacing w:after="40"/>
            </w:pPr>
            <w:r>
              <w:rPr>
                <w:sz w:val="18"/>
                <w:szCs w:val="18"/>
              </w:rPr>
              <w:t xml:space="preserve">P1</w:t>
            </w:r>
          </w:p>
        </w:tc>
        <w:tc>
          <w:tcPr>
            <w:tcW w:type="dxa" w:w="3610"/>
            <w:tcMar>
              <w:top w:type="dxa" w:w="60"/>
              <w:left w:type="dxa" w:w="100"/>
              <w:bottom w:type="dxa" w:w="60"/>
              <w:right w:type="dxa" w:w="100"/>
            </w:tcMar>
          </w:tcPr>
          <w:p>
            <w:pPr>
              <w:spacing w:after="40"/>
            </w:pPr>
            <w:r>
              <w:rPr>
                <w:sz w:val="18"/>
                <w:szCs w:val="18"/>
              </w:rPr>
              <w:t xml:space="preserve">External parties, such as Lloyds Bank channel partners, need secure access to specific internal dashboards.</w:t>
            </w:r>
          </w:p>
        </w:tc>
        <w:tc>
          <w:tcPr>
            <w:tcW w:type="dxa" w:w="4915"/>
            <w:tcMar>
              <w:top w:type="dxa" w:w="60"/>
              <w:left w:type="dxa" w:w="100"/>
              <w:bottom w:type="dxa" w:w="60"/>
              <w:right w:type="dxa" w:w="100"/>
            </w:tcMar>
          </w:tcPr>
          <w:p>
            <w:pPr>
              <w:spacing w:after="40"/>
            </w:pPr>
            <w:r>
              <w:rPr>
                <w:sz w:val="18"/>
                <w:szCs w:val="18"/>
              </w:rPr>
              <w:t xml:space="preserve">Signed embedding; access chain partner → tenant group → Looker folder → dashboards held in the Tenant Registry. No direct user-to-dashboard grants.</w:t>
            </w:r>
          </w:p>
        </w:tc>
      </w:tr>
      <w:tr>
        <w:tc>
          <w:tcPr>
            <w:tcW w:type="dxa" w:w="501"/>
            <w:shd w:fill="F7F9FC" w:color="auto" w:val="clear"/>
            <w:tcMar>
              <w:top w:type="dxa" w:w="60"/>
              <w:left w:type="dxa" w:w="100"/>
              <w:bottom w:type="dxa" w:w="60"/>
              <w:right w:type="dxa" w:w="100"/>
            </w:tcMar>
          </w:tcPr>
          <w:p>
            <w:pPr>
              <w:spacing w:after="40"/>
            </w:pPr>
            <w:r>
              <w:rPr>
                <w:sz w:val="18"/>
                <w:szCs w:val="18"/>
              </w:rPr>
              <w:t xml:space="preserve">P2</w:t>
            </w:r>
          </w:p>
        </w:tc>
        <w:tc>
          <w:tcPr>
            <w:tcW w:type="dxa" w:w="3610"/>
            <w:shd w:fill="F7F9FC" w:color="auto" w:val="clear"/>
            <w:tcMar>
              <w:top w:type="dxa" w:w="60"/>
              <w:left w:type="dxa" w:w="100"/>
              <w:bottom w:type="dxa" w:w="60"/>
              <w:right w:type="dxa" w:w="100"/>
            </w:tcMar>
          </w:tcPr>
          <w:p>
            <w:pPr>
              <w:spacing w:after="40"/>
            </w:pPr>
            <w:r>
              <w:rPr>
                <w:sz w:val="18"/>
                <w:szCs w:val="18"/>
              </w:rPr>
              <w:t xml:space="preserve">External users currently on Tableau or SAP will require equivalent access when dashboards migrate to Looker.</w:t>
            </w:r>
          </w:p>
        </w:tc>
        <w:tc>
          <w:tcPr>
            <w:tcW w:type="dxa" w:w="4915"/>
            <w:shd w:fill="F7F9FC" w:color="auto" w:val="clear"/>
            <w:tcMar>
              <w:top w:type="dxa" w:w="60"/>
              <w:left w:type="dxa" w:w="100"/>
              <w:bottom w:type="dxa" w:w="60"/>
              <w:right w:type="dxa" w:w="100"/>
            </w:tcMar>
          </w:tcPr>
          <w:p>
            <w:pPr>
              <w:spacing w:after="40"/>
            </w:pPr>
            <w:r>
              <w:rPr>
                <w:sz w:val="18"/>
                <w:szCs w:val="18"/>
              </w:rPr>
              <w:t xml:space="preserve">Reusable onboarding (tenant, groups, folders, users) – a migrated dashboard is published into the tenant folder; no new build per use case.</w:t>
            </w:r>
          </w:p>
        </w:tc>
      </w:tr>
      <w:tr>
        <w:tc>
          <w:tcPr>
            <w:tcW w:type="dxa" w:w="501"/>
            <w:tcMar>
              <w:top w:type="dxa" w:w="60"/>
              <w:left w:type="dxa" w:w="100"/>
              <w:bottom w:type="dxa" w:w="60"/>
              <w:right w:type="dxa" w:w="100"/>
            </w:tcMar>
          </w:tcPr>
          <w:p>
            <w:pPr>
              <w:spacing w:after="40"/>
            </w:pPr>
            <w:r>
              <w:rPr>
                <w:sz w:val="18"/>
                <w:szCs w:val="18"/>
              </w:rPr>
              <w:t xml:space="preserve">P3</w:t>
            </w:r>
          </w:p>
        </w:tc>
        <w:tc>
          <w:tcPr>
            <w:tcW w:type="dxa" w:w="3610"/>
            <w:tcMar>
              <w:top w:type="dxa" w:w="60"/>
              <w:left w:type="dxa" w:w="100"/>
              <w:bottom w:type="dxa" w:w="60"/>
              <w:right w:type="dxa" w:w="100"/>
            </w:tcMar>
          </w:tcPr>
          <w:p>
            <w:pPr>
              <w:spacing w:after="40"/>
            </w:pPr>
            <w:r>
              <w:rPr>
                <w:sz w:val="18"/>
                <w:szCs w:val="18"/>
              </w:rPr>
              <w:t xml:space="preserve">Dashboards must be accessible through both mobile and web applications with a consistent experience.</w:t>
            </w:r>
          </w:p>
        </w:tc>
        <w:tc>
          <w:tcPr>
            <w:tcW w:type="dxa" w:w="4915"/>
            <w:tcMar>
              <w:top w:type="dxa" w:w="60"/>
              <w:left w:type="dxa" w:w="100"/>
              <w:bottom w:type="dxa" w:w="60"/>
              <w:right w:type="dxa" w:w="100"/>
            </w:tcMar>
          </w:tcPr>
          <w:p>
            <w:pPr>
              <w:spacing w:after="40"/>
            </w:pPr>
            <w:r>
              <w:rPr>
                <w:sz w:val="18"/>
                <w:szCs w:val="18"/>
              </w:rPr>
              <w:t xml:space="preserve">Looker is embedded in an iframe in the partner WebApp / mobile web view; the same signed-URL API serves both channels.</w:t>
            </w:r>
          </w:p>
        </w:tc>
      </w:tr>
      <w:tr>
        <w:tc>
          <w:tcPr>
            <w:tcW w:type="dxa" w:w="501"/>
            <w:shd w:fill="F7F9FC" w:color="auto" w:val="clear"/>
            <w:tcMar>
              <w:top w:type="dxa" w:w="60"/>
              <w:left w:type="dxa" w:w="100"/>
              <w:bottom w:type="dxa" w:w="60"/>
              <w:right w:type="dxa" w:w="100"/>
            </w:tcMar>
          </w:tcPr>
          <w:p>
            <w:pPr>
              <w:spacing w:after="40"/>
            </w:pPr>
            <w:r>
              <w:rPr>
                <w:sz w:val="18"/>
                <w:szCs w:val="18"/>
              </w:rPr>
              <w:t xml:space="preserve">P4</w:t>
            </w:r>
          </w:p>
        </w:tc>
        <w:tc>
          <w:tcPr>
            <w:tcW w:type="dxa" w:w="3610"/>
            <w:shd w:fill="F7F9FC" w:color="auto" w:val="clear"/>
            <w:tcMar>
              <w:top w:type="dxa" w:w="60"/>
              <w:left w:type="dxa" w:w="100"/>
              <w:bottom w:type="dxa" w:w="60"/>
              <w:right w:type="dxa" w:w="100"/>
            </w:tcMar>
          </w:tcPr>
          <w:p>
            <w:pPr>
              <w:spacing w:after="40"/>
            </w:pPr>
            <w:r>
              <w:rPr>
                <w:sz w:val="18"/>
                <w:szCs w:val="18"/>
              </w:rPr>
              <w:t xml:space="preserve">External users belong to different domains; identity mapping and federation are needed between their organisation, Google Cloud and Looker.</w:t>
            </w:r>
          </w:p>
        </w:tc>
        <w:tc>
          <w:tcPr>
            <w:tcW w:type="dxa" w:w="4915"/>
            <w:shd w:fill="F7F9FC" w:color="auto" w:val="clear"/>
            <w:tcMar>
              <w:top w:type="dxa" w:w="60"/>
              <w:left w:type="dxa" w:w="100"/>
              <w:bottom w:type="dxa" w:w="60"/>
              <w:right w:type="dxa" w:w="100"/>
            </w:tcMar>
          </w:tcPr>
          <w:p>
            <w:pPr>
              <w:spacing w:after="40"/>
            </w:pPr>
            <w:r>
              <w:rPr>
                <w:sz w:val="18"/>
                <w:szCs w:val="18"/>
              </w:rPr>
              <w:t xml:space="preserve">ID&amp;A is the single external identity provider (OSIS). The partner id (JWT sub) maps to Looker via external_user_id = partner_id::tenant_id. Looker never holds external passwords.</w:t>
            </w:r>
          </w:p>
        </w:tc>
      </w:tr>
      <w:tr>
        <w:tc>
          <w:tcPr>
            <w:tcW w:type="dxa" w:w="501"/>
            <w:tcMar>
              <w:top w:type="dxa" w:w="60"/>
              <w:left w:type="dxa" w:w="100"/>
              <w:bottom w:type="dxa" w:w="60"/>
              <w:right w:type="dxa" w:w="100"/>
            </w:tcMar>
          </w:tcPr>
          <w:p>
            <w:pPr>
              <w:spacing w:after="40"/>
            </w:pPr>
            <w:r>
              <w:rPr>
                <w:sz w:val="18"/>
                <w:szCs w:val="18"/>
              </w:rPr>
              <w:t xml:space="preserve">P5</w:t>
            </w:r>
          </w:p>
        </w:tc>
        <w:tc>
          <w:tcPr>
            <w:tcW w:type="dxa" w:w="3610"/>
            <w:tcMar>
              <w:top w:type="dxa" w:w="60"/>
              <w:left w:type="dxa" w:w="100"/>
              <w:bottom w:type="dxa" w:w="60"/>
              <w:right w:type="dxa" w:w="100"/>
            </w:tcMar>
          </w:tcPr>
          <w:p>
            <w:pPr>
              <w:spacing w:after="40"/>
            </w:pPr>
            <w:r>
              <w:rPr>
                <w:sz w:val="18"/>
                <w:szCs w:val="18"/>
              </w:rPr>
              <w:t xml:space="preserve">Access must protect data security, privacy and integrity.</w:t>
            </w:r>
          </w:p>
        </w:tc>
        <w:tc>
          <w:tcPr>
            <w:tcW w:type="dxa" w:w="4915"/>
            <w:tcMar>
              <w:top w:type="dxa" w:w="60"/>
              <w:left w:type="dxa" w:w="100"/>
              <w:bottom w:type="dxa" w:w="60"/>
              <w:right w:type="dxa" w:w="100"/>
            </w:tcMar>
          </w:tcPr>
          <w:p>
            <w:pPr>
              <w:spacing w:after="40"/>
            </w:pPr>
            <w:r>
              <w:rPr>
                <w:sz w:val="18"/>
                <w:szCs w:val="18"/>
              </w:rPr>
              <w:t xml:space="preserve">Tenant isolation by folder permissions + LookML access_filter on tenant_id / business_group; fail-closed checks; TLS everywhere; private networking.</w:t>
            </w:r>
          </w:p>
        </w:tc>
      </w:tr>
      <w:tr>
        <w:tc>
          <w:tcPr>
            <w:tcW w:type="dxa" w:w="501"/>
            <w:shd w:fill="F7F9FC" w:color="auto" w:val="clear"/>
            <w:tcMar>
              <w:top w:type="dxa" w:w="60"/>
              <w:left w:type="dxa" w:w="100"/>
              <w:bottom w:type="dxa" w:w="60"/>
              <w:right w:type="dxa" w:w="100"/>
            </w:tcMar>
          </w:tcPr>
          <w:p>
            <w:pPr>
              <w:spacing w:after="40"/>
            </w:pPr>
            <w:r>
              <w:rPr>
                <w:sz w:val="18"/>
                <w:szCs w:val="18"/>
              </w:rPr>
              <w:t xml:space="preserve">P6</w:t>
            </w:r>
          </w:p>
        </w:tc>
        <w:tc>
          <w:tcPr>
            <w:tcW w:type="dxa" w:w="3610"/>
            <w:shd w:fill="F7F9FC" w:color="auto" w:val="clear"/>
            <w:tcMar>
              <w:top w:type="dxa" w:w="60"/>
              <w:left w:type="dxa" w:w="100"/>
              <w:bottom w:type="dxa" w:w="60"/>
              <w:right w:type="dxa" w:w="100"/>
            </w:tcMar>
          </w:tcPr>
          <w:p>
            <w:pPr>
              <w:spacing w:after="40"/>
            </w:pPr>
            <w:r>
              <w:rPr>
                <w:sz w:val="18"/>
                <w:szCs w:val="18"/>
              </w:rPr>
              <w:t xml:space="preserve">External user activity must be monitored, logged and auditable.</w:t>
            </w:r>
          </w:p>
        </w:tc>
        <w:tc>
          <w:tcPr>
            <w:tcW w:type="dxa" w:w="4915"/>
            <w:shd w:fill="F7F9FC" w:color="auto" w:val="clear"/>
            <w:tcMar>
              <w:top w:type="dxa" w:w="60"/>
              <w:left w:type="dxa" w:w="100"/>
              <w:bottom w:type="dxa" w:w="60"/>
              <w:right w:type="dxa" w:w="100"/>
            </w:tcMar>
          </w:tcPr>
          <w:p>
            <w:pPr>
              <w:spacing w:after="40"/>
            </w:pPr>
            <w:r>
              <w:rPr>
                <w:sz w:val="18"/>
                <w:szCs w:val="18"/>
              </w:rPr>
              <w:t xml:space="preserve">Audit events from every API (partner_id, tenant_id, dashboard_id, outcome, correlation id), ID&amp;A and Looker activity logs into Cloud Logging, BigQuery log sink.</w:t>
            </w:r>
          </w:p>
        </w:tc>
      </w:tr>
      <w:tr>
        <w:tc>
          <w:tcPr>
            <w:tcW w:type="dxa" w:w="501"/>
            <w:tcMar>
              <w:top w:type="dxa" w:w="60"/>
              <w:left w:type="dxa" w:w="100"/>
              <w:bottom w:type="dxa" w:w="60"/>
              <w:right w:type="dxa" w:w="100"/>
            </w:tcMar>
          </w:tcPr>
          <w:p>
            <w:pPr>
              <w:spacing w:after="40"/>
            </w:pPr>
            <w:r>
              <w:rPr>
                <w:sz w:val="18"/>
                <w:szCs w:val="18"/>
              </w:rPr>
              <w:t xml:space="preserve">P7</w:t>
            </w:r>
          </w:p>
        </w:tc>
        <w:tc>
          <w:tcPr>
            <w:tcW w:type="dxa" w:w="3610"/>
            <w:tcMar>
              <w:top w:type="dxa" w:w="60"/>
              <w:left w:type="dxa" w:w="100"/>
              <w:bottom w:type="dxa" w:w="60"/>
              <w:right w:type="dxa" w:w="100"/>
            </w:tcMar>
          </w:tcPr>
          <w:p>
            <w:pPr>
              <w:spacing w:after="40"/>
            </w:pPr>
            <w:r>
              <w:rPr>
                <w:sz w:val="18"/>
                <w:szCs w:val="18"/>
              </w:rPr>
              <w:t xml:space="preserve">Role-based access control so each party sees only what its contract allows.</w:t>
            </w:r>
          </w:p>
        </w:tc>
        <w:tc>
          <w:tcPr>
            <w:tcW w:type="dxa" w:w="4915"/>
            <w:tcMar>
              <w:top w:type="dxa" w:w="60"/>
              <w:left w:type="dxa" w:w="100"/>
              <w:bottom w:type="dxa" w:w="60"/>
              <w:right w:type="dxa" w:w="100"/>
            </w:tcMar>
          </w:tcPr>
          <w:p>
            <w:pPr>
              <w:spacing w:after="40"/>
            </w:pPr>
            <w:r>
              <w:rPr>
                <w:sz w:val="18"/>
                <w:szCs w:val="18"/>
              </w:rPr>
              <w:t xml:space="preserve">role_capabilities table (permissions/models per role), max_role ceiling per user, tenant and business-group groups.</w:t>
            </w:r>
          </w:p>
        </w:tc>
      </w:tr>
      <w:tr>
        <w:tc>
          <w:tcPr>
            <w:tcW w:type="dxa" w:w="501"/>
            <w:shd w:fill="F7F9FC" w:color="auto" w:val="clear"/>
            <w:tcMar>
              <w:top w:type="dxa" w:w="60"/>
              <w:left w:type="dxa" w:w="100"/>
              <w:bottom w:type="dxa" w:w="60"/>
              <w:right w:type="dxa" w:w="100"/>
            </w:tcMar>
          </w:tcPr>
          <w:p>
            <w:pPr>
              <w:spacing w:after="40"/>
            </w:pPr>
            <w:r>
              <w:rPr>
                <w:sz w:val="18"/>
                <w:szCs w:val="18"/>
              </w:rPr>
              <w:t xml:space="preserve">P8</w:t>
            </w:r>
          </w:p>
        </w:tc>
        <w:tc>
          <w:tcPr>
            <w:tcW w:type="dxa" w:w="3610"/>
            <w:shd w:fill="F7F9FC" w:color="auto" w:val="clear"/>
            <w:tcMar>
              <w:top w:type="dxa" w:w="60"/>
              <w:left w:type="dxa" w:w="100"/>
              <w:bottom w:type="dxa" w:w="60"/>
              <w:right w:type="dxa" w:w="100"/>
            </w:tcMar>
          </w:tcPr>
          <w:p>
            <w:pPr>
              <w:spacing w:after="40"/>
            </w:pPr>
            <w:r>
              <w:rPr>
                <w:sz w:val="18"/>
                <w:szCs w:val="18"/>
              </w:rPr>
              <w:t xml:space="preserve">Onboarding, approval, periodic review and offboarding must be documented.</w:t>
            </w:r>
          </w:p>
        </w:tc>
        <w:tc>
          <w:tcPr>
            <w:tcW w:type="dxa" w:w="4915"/>
            <w:shd w:fill="F7F9FC" w:color="auto" w:val="clear"/>
            <w:tcMar>
              <w:top w:type="dxa" w:w="60"/>
              <w:left w:type="dxa" w:w="100"/>
              <w:bottom w:type="dxa" w:w="60"/>
              <w:right w:type="dxa" w:w="100"/>
            </w:tcMar>
          </w:tcPr>
          <w:p>
            <w:pPr>
              <w:spacing w:after="40"/>
            </w:pPr>
            <w:r>
              <w:rPr>
                <w:sz w:val="18"/>
                <w:szCs w:val="18"/>
              </w:rPr>
              <w:t xml:space="preserve">Registry-driven onboarding with change reference; status flags for offboarding; nightly reconciliation; quarterly recertification (Section 2.10).</w:t>
            </w:r>
          </w:p>
        </w:tc>
      </w:tr>
      <w:tr>
        <w:tc>
          <w:tcPr>
            <w:tcW w:type="dxa" w:w="501"/>
            <w:tcMar>
              <w:top w:type="dxa" w:w="60"/>
              <w:left w:type="dxa" w:w="100"/>
              <w:bottom w:type="dxa" w:w="60"/>
              <w:right w:type="dxa" w:w="100"/>
            </w:tcMar>
          </w:tcPr>
          <w:p>
            <w:pPr>
              <w:spacing w:after="40"/>
            </w:pPr>
            <w:r>
              <w:rPr>
                <w:sz w:val="18"/>
                <w:szCs w:val="18"/>
              </w:rPr>
              <w:t xml:space="preserve">P9</w:t>
            </w:r>
          </w:p>
        </w:tc>
        <w:tc>
          <w:tcPr>
            <w:tcW w:type="dxa" w:w="3610"/>
            <w:tcMar>
              <w:top w:type="dxa" w:w="60"/>
              <w:left w:type="dxa" w:w="100"/>
              <w:bottom w:type="dxa" w:w="60"/>
              <w:right w:type="dxa" w:w="100"/>
            </w:tcMar>
          </w:tcPr>
          <w:p>
            <w:pPr>
              <w:spacing w:after="40"/>
            </w:pPr>
            <w:r>
              <w:rPr>
                <w:sz w:val="18"/>
                <w:szCs w:val="18"/>
              </w:rPr>
              <w:t xml:space="preserve">SSO, MFA, domain allow-listing and session timeout policies must be agreed.</w:t>
            </w:r>
          </w:p>
        </w:tc>
        <w:tc>
          <w:tcPr>
            <w:tcW w:type="dxa" w:w="4915"/>
            <w:tcMar>
              <w:top w:type="dxa" w:w="60"/>
              <w:left w:type="dxa" w:w="100"/>
              <w:bottom w:type="dxa" w:w="60"/>
              <w:right w:type="dxa" w:w="100"/>
            </w:tcMar>
          </w:tcPr>
          <w:p>
            <w:pPr>
              <w:spacing w:after="40"/>
            </w:pPr>
            <w:r>
              <w:rPr>
                <w:sz w:val="18"/>
                <w:szCs w:val="18"/>
              </w:rPr>
              <w:t xml:space="preserve">ID&amp;A login (MFA per ID&amp;A policy); Looker embedded-domain allowlist; Looker session 3600 s; signed URL single-use, minutes validity.</w:t>
            </w:r>
          </w:p>
        </w:tc>
      </w:tr>
      <w:tr>
        <w:tc>
          <w:tcPr>
            <w:tcW w:type="dxa" w:w="501"/>
            <w:shd w:fill="F7F9FC" w:color="auto" w:val="clear"/>
            <w:tcMar>
              <w:top w:type="dxa" w:w="60"/>
              <w:left w:type="dxa" w:w="100"/>
              <w:bottom w:type="dxa" w:w="60"/>
              <w:right w:type="dxa" w:w="100"/>
            </w:tcMar>
          </w:tcPr>
          <w:p>
            <w:pPr>
              <w:spacing w:after="40"/>
            </w:pPr>
            <w:r>
              <w:rPr>
                <w:sz w:val="18"/>
                <w:szCs w:val="18"/>
              </w:rPr>
              <w:t xml:space="preserve">P10</w:t>
            </w:r>
          </w:p>
        </w:tc>
        <w:tc>
          <w:tcPr>
            <w:tcW w:type="dxa" w:w="3610"/>
            <w:shd w:fill="F7F9FC" w:color="auto" w:val="clear"/>
            <w:tcMar>
              <w:top w:type="dxa" w:w="60"/>
              <w:left w:type="dxa" w:w="100"/>
              <w:bottom w:type="dxa" w:w="60"/>
              <w:right w:type="dxa" w:w="100"/>
            </w:tcMar>
          </w:tcPr>
          <w:p>
            <w:pPr>
              <w:spacing w:after="40"/>
            </w:pPr>
            <w:r>
              <w:rPr>
                <w:sz w:val="18"/>
                <w:szCs w:val="18"/>
              </w:rPr>
              <w:t xml:space="preserve">Licensing, cost impact and support responsibilities for external Looker users must be clarified.</w:t>
            </w:r>
          </w:p>
        </w:tc>
        <w:tc>
          <w:tcPr>
            <w:tcW w:type="dxa" w:w="4915"/>
            <w:shd w:fill="F7F9FC" w:color="auto" w:val="clear"/>
            <w:tcMar>
              <w:top w:type="dxa" w:w="60"/>
              <w:left w:type="dxa" w:w="100"/>
              <w:bottom w:type="dxa" w:w="60"/>
              <w:right w:type="dxa" w:w="100"/>
            </w:tcMar>
          </w:tcPr>
          <w:p>
            <w:pPr>
              <w:spacing w:after="40"/>
            </w:pPr>
            <w:r>
              <w:rPr>
                <w:sz w:val="18"/>
                <w:szCs w:val="18"/>
              </w:rPr>
              <w:t xml:space="preserve">Embed-user licensing captured as cost risk; support model in Section 2.10; FinOps table Section 2.7.</w:t>
            </w:r>
          </w:p>
        </w:tc>
      </w:tr>
      <w:tr>
        <w:tc>
          <w:tcPr>
            <w:tcW w:type="dxa" w:w="501"/>
            <w:tcMar>
              <w:top w:type="dxa" w:w="60"/>
              <w:left w:type="dxa" w:w="100"/>
              <w:bottom w:type="dxa" w:w="60"/>
              <w:right w:type="dxa" w:w="100"/>
            </w:tcMar>
          </w:tcPr>
          <w:p>
            <w:pPr>
              <w:spacing w:after="40"/>
            </w:pPr>
            <w:r>
              <w:rPr>
                <w:sz w:val="18"/>
                <w:szCs w:val="18"/>
              </w:rPr>
              <w:t xml:space="preserve">P11</w:t>
            </w:r>
          </w:p>
        </w:tc>
        <w:tc>
          <w:tcPr>
            <w:tcW w:type="dxa" w:w="3610"/>
            <w:tcMar>
              <w:top w:type="dxa" w:w="60"/>
              <w:left w:type="dxa" w:w="100"/>
              <w:bottom w:type="dxa" w:w="60"/>
              <w:right w:type="dxa" w:w="100"/>
            </w:tcMar>
          </w:tcPr>
          <w:p>
            <w:pPr>
              <w:spacing w:after="40"/>
            </w:pPr>
            <w:r>
              <w:rPr>
                <w:sz w:val="18"/>
                <w:szCs w:val="18"/>
              </w:rPr>
              <w:t xml:space="preserve">Legal, compliance and data-sharing obligations must be reviewed before exposing dashboards.</w:t>
            </w:r>
          </w:p>
        </w:tc>
        <w:tc>
          <w:tcPr>
            <w:tcW w:type="dxa" w:w="4915"/>
            <w:tcMar>
              <w:top w:type="dxa" w:w="60"/>
              <w:left w:type="dxa" w:w="100"/>
              <w:bottom w:type="dxa" w:w="60"/>
              <w:right w:type="dxa" w:w="100"/>
            </w:tcMar>
          </w:tcPr>
          <w:p>
            <w:pPr>
              <w:spacing w:after="40"/>
            </w:pPr>
            <w:r>
              <w:rPr>
                <w:sz w:val="18"/>
                <w:szCs w:val="18"/>
              </w:rPr>
              <w:t xml:space="preserve">Data-sharing agreement is an onboarding pre-requisite (tenant cannot be activated without DSA reference).</w:t>
            </w:r>
          </w:p>
        </w:tc>
      </w:tr>
    </w:tbl>
    <w:p>
      <w:pPr>
        <w:pStyle w:val="Heading3"/>
      </w:pPr>
      <w:r>
        <w:t xml:space="preserve">Performance</w:t>
      </w:r>
    </w:p>
    <w:p>
      <w:pPr>
        <w:spacing w:after="120"/>
      </w:pPr>
      <w:r>
        <w:t xml:space="preserve">Authentication cost is paid once per login, not per dashboard tile. JWTs are verified locally with cached JWKS keys (sub-millisecond), registry reads are cached for 60 seconds, and dashboard switches within a session do not call GKE at all. Query performance is governed by Looker caching, BigQuery partitioning/clustering on tenant_id, and aggregate awareness for heavy dashboards.</w:t>
      </w:r>
    </w:p>
    <w:p>
      <w:pPr>
        <w:pStyle w:val="Heading3"/>
      </w:pPr>
      <w:r>
        <w:t xml:space="preserve">Cost Risk</w:t>
      </w:r>
    </w:p>
    <w:p>
      <w:pPr>
        <w:pStyle w:val="ListParagraph"/>
        <w:numPr>
          <w:ilvl w:val="0"/>
          <w:numId w:val="2"/>
        </w:numPr>
        <w:spacing w:after="60"/>
      </w:pPr>
      <w:r>
        <w:t xml:space="preserve">Looker embed-user licensing for external users (per-user or capacity based) – volume to be confirmed with GEM Analytics and Google account team.</w:t>
      </w:r>
    </w:p>
    <w:p>
      <w:pPr>
        <w:pStyle w:val="ListParagraph"/>
        <w:numPr>
          <w:ilvl w:val="0"/>
          <w:numId w:val="2"/>
        </w:numPr>
        <w:spacing w:after="60"/>
      </w:pPr>
      <w:r>
        <w:t xml:space="preserve">BigQuery query cost driven by external usage – mitigated by Looker caching, PDTs/aggregate tables, per-tenant cost attribution through the log sink, and BigQuery reservations or quotas.</w:t>
      </w:r>
    </w:p>
    <w:p>
      <w:pPr>
        <w:pStyle w:val="ListParagraph"/>
        <w:numPr>
          <w:ilvl w:val="0"/>
          <w:numId w:val="2"/>
        </w:numPr>
        <w:spacing w:after="60"/>
      </w:pPr>
      <w:r>
        <w:t xml:space="preserve">Apigee call volume and GKE / Cloud SQL run cost are small and shared with the existing BIaaS platform.</w:t>
      </w:r>
    </w:p>
    <w:p>
      <w:pPr>
        <w:pStyle w:val="Heading3"/>
      </w:pPr>
      <w:r>
        <w:t xml:space="preserve">Operational Risks</w:t>
      </w:r>
    </w:p>
    <w:p>
      <w:pPr>
        <w:pStyle w:val="ListParagraph"/>
        <w:numPr>
          <w:ilvl w:val="0"/>
          <w:numId w:val="2"/>
        </w:numPr>
        <w:spacing w:after="60"/>
      </w:pPr>
      <w:r>
        <w:t xml:space="preserve">Dependency on ID&amp;A, Apigee and Looker availability on the login path (mitigated by caching, retries, health checks and clear degraded-mode messages).</w:t>
      </w:r>
    </w:p>
    <w:p>
      <w:pPr>
        <w:pStyle w:val="ListParagraph"/>
        <w:numPr>
          <w:ilvl w:val="0"/>
          <w:numId w:val="2"/>
        </w:numPr>
        <w:spacing w:after="60"/>
      </w:pPr>
      <w:r>
        <w:t xml:space="preserve">Drift between Looker folder permissions and the Tenant Registry (mitigated by nightly reconciliation job and alerts).</w:t>
      </w:r>
    </w:p>
    <w:p>
      <w:pPr>
        <w:pStyle w:val="ListParagraph"/>
        <w:numPr>
          <w:ilvl w:val="0"/>
          <w:numId w:val="2"/>
        </w:numPr>
        <w:spacing w:after="60"/>
      </w:pPr>
      <w:r>
        <w:t xml:space="preserve">Manual onboarding errors (mitigated by a scripted onboarding job, change reference on every grant, and audit triggers).</w:t>
      </w:r>
    </w:p>
    <w:p>
      <w:pPr>
        <w:pStyle w:val="Heading3"/>
      </w:pPr>
      <w:r>
        <w:t xml:space="preserve">Platform Consistency</w:t>
      </w:r>
    </w:p>
    <w:p>
      <w:pPr>
        <w:spacing w:after="120"/>
      </w:pPr>
      <w:r>
        <w:t xml:space="preserve">The design reuses existing LBG patterns: HUB-and-spoke networking with HA VPN and Cloud Router, Apigee as the only route to ID&amp;A, GKE with Workload Identity, Secret Manager, Cloud Logging and the standard GCP 2.0 IDP environments (INT, PRE, PRD). No new technology is introduced; the capability is offered as a reusable BIaaS service rather than a GEM-specific build.</w:t>
      </w:r>
    </w:p>
    <w:p>
      <w:pPr>
        <w:spacing w:after="120"/>
      </w:pPr>
      <w:r>
        <w:rPr>
          <w:b/>
          <w:bCs/>
          <w:color w:val="C00000"/>
          <w:sz w:val="16"/>
          <w:szCs w:val="16"/>
        </w:rPr>
        <w:t xml:space="preserve">MANDATORY – Section Guidance</w:t>
      </w:r>
    </w:p>
    <w:p>
      <w:pPr>
        <w:pStyle w:val="Heading2"/>
      </w:pPr>
      <w:r>
        <w:t xml:space="preserve">1.3 Requirements</w:t>
      </w:r>
    </w:p>
    <w:p>
      <w:pPr>
        <w:pStyle w:val="Heading3"/>
      </w:pPr>
      <w:r>
        <w:t xml:space="preserve">Functional requirements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2"/>
        <w:gridCol w:w="6619"/>
        <w:gridCol w:w="1505"/>
      </w:tblGrid>
      <w:tr>
        <w:trPr>
          <w:tblHeader/>
        </w:trPr>
        <w:tc>
          <w:tcPr>
            <w:tcW w:type="dxa" w:w="902"/>
            <w:shd w:fill="1F4E79"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6619"/>
            <w:shd w:fill="1F4E79"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1505"/>
            <w:shd w:fill="1F4E79" w:color="auto" w:val="clear"/>
            <w:tcMar>
              <w:top w:type="dxa" w:w="60"/>
              <w:left w:type="dxa" w:w="100"/>
              <w:bottom w:type="dxa" w:w="60"/>
              <w:right w:type="dxa" w:w="100"/>
            </w:tcMar>
          </w:tcPr>
          <w:p>
            <w:pPr>
              <w:spacing w:after="40"/>
            </w:pPr>
            <w:r>
              <w:rPr>
                <w:b/>
                <w:bCs/>
                <w:color w:val="FFFFFF"/>
                <w:sz w:val="18"/>
                <w:szCs w:val="18"/>
              </w:rPr>
              <w:t xml:space="preserve">Priority</w:t>
            </w:r>
          </w:p>
        </w:tc>
      </w:tr>
      <w:tr>
        <w:tc>
          <w:tcPr>
            <w:tcW w:type="dxa" w:w="902"/>
            <w:tcMar>
              <w:top w:type="dxa" w:w="60"/>
              <w:left w:type="dxa" w:w="100"/>
              <w:bottom w:type="dxa" w:w="60"/>
              <w:right w:type="dxa" w:w="100"/>
            </w:tcMar>
          </w:tcPr>
          <w:p>
            <w:pPr>
              <w:spacing w:after="40"/>
            </w:pPr>
            <w:r>
              <w:rPr>
                <w:sz w:val="18"/>
                <w:szCs w:val="18"/>
              </w:rPr>
              <w:t xml:space="preserve">FR-01</w:t>
            </w:r>
          </w:p>
        </w:tc>
        <w:tc>
          <w:tcPr>
            <w:tcW w:type="dxa" w:w="6619"/>
            <w:tcMar>
              <w:top w:type="dxa" w:w="60"/>
              <w:left w:type="dxa" w:w="100"/>
              <w:bottom w:type="dxa" w:w="60"/>
              <w:right w:type="dxa" w:w="100"/>
            </w:tcMar>
          </w:tcPr>
          <w:p>
            <w:pPr>
              <w:spacing w:after="40"/>
            </w:pPr>
            <w:r>
              <w:rPr>
                <w:sz w:val="18"/>
                <w:szCs w:val="18"/>
              </w:rPr>
              <w:t xml:space="preserve">External partner users can open authorised Looker dashboards embedded in the partner portal (web and mobile).</w:t>
            </w:r>
          </w:p>
        </w:tc>
        <w:tc>
          <w:tcPr>
            <w:tcW w:type="dxa" w:w="1505"/>
            <w:tcMar>
              <w:top w:type="dxa" w:w="60"/>
              <w:left w:type="dxa" w:w="100"/>
              <w:bottom w:type="dxa" w:w="60"/>
              <w:right w:type="dxa" w:w="100"/>
            </w:tcMar>
          </w:tcPr>
          <w:p>
            <w:pPr>
              <w:spacing w:after="40"/>
            </w:pPr>
            <w:r>
              <w:rPr>
                <w:sz w:val="18"/>
                <w:szCs w:val="18"/>
              </w:rPr>
              <w:t xml:space="preserve">Must</w:t>
            </w:r>
          </w:p>
        </w:tc>
      </w:tr>
      <w:tr>
        <w:tc>
          <w:tcPr>
            <w:tcW w:type="dxa" w:w="902"/>
            <w:shd w:fill="F7F9FC" w:color="auto" w:val="clear"/>
            <w:tcMar>
              <w:top w:type="dxa" w:w="60"/>
              <w:left w:type="dxa" w:w="100"/>
              <w:bottom w:type="dxa" w:w="60"/>
              <w:right w:type="dxa" w:w="100"/>
            </w:tcMar>
          </w:tcPr>
          <w:p>
            <w:pPr>
              <w:spacing w:after="40"/>
            </w:pPr>
            <w:r>
              <w:rPr>
                <w:sz w:val="18"/>
                <w:szCs w:val="18"/>
              </w:rPr>
              <w:t xml:space="preserve">FR-02</w:t>
            </w:r>
          </w:p>
        </w:tc>
        <w:tc>
          <w:tcPr>
            <w:tcW w:type="dxa" w:w="6619"/>
            <w:shd w:fill="F7F9FC" w:color="auto" w:val="clear"/>
            <w:tcMar>
              <w:top w:type="dxa" w:w="60"/>
              <w:left w:type="dxa" w:w="100"/>
              <w:bottom w:type="dxa" w:w="60"/>
              <w:right w:type="dxa" w:w="100"/>
            </w:tcMar>
          </w:tcPr>
          <w:p>
            <w:pPr>
              <w:spacing w:after="40"/>
            </w:pPr>
            <w:r>
              <w:rPr>
                <w:sz w:val="18"/>
                <w:szCs w:val="18"/>
              </w:rPr>
              <w:t xml:space="preserve">A partner sees only dashboards of its own tenant folder(s) and only rows for its tenant / business group.</w:t>
            </w:r>
          </w:p>
        </w:tc>
        <w:tc>
          <w:tcPr>
            <w:tcW w:type="dxa" w:w="1505"/>
            <w:shd w:fill="F7F9FC" w:color="auto" w:val="clear"/>
            <w:tcMar>
              <w:top w:type="dxa" w:w="60"/>
              <w:left w:type="dxa" w:w="100"/>
              <w:bottom w:type="dxa" w:w="60"/>
              <w:right w:type="dxa" w:w="100"/>
            </w:tcMar>
          </w:tcPr>
          <w:p>
            <w:pPr>
              <w:spacing w:after="40"/>
            </w:pPr>
            <w:r>
              <w:rPr>
                <w:sz w:val="18"/>
                <w:szCs w:val="18"/>
              </w:rPr>
              <w:t xml:space="preserve">Must</w:t>
            </w:r>
          </w:p>
        </w:tc>
      </w:tr>
      <w:tr>
        <w:tc>
          <w:tcPr>
            <w:tcW w:type="dxa" w:w="902"/>
            <w:tcMar>
              <w:top w:type="dxa" w:w="60"/>
              <w:left w:type="dxa" w:w="100"/>
              <w:bottom w:type="dxa" w:w="60"/>
              <w:right w:type="dxa" w:w="100"/>
            </w:tcMar>
          </w:tcPr>
          <w:p>
            <w:pPr>
              <w:spacing w:after="40"/>
            </w:pPr>
            <w:r>
              <w:rPr>
                <w:sz w:val="18"/>
                <w:szCs w:val="18"/>
              </w:rPr>
              <w:t xml:space="preserve">FR-03</w:t>
            </w:r>
          </w:p>
        </w:tc>
        <w:tc>
          <w:tcPr>
            <w:tcW w:type="dxa" w:w="6619"/>
            <w:tcMar>
              <w:top w:type="dxa" w:w="60"/>
              <w:left w:type="dxa" w:w="100"/>
              <w:bottom w:type="dxa" w:w="60"/>
              <w:right w:type="dxa" w:w="100"/>
            </w:tcMar>
          </w:tcPr>
          <w:p>
            <w:pPr>
              <w:spacing w:after="40"/>
            </w:pPr>
            <w:r>
              <w:rPr>
                <w:sz w:val="18"/>
                <w:szCs w:val="18"/>
              </w:rPr>
              <w:t xml:space="preserve">Partner users can switch between authorised dashboards in the same session without re-authenticating.</w:t>
            </w:r>
          </w:p>
        </w:tc>
        <w:tc>
          <w:tcPr>
            <w:tcW w:type="dxa" w:w="1505"/>
            <w:tcMar>
              <w:top w:type="dxa" w:w="60"/>
              <w:left w:type="dxa" w:w="100"/>
              <w:bottom w:type="dxa" w:w="60"/>
              <w:right w:type="dxa" w:w="100"/>
            </w:tcMar>
          </w:tcPr>
          <w:p>
            <w:pPr>
              <w:spacing w:after="40"/>
            </w:pPr>
            <w:r>
              <w:rPr>
                <w:sz w:val="18"/>
                <w:szCs w:val="18"/>
              </w:rPr>
              <w:t xml:space="preserve">Must</w:t>
            </w:r>
          </w:p>
        </w:tc>
      </w:tr>
      <w:tr>
        <w:tc>
          <w:tcPr>
            <w:tcW w:type="dxa" w:w="902"/>
            <w:shd w:fill="F7F9FC" w:color="auto" w:val="clear"/>
            <w:tcMar>
              <w:top w:type="dxa" w:w="60"/>
              <w:left w:type="dxa" w:w="100"/>
              <w:bottom w:type="dxa" w:w="60"/>
              <w:right w:type="dxa" w:w="100"/>
            </w:tcMar>
          </w:tcPr>
          <w:p>
            <w:pPr>
              <w:spacing w:after="40"/>
            </w:pPr>
            <w:r>
              <w:rPr>
                <w:sz w:val="18"/>
                <w:szCs w:val="18"/>
              </w:rPr>
              <w:t xml:space="preserve">FR-04</w:t>
            </w:r>
          </w:p>
        </w:tc>
        <w:tc>
          <w:tcPr>
            <w:tcW w:type="dxa" w:w="6619"/>
            <w:shd w:fill="F7F9FC" w:color="auto" w:val="clear"/>
            <w:tcMar>
              <w:top w:type="dxa" w:w="60"/>
              <w:left w:type="dxa" w:w="100"/>
              <w:bottom w:type="dxa" w:w="60"/>
              <w:right w:type="dxa" w:w="100"/>
            </w:tcMar>
          </w:tcPr>
          <w:p>
            <w:pPr>
              <w:spacing w:after="40"/>
            </w:pPr>
            <w:r>
              <w:rPr>
                <w:sz w:val="18"/>
                <w:szCs w:val="18"/>
              </w:rPr>
              <w:t xml:space="preserve">Onboarding creates tenant, Looker group, folder and user mapping through a controlled, auditable process.</w:t>
            </w:r>
          </w:p>
        </w:tc>
        <w:tc>
          <w:tcPr>
            <w:tcW w:type="dxa" w:w="1505"/>
            <w:shd w:fill="F7F9FC" w:color="auto" w:val="clear"/>
            <w:tcMar>
              <w:top w:type="dxa" w:w="60"/>
              <w:left w:type="dxa" w:w="100"/>
              <w:bottom w:type="dxa" w:w="60"/>
              <w:right w:type="dxa" w:w="100"/>
            </w:tcMar>
          </w:tcPr>
          <w:p>
            <w:pPr>
              <w:spacing w:after="40"/>
            </w:pPr>
            <w:r>
              <w:rPr>
                <w:sz w:val="18"/>
                <w:szCs w:val="18"/>
              </w:rPr>
              <w:t xml:space="preserve">Must</w:t>
            </w:r>
          </w:p>
        </w:tc>
      </w:tr>
      <w:tr>
        <w:tc>
          <w:tcPr>
            <w:tcW w:type="dxa" w:w="902"/>
            <w:tcMar>
              <w:top w:type="dxa" w:w="60"/>
              <w:left w:type="dxa" w:w="100"/>
              <w:bottom w:type="dxa" w:w="60"/>
              <w:right w:type="dxa" w:w="100"/>
            </w:tcMar>
          </w:tcPr>
          <w:p>
            <w:pPr>
              <w:spacing w:after="40"/>
            </w:pPr>
            <w:r>
              <w:rPr>
                <w:sz w:val="18"/>
                <w:szCs w:val="18"/>
              </w:rPr>
              <w:t xml:space="preserve">FR-05</w:t>
            </w:r>
          </w:p>
        </w:tc>
        <w:tc>
          <w:tcPr>
            <w:tcW w:type="dxa" w:w="6619"/>
            <w:tcMar>
              <w:top w:type="dxa" w:w="60"/>
              <w:left w:type="dxa" w:w="100"/>
              <w:bottom w:type="dxa" w:w="60"/>
              <w:right w:type="dxa" w:w="100"/>
            </w:tcMar>
          </w:tcPr>
          <w:p>
            <w:pPr>
              <w:spacing w:after="40"/>
            </w:pPr>
            <w:r>
              <w:rPr>
                <w:sz w:val="18"/>
                <w:szCs w:val="18"/>
              </w:rPr>
              <w:t xml:space="preserve">Access can be changed or removed per user, per business group or per tenant.</w:t>
            </w:r>
          </w:p>
        </w:tc>
        <w:tc>
          <w:tcPr>
            <w:tcW w:type="dxa" w:w="1505"/>
            <w:tcMar>
              <w:top w:type="dxa" w:w="60"/>
              <w:left w:type="dxa" w:w="100"/>
              <w:bottom w:type="dxa" w:w="60"/>
              <w:right w:type="dxa" w:w="100"/>
            </w:tcMar>
          </w:tcPr>
          <w:p>
            <w:pPr>
              <w:spacing w:after="40"/>
            </w:pPr>
            <w:r>
              <w:rPr>
                <w:sz w:val="18"/>
                <w:szCs w:val="18"/>
              </w:rPr>
              <w:t xml:space="preserve">Must</w:t>
            </w:r>
          </w:p>
        </w:tc>
      </w:tr>
      <w:tr>
        <w:tc>
          <w:tcPr>
            <w:tcW w:type="dxa" w:w="902"/>
            <w:shd w:fill="F7F9FC" w:color="auto" w:val="clear"/>
            <w:tcMar>
              <w:top w:type="dxa" w:w="60"/>
              <w:left w:type="dxa" w:w="100"/>
              <w:bottom w:type="dxa" w:w="60"/>
              <w:right w:type="dxa" w:w="100"/>
            </w:tcMar>
          </w:tcPr>
          <w:p>
            <w:pPr>
              <w:spacing w:after="40"/>
            </w:pPr>
            <w:r>
              <w:rPr>
                <w:sz w:val="18"/>
                <w:szCs w:val="18"/>
              </w:rPr>
              <w:t xml:space="preserve">FR-06</w:t>
            </w:r>
          </w:p>
        </w:tc>
        <w:tc>
          <w:tcPr>
            <w:tcW w:type="dxa" w:w="6619"/>
            <w:shd w:fill="F7F9FC" w:color="auto" w:val="clear"/>
            <w:tcMar>
              <w:top w:type="dxa" w:w="60"/>
              <w:left w:type="dxa" w:w="100"/>
              <w:bottom w:type="dxa" w:w="60"/>
              <w:right w:type="dxa" w:w="100"/>
            </w:tcMar>
          </w:tcPr>
          <w:p>
            <w:pPr>
              <w:spacing w:after="40"/>
            </w:pPr>
            <w:r>
              <w:rPr>
                <w:sz w:val="18"/>
                <w:szCs w:val="18"/>
              </w:rPr>
              <w:t xml:space="preserve">Authorised internal users can write back a value from a dashboard to BigQuery and see it after refresh.</w:t>
            </w:r>
          </w:p>
        </w:tc>
        <w:tc>
          <w:tcPr>
            <w:tcW w:type="dxa" w:w="1505"/>
            <w:shd w:fill="F7F9FC" w:color="auto" w:val="clear"/>
            <w:tcMar>
              <w:top w:type="dxa" w:w="60"/>
              <w:left w:type="dxa" w:w="100"/>
              <w:bottom w:type="dxa" w:w="60"/>
              <w:right w:type="dxa" w:w="100"/>
            </w:tcMar>
          </w:tcPr>
          <w:p>
            <w:pPr>
              <w:spacing w:after="40"/>
            </w:pPr>
            <w:r>
              <w:rPr>
                <w:sz w:val="18"/>
                <w:szCs w:val="18"/>
              </w:rPr>
              <w:t xml:space="preserve">Should (MVD scope)</w:t>
            </w:r>
          </w:p>
        </w:tc>
      </w:tr>
      <w:tr>
        <w:tc>
          <w:tcPr>
            <w:tcW w:type="dxa" w:w="902"/>
            <w:tcMar>
              <w:top w:type="dxa" w:w="60"/>
              <w:left w:type="dxa" w:w="100"/>
              <w:bottom w:type="dxa" w:w="60"/>
              <w:right w:type="dxa" w:w="100"/>
            </w:tcMar>
          </w:tcPr>
          <w:p>
            <w:pPr>
              <w:spacing w:after="40"/>
            </w:pPr>
            <w:r>
              <w:rPr>
                <w:sz w:val="18"/>
                <w:szCs w:val="18"/>
              </w:rPr>
              <w:t xml:space="preserve">FR-07</w:t>
            </w:r>
          </w:p>
        </w:tc>
        <w:tc>
          <w:tcPr>
            <w:tcW w:type="dxa" w:w="6619"/>
            <w:tcMar>
              <w:top w:type="dxa" w:w="60"/>
              <w:left w:type="dxa" w:w="100"/>
              <w:bottom w:type="dxa" w:w="60"/>
              <w:right w:type="dxa" w:w="100"/>
            </w:tcMar>
          </w:tcPr>
          <w:p>
            <w:pPr>
              <w:spacing w:after="40"/>
            </w:pPr>
            <w:r>
              <w:rPr>
                <w:sz w:val="18"/>
                <w:szCs w:val="18"/>
              </w:rPr>
              <w:t xml:space="preserve">Every access and write-back is attributable to a user and traceable end to end with a correlation id.</w:t>
            </w:r>
          </w:p>
        </w:tc>
        <w:tc>
          <w:tcPr>
            <w:tcW w:type="dxa" w:w="1505"/>
            <w:tcMar>
              <w:top w:type="dxa" w:w="60"/>
              <w:left w:type="dxa" w:w="100"/>
              <w:bottom w:type="dxa" w:w="60"/>
              <w:right w:type="dxa" w:w="100"/>
            </w:tcMar>
          </w:tcPr>
          <w:p>
            <w:pPr>
              <w:spacing w:after="40"/>
            </w:pPr>
            <w:r>
              <w:rPr>
                <w:sz w:val="18"/>
                <w:szCs w:val="18"/>
              </w:rPr>
              <w:t xml:space="preserve">Must</w:t>
            </w:r>
          </w:p>
        </w:tc>
      </w:tr>
    </w:tbl>
    <w:p>
      <w:pPr>
        <w:pStyle w:val="Heading3"/>
      </w:pPr>
      <w:r>
        <w:t xml:space="preserve">Non-functional requirements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04"/>
        <w:gridCol w:w="3810"/>
        <w:gridCol w:w="3712"/>
      </w:tblGrid>
      <w:tr>
        <w:trPr>
          <w:tblHeader/>
        </w:trPr>
        <w:tc>
          <w:tcPr>
            <w:tcW w:type="dxa" w:w="1504"/>
            <w:shd w:fill="1F4E79" w:color="auto" w:val="clear"/>
            <w:tcMar>
              <w:top w:type="dxa" w:w="60"/>
              <w:left w:type="dxa" w:w="100"/>
              <w:bottom w:type="dxa" w:w="60"/>
              <w:right w:type="dxa" w:w="100"/>
            </w:tcMar>
          </w:tcPr>
          <w:p>
            <w:pPr>
              <w:spacing w:after="40"/>
            </w:pPr>
            <w:r>
              <w:rPr>
                <w:b/>
                <w:bCs/>
                <w:color w:val="FFFFFF"/>
                <w:sz w:val="18"/>
                <w:szCs w:val="18"/>
              </w:rPr>
              <w:t xml:space="preserve">Area</w:t>
            </w:r>
          </w:p>
        </w:tc>
        <w:tc>
          <w:tcPr>
            <w:tcW w:type="dxa" w:w="3810"/>
            <w:shd w:fill="1F4E79"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3712"/>
            <w:shd w:fill="1F4E79" w:color="auto" w:val="clear"/>
            <w:tcMar>
              <w:top w:type="dxa" w:w="60"/>
              <w:left w:type="dxa" w:w="100"/>
              <w:bottom w:type="dxa" w:w="60"/>
              <w:right w:type="dxa" w:w="100"/>
            </w:tcMar>
          </w:tcPr>
          <w:p>
            <w:pPr>
              <w:spacing w:after="40"/>
            </w:pPr>
            <w:r>
              <w:rPr>
                <w:b/>
                <w:bCs/>
                <w:color w:val="FFFFFF"/>
                <w:sz w:val="18"/>
                <w:szCs w:val="18"/>
              </w:rPr>
              <w:t xml:space="preserve">How the design meets it</w:t>
            </w:r>
          </w:p>
        </w:tc>
      </w:tr>
      <w:tr>
        <w:tc>
          <w:tcPr>
            <w:tcW w:type="dxa" w:w="1504"/>
            <w:tcMar>
              <w:top w:type="dxa" w:w="60"/>
              <w:left w:type="dxa" w:w="100"/>
              <w:bottom w:type="dxa" w:w="60"/>
              <w:right w:type="dxa" w:w="100"/>
            </w:tcMar>
          </w:tcPr>
          <w:p>
            <w:pPr>
              <w:spacing w:after="40"/>
            </w:pPr>
            <w:r>
              <w:rPr>
                <w:sz w:val="18"/>
                <w:szCs w:val="18"/>
              </w:rPr>
              <w:t xml:space="preserve">NFR baseline</w:t>
            </w:r>
          </w:p>
        </w:tc>
        <w:tc>
          <w:tcPr>
            <w:tcW w:type="dxa" w:w="3810"/>
            <w:tcMar>
              <w:top w:type="dxa" w:w="60"/>
              <w:left w:type="dxa" w:w="100"/>
              <w:bottom w:type="dxa" w:w="60"/>
              <w:right w:type="dxa" w:w="100"/>
            </w:tcMar>
          </w:tcPr>
          <w:p>
            <w:pPr>
              <w:spacing w:after="40"/>
            </w:pPr>
            <w:r>
              <w:rPr>
                <w:sz w:val="18"/>
                <w:szCs w:val="18"/>
              </w:rPr>
              <w:t xml:space="preserve">Define the end-to-end NFR baseline for secure external Looker access, covering performance, availability, security, observability, disaster recovery, high availability, compliance, supportability, scalability and operational ownership.</w:t>
            </w:r>
          </w:p>
        </w:tc>
        <w:tc>
          <w:tcPr>
            <w:tcW w:type="dxa" w:w="3712"/>
            <w:tcMar>
              <w:top w:type="dxa" w:w="60"/>
              <w:left w:type="dxa" w:w="100"/>
              <w:bottom w:type="dxa" w:w="60"/>
              <w:right w:type="dxa" w:w="100"/>
            </w:tcMar>
          </w:tcPr>
          <w:p>
            <w:pPr>
              <w:spacing w:after="40"/>
            </w:pPr>
            <w:r>
              <w:rPr>
                <w:sz w:val="18"/>
                <w:szCs w:val="18"/>
              </w:rPr>
              <w:t xml:space="preserve">This table is the baseline; targets marked TBC are confirmed in performance and resilience testing (Section 4).</w:t>
            </w:r>
          </w:p>
        </w:tc>
      </w:tr>
      <w:tr>
        <w:tc>
          <w:tcPr>
            <w:tcW w:type="dxa" w:w="1504"/>
            <w:shd w:fill="F7F9FC" w:color="auto" w:val="clear"/>
            <w:tcMar>
              <w:top w:type="dxa" w:w="60"/>
              <w:left w:type="dxa" w:w="100"/>
              <w:bottom w:type="dxa" w:w="60"/>
              <w:right w:type="dxa" w:w="100"/>
            </w:tcMar>
          </w:tcPr>
          <w:p>
            <w:pPr>
              <w:spacing w:after="40"/>
            </w:pPr>
            <w:r>
              <w:rPr>
                <w:sz w:val="18"/>
                <w:szCs w:val="18"/>
              </w:rPr>
              <w:t xml:space="preserve">Performance</w:t>
            </w:r>
          </w:p>
        </w:tc>
        <w:tc>
          <w:tcPr>
            <w:tcW w:type="dxa" w:w="3810"/>
            <w:shd w:fill="F7F9FC" w:color="auto" w:val="clear"/>
            <w:tcMar>
              <w:top w:type="dxa" w:w="60"/>
              <w:left w:type="dxa" w:w="100"/>
              <w:bottom w:type="dxa" w:w="60"/>
              <w:right w:type="dxa" w:w="100"/>
            </w:tcMar>
          </w:tcPr>
          <w:p>
            <w:pPr>
              <w:spacing w:after="40"/>
            </w:pPr>
            <w:r>
              <w:rPr>
                <w:sz w:val="18"/>
                <w:szCs w:val="18"/>
              </w:rPr>
              <w:t xml:space="preserve">ID&amp;A authentication should add no more than 5 ms overhead per request under normal operating conditions. Support at least 1,000 concurrent external-user requests, with gateway RPS, authentication RPS, dashboard query latency and Looker embed load-time targets confirmed through performance testing.</w:t>
            </w:r>
          </w:p>
        </w:tc>
        <w:tc>
          <w:tcPr>
            <w:tcW w:type="dxa" w:w="3712"/>
            <w:shd w:fill="F7F9FC" w:color="auto" w:val="clear"/>
            <w:tcMar>
              <w:top w:type="dxa" w:w="60"/>
              <w:left w:type="dxa" w:w="100"/>
              <w:bottom w:type="dxa" w:w="60"/>
              <w:right w:type="dxa" w:w="100"/>
            </w:tcMar>
          </w:tcPr>
          <w:p>
            <w:pPr>
              <w:spacing w:after="40"/>
            </w:pPr>
            <w:r>
              <w:rPr>
                <w:sz w:val="18"/>
                <w:szCs w:val="18"/>
              </w:rPr>
              <w:t xml:space="preserve">Per-request auth is local JWT verification with cached JWKS (&lt; 1 ms). The ID&amp;A call via Apigee happens once per login. GKE HPA, Apigee quotas and Looker node sizing are tested at 1,000 concurrent users (target: signed URL &lt; 1.5 s p95, first dashboard render &lt; 5 s p95 – TBC).</w:t>
            </w:r>
          </w:p>
        </w:tc>
      </w:tr>
      <w:tr>
        <w:tc>
          <w:tcPr>
            <w:tcW w:type="dxa" w:w="1504"/>
            <w:tcMar>
              <w:top w:type="dxa" w:w="60"/>
              <w:left w:type="dxa" w:w="100"/>
              <w:bottom w:type="dxa" w:w="60"/>
              <w:right w:type="dxa" w:w="100"/>
            </w:tcMar>
          </w:tcPr>
          <w:p>
            <w:pPr>
              <w:spacing w:after="40"/>
            </w:pPr>
            <w:r>
              <w:rPr>
                <w:sz w:val="18"/>
                <w:szCs w:val="18"/>
              </w:rPr>
              <w:t xml:space="preserve">Accessibility / Usability</w:t>
            </w:r>
          </w:p>
        </w:tc>
        <w:tc>
          <w:tcPr>
            <w:tcW w:type="dxa" w:w="3810"/>
            <w:tcMar>
              <w:top w:type="dxa" w:w="60"/>
              <w:left w:type="dxa" w:w="100"/>
              <w:bottom w:type="dxa" w:w="60"/>
              <w:right w:type="dxa" w:w="100"/>
            </w:tcMar>
          </w:tcPr>
          <w:p>
            <w:pPr>
              <w:spacing w:after="40"/>
            </w:pPr>
            <w:r>
              <w:rPr>
                <w:sz w:val="18"/>
                <w:szCs w:val="18"/>
              </w:rPr>
              <w:t xml:space="preserve">External users must access authorised dashboards from approved mobile and web applications, while internal developer and operations access remains available from approved corporate laptops and GCP 2.0 IDP environments across INT, PRE and PRD. The experience should be responsive, browser-compatible and usable without direct GCP console access.</w:t>
            </w:r>
          </w:p>
        </w:tc>
        <w:tc>
          <w:tcPr>
            <w:tcW w:type="dxa" w:w="3712"/>
            <w:tcMar>
              <w:top w:type="dxa" w:w="60"/>
              <w:left w:type="dxa" w:w="100"/>
              <w:bottom w:type="dxa" w:w="60"/>
              <w:right w:type="dxa" w:w="100"/>
            </w:tcMar>
          </w:tcPr>
          <w:p>
            <w:pPr>
              <w:spacing w:after="40"/>
            </w:pPr>
            <w:r>
              <w:rPr>
                <w:sz w:val="18"/>
                <w:szCs w:val="18"/>
              </w:rPr>
              <w:t xml:space="preserve">Embedded Looker in the partner portal (responsive dashboards, mobile web view). No GCP console access for partners. Internal access via corporate devices and IDP pipelines in each environment.</w:t>
            </w:r>
          </w:p>
        </w:tc>
      </w:tr>
      <w:tr>
        <w:tc>
          <w:tcPr>
            <w:tcW w:type="dxa" w:w="1504"/>
            <w:shd w:fill="F7F9FC" w:color="auto" w:val="clear"/>
            <w:tcMar>
              <w:top w:type="dxa" w:w="60"/>
              <w:left w:type="dxa" w:w="100"/>
              <w:bottom w:type="dxa" w:w="60"/>
              <w:right w:type="dxa" w:w="100"/>
            </w:tcMar>
          </w:tcPr>
          <w:p>
            <w:pPr>
              <w:spacing w:after="40"/>
            </w:pPr>
            <w:r>
              <w:rPr>
                <w:sz w:val="18"/>
                <w:szCs w:val="18"/>
              </w:rPr>
              <w:t xml:space="preserve">Availability</w:t>
            </w:r>
          </w:p>
        </w:tc>
        <w:tc>
          <w:tcPr>
            <w:tcW w:type="dxa" w:w="3810"/>
            <w:shd w:fill="F7F9FC" w:color="auto" w:val="clear"/>
            <w:tcMar>
              <w:top w:type="dxa" w:w="60"/>
              <w:left w:type="dxa" w:w="100"/>
              <w:bottom w:type="dxa" w:w="60"/>
              <w:right w:type="dxa" w:w="100"/>
            </w:tcMar>
          </w:tcPr>
          <w:p>
            <w:pPr>
              <w:spacing w:after="40"/>
            </w:pPr>
            <w:r>
              <w:rPr>
                <w:sz w:val="18"/>
                <w:szCs w:val="18"/>
              </w:rPr>
              <w:t xml:space="preserve">Define availability targets for each dependency in the access path – External Load Balancer, Apigee external proxy, ID&amp;A APIs, GKE regional services, Apigee internal proxy, Looker and network components – and document degraded-mode behaviour, failover expectations and dependency SLAs so the external service target is measurable.</w:t>
            </w:r>
          </w:p>
        </w:tc>
        <w:tc>
          <w:tcPr>
            <w:tcW w:type="dxa" w:w="3712"/>
            <w:shd w:fill="F7F9FC" w:color="auto" w:val="clear"/>
            <w:tcMar>
              <w:top w:type="dxa" w:w="60"/>
              <w:left w:type="dxa" w:w="100"/>
              <w:bottom w:type="dxa" w:w="60"/>
              <w:right w:type="dxa" w:w="100"/>
            </w:tcMar>
          </w:tcPr>
          <w:p>
            <w:pPr>
              <w:spacing w:after="40"/>
            </w:pPr>
            <w:r>
              <w:rPr>
                <w:sz w:val="18"/>
                <w:szCs w:val="18"/>
              </w:rPr>
              <w:t xml:space="preserve">Target 99.5% (business hours) for MVD, 99.9% candidate for scale-out. Dependency SLAs listed in Section 2.10. Degraded mode: if ID&amp;A/Apigee is unavailable, new logins fail with a friendly message; open Looker sessions continue until expiry.</w:t>
            </w:r>
          </w:p>
        </w:tc>
      </w:tr>
      <w:tr>
        <w:tc>
          <w:tcPr>
            <w:tcW w:type="dxa" w:w="1504"/>
            <w:tcMar>
              <w:top w:type="dxa" w:w="60"/>
              <w:left w:type="dxa" w:w="100"/>
              <w:bottom w:type="dxa" w:w="60"/>
              <w:right w:type="dxa" w:w="100"/>
            </w:tcMar>
          </w:tcPr>
          <w:p>
            <w:pPr>
              <w:spacing w:after="40"/>
            </w:pPr>
            <w:r>
              <w:rPr>
                <w:sz w:val="18"/>
                <w:szCs w:val="18"/>
              </w:rPr>
              <w:t xml:space="preserve">Security</w:t>
            </w:r>
          </w:p>
        </w:tc>
        <w:tc>
          <w:tcPr>
            <w:tcW w:type="dxa" w:w="3810"/>
            <w:tcMar>
              <w:top w:type="dxa" w:w="60"/>
              <w:left w:type="dxa" w:w="100"/>
              <w:bottom w:type="dxa" w:w="60"/>
              <w:right w:type="dxa" w:w="100"/>
            </w:tcMar>
          </w:tcPr>
          <w:p>
            <w:pPr>
              <w:spacing w:after="40"/>
            </w:pPr>
            <w:r>
              <w:rPr>
                <w:sz w:val="18"/>
                <w:szCs w:val="18"/>
              </w:rPr>
              <w:t xml:space="preserve">Tokens should have a maximum TTL of 1 hour, use HSM-backed signing where applicable, avoid client secrets in external-facing clients, and support leaver access revocation within 1 hour. Access must enforce SSO, MFA where required, domain allow-listing, least-privilege RBAC, row-level security, tenant isolation and protection against cross-partner data exposure.</w:t>
            </w:r>
          </w:p>
        </w:tc>
        <w:tc>
          <w:tcPr>
            <w:tcW w:type="dxa" w:w="3712"/>
            <w:tcMar>
              <w:top w:type="dxa" w:w="60"/>
              <w:left w:type="dxa" w:w="100"/>
              <w:bottom w:type="dxa" w:w="60"/>
              <w:right w:type="dxa" w:w="100"/>
            </w:tcMar>
          </w:tcPr>
          <w:p>
            <w:pPr>
              <w:spacing w:after="40"/>
            </w:pPr>
            <w:r>
              <w:rPr>
                <w:sz w:val="18"/>
                <w:szCs w:val="18"/>
              </w:rPr>
              <w:t xml:space="preserve">ID&amp;A JWT ≤ 1 h (write-back JWT ≈ 15 min); Looker session 3600 s; signed URL single-use, minutes. No secrets in the browser or WebApp; Workload Identity for all pods. Leaver: registry status → disabled blocks new URLs immediately, session ends ≤ 1 h (or immediately by disabling the Looker user). RBAC via groups/roles, RLS via access_filter, tenant isolation via folders.</w:t>
            </w:r>
          </w:p>
        </w:tc>
      </w:tr>
      <w:tr>
        <w:tc>
          <w:tcPr>
            <w:tcW w:type="dxa" w:w="1504"/>
            <w:shd w:fill="F7F9FC" w:color="auto" w:val="clear"/>
            <w:tcMar>
              <w:top w:type="dxa" w:w="60"/>
              <w:left w:type="dxa" w:w="100"/>
              <w:bottom w:type="dxa" w:w="60"/>
              <w:right w:type="dxa" w:w="100"/>
            </w:tcMar>
          </w:tcPr>
          <w:p>
            <w:pPr>
              <w:spacing w:after="40"/>
            </w:pPr>
            <w:r>
              <w:rPr>
                <w:sz w:val="18"/>
                <w:szCs w:val="18"/>
              </w:rPr>
              <w:t xml:space="preserve">Observability &amp; audit</w:t>
            </w:r>
          </w:p>
        </w:tc>
        <w:tc>
          <w:tcPr>
            <w:tcW w:type="dxa" w:w="3810"/>
            <w:shd w:fill="F7F9FC" w:color="auto" w:val="clear"/>
            <w:tcMar>
              <w:top w:type="dxa" w:w="60"/>
              <w:left w:type="dxa" w:w="100"/>
              <w:bottom w:type="dxa" w:w="60"/>
              <w:right w:type="dxa" w:w="100"/>
            </w:tcMar>
          </w:tcPr>
          <w:p>
            <w:pPr>
              <w:spacing w:after="40"/>
            </w:pPr>
            <w:r>
              <w:rPr>
                <w:sz w:val="18"/>
                <w:szCs w:val="18"/>
              </w:rPr>
              <w:t xml:space="preserve">All authentication and authorisation decisions must be logged with client ID, user or subject identifier, endpoint, outcome, latency, correlation ID and failure reason. Looker activity logs for external users should be captured, retained, monitored and linked to platform telemetry.</w:t>
            </w:r>
          </w:p>
        </w:tc>
        <w:tc>
          <w:tcPr>
            <w:tcW w:type="dxa" w:w="3712"/>
            <w:shd w:fill="F7F9FC" w:color="auto" w:val="clear"/>
            <w:tcMar>
              <w:top w:type="dxa" w:w="60"/>
              <w:left w:type="dxa" w:w="100"/>
              <w:bottom w:type="dxa" w:w="60"/>
              <w:right w:type="dxa" w:w="100"/>
            </w:tcMar>
          </w:tcPr>
          <w:p>
            <w:pPr>
              <w:spacing w:after="40"/>
            </w:pPr>
            <w:r>
              <w:rPr>
                <w:sz w:val="18"/>
                <w:szCs w:val="18"/>
              </w:rPr>
              <w:t xml:space="preserve">Structured audit events from Looker API, Partner Details API, Embed URL API, Action Hub, Write-back API and Writer with x_request_id; Apigee analytics; Looker System Activity exported; Cloud Logging → BigQuery log sink for audit, SLA and charge-back.</w:t>
            </w:r>
          </w:p>
        </w:tc>
      </w:tr>
      <w:tr>
        <w:tc>
          <w:tcPr>
            <w:tcW w:type="dxa" w:w="1504"/>
            <w:tcMar>
              <w:top w:type="dxa" w:w="60"/>
              <w:left w:type="dxa" w:w="100"/>
              <w:bottom w:type="dxa" w:w="60"/>
              <w:right w:type="dxa" w:w="100"/>
            </w:tcMar>
          </w:tcPr>
          <w:p>
            <w:pPr>
              <w:spacing w:after="40"/>
            </w:pPr>
            <w:r>
              <w:rPr>
                <w:sz w:val="18"/>
                <w:szCs w:val="18"/>
              </w:rPr>
              <w:t xml:space="preserve">Disaster recovery</w:t>
            </w:r>
          </w:p>
        </w:tc>
        <w:tc>
          <w:tcPr>
            <w:tcW w:type="dxa" w:w="3810"/>
            <w:tcMar>
              <w:top w:type="dxa" w:w="60"/>
              <w:left w:type="dxa" w:w="100"/>
              <w:bottom w:type="dxa" w:w="60"/>
              <w:right w:type="dxa" w:w="100"/>
            </w:tcMar>
          </w:tcPr>
          <w:p>
            <w:pPr>
              <w:spacing w:after="40"/>
            </w:pPr>
            <w:r>
              <w:rPr>
                <w:sz w:val="18"/>
                <w:szCs w:val="18"/>
              </w:rPr>
              <w:t xml:space="preserve">Define recovery targets for Looker, gateway services, identity integrations, configuration and deployment artefacts, including an initial RTO under 12 hours for Looker restore. Confirm backup region/zone approach, restore testing cadence, backup scope and runbook ownership.</w:t>
            </w:r>
          </w:p>
        </w:tc>
        <w:tc>
          <w:tcPr>
            <w:tcW w:type="dxa" w:w="3712"/>
            <w:tcMar>
              <w:top w:type="dxa" w:w="60"/>
              <w:left w:type="dxa" w:w="100"/>
              <w:bottom w:type="dxa" w:w="60"/>
              <w:right w:type="dxa" w:w="100"/>
            </w:tcMar>
          </w:tcPr>
          <w:p>
            <w:pPr>
              <w:spacing w:after="40"/>
            </w:pPr>
            <w:r>
              <w:rPr>
                <w:sz w:val="18"/>
                <w:szCs w:val="18"/>
              </w:rPr>
              <w:t xml:space="preserve">Looker RTO &lt; 12 h, RPO 24 h (Looker internal DB backup); GKE workloads redeployed from CI/CD (RTO &lt; 4 h); Cloud SQL automated backups + PITR (RPO ≤ 15 min); BigQuery time travel / snapshots. Restore test every 6 months.</w:t>
            </w:r>
          </w:p>
        </w:tc>
      </w:tr>
      <w:tr>
        <w:tc>
          <w:tcPr>
            <w:tcW w:type="dxa" w:w="1504"/>
            <w:shd w:fill="F7F9FC" w:color="auto" w:val="clear"/>
            <w:tcMar>
              <w:top w:type="dxa" w:w="60"/>
              <w:left w:type="dxa" w:w="100"/>
              <w:bottom w:type="dxa" w:w="60"/>
              <w:right w:type="dxa" w:w="100"/>
            </w:tcMar>
          </w:tcPr>
          <w:p>
            <w:pPr>
              <w:spacing w:after="40"/>
            </w:pPr>
            <w:r>
              <w:rPr>
                <w:sz w:val="18"/>
                <w:szCs w:val="18"/>
              </w:rPr>
              <w:t xml:space="preserve">High availability</w:t>
            </w:r>
          </w:p>
        </w:tc>
        <w:tc>
          <w:tcPr>
            <w:tcW w:type="dxa" w:w="3810"/>
            <w:shd w:fill="F7F9FC" w:color="auto" w:val="clear"/>
            <w:tcMar>
              <w:top w:type="dxa" w:w="60"/>
              <w:left w:type="dxa" w:w="100"/>
              <w:bottom w:type="dxa" w:w="60"/>
              <w:right w:type="dxa" w:w="100"/>
            </w:tcMar>
          </w:tcPr>
          <w:p>
            <w:pPr>
              <w:spacing w:after="40"/>
            </w:pPr>
            <w:r>
              <w:rPr>
                <w:sz w:val="18"/>
                <w:szCs w:val="18"/>
              </w:rPr>
              <w:t xml:space="preserve">Confirm whether regional or zonal replication is required for gateway, identity, network and Looker components. Define active-active or active-passive design, single points of failure, health checks, automated failover and monitoring.</w:t>
            </w:r>
          </w:p>
        </w:tc>
        <w:tc>
          <w:tcPr>
            <w:tcW w:type="dxa" w:w="3712"/>
            <w:shd w:fill="F7F9FC" w:color="auto" w:val="clear"/>
            <w:tcMar>
              <w:top w:type="dxa" w:w="60"/>
              <w:left w:type="dxa" w:w="100"/>
              <w:bottom w:type="dxa" w:w="60"/>
              <w:right w:type="dxa" w:w="100"/>
            </w:tcMar>
          </w:tcPr>
          <w:p>
            <w:pPr>
              <w:spacing w:after="40"/>
            </w:pPr>
            <w:r>
              <w:rPr>
                <w:sz w:val="18"/>
                <w:szCs w:val="18"/>
              </w:rPr>
              <w:t xml:space="preserve">Regional GKE (3 zones), ≥ 2 replicas + PDBs per API; Cloud SQL HA (regional); HA VPN (99.99%); Apigee managed multi-zone; Looker active-passive within region (MVD). Single region europe-west2 for MVD.</w:t>
            </w:r>
          </w:p>
        </w:tc>
      </w:tr>
      <w:tr>
        <w:tc>
          <w:tcPr>
            <w:tcW w:type="dxa" w:w="1504"/>
            <w:tcMar>
              <w:top w:type="dxa" w:w="60"/>
              <w:left w:type="dxa" w:w="100"/>
              <w:bottom w:type="dxa" w:w="60"/>
              <w:right w:type="dxa" w:w="100"/>
            </w:tcMar>
          </w:tcPr>
          <w:p>
            <w:pPr>
              <w:spacing w:after="40"/>
            </w:pPr>
            <w:r>
              <w:rPr>
                <w:sz w:val="18"/>
                <w:szCs w:val="18"/>
              </w:rPr>
              <w:t xml:space="preserve">Scalability and capacity</w:t>
            </w:r>
          </w:p>
        </w:tc>
        <w:tc>
          <w:tcPr>
            <w:tcW w:type="dxa" w:w="3810"/>
            <w:tcMar>
              <w:top w:type="dxa" w:w="60"/>
              <w:left w:type="dxa" w:w="100"/>
              <w:bottom w:type="dxa" w:w="60"/>
              <w:right w:type="dxa" w:w="100"/>
            </w:tcMar>
          </w:tcPr>
          <w:p>
            <w:pPr>
              <w:spacing w:after="40"/>
            </w:pPr>
            <w:r>
              <w:rPr>
                <w:sz w:val="18"/>
                <w:szCs w:val="18"/>
              </w:rPr>
              <w:t xml:space="preserve">Establish capacity assumptions for partner count, named and concurrent users, dashboard usage, API traffic, Looker query concurrency, cache behaviour and growth.</w:t>
            </w:r>
          </w:p>
        </w:tc>
        <w:tc>
          <w:tcPr>
            <w:tcW w:type="dxa" w:w="3712"/>
            <w:tcMar>
              <w:top w:type="dxa" w:w="60"/>
              <w:left w:type="dxa" w:w="100"/>
              <w:bottom w:type="dxa" w:w="60"/>
              <w:right w:type="dxa" w:w="100"/>
            </w:tcMar>
          </w:tcPr>
          <w:p>
            <w:pPr>
              <w:spacing w:after="40"/>
            </w:pPr>
            <w:r>
              <w:rPr>
                <w:sz w:val="18"/>
                <w:szCs w:val="18"/>
              </w:rPr>
              <w:t xml:space="preserve">MVD assumption: 20 partners, 2,000 named, 1,000 concurrent, 5 dashboard opens/user/hour. Stateless APIs scale horizontally; Looker query concurrency and BigQuery slots sized in performance test.</w:t>
            </w:r>
          </w:p>
        </w:tc>
      </w:tr>
      <w:tr>
        <w:tc>
          <w:tcPr>
            <w:tcW w:type="dxa" w:w="1504"/>
            <w:shd w:fill="F7F9FC" w:color="auto" w:val="clear"/>
            <w:tcMar>
              <w:top w:type="dxa" w:w="60"/>
              <w:left w:type="dxa" w:w="100"/>
              <w:bottom w:type="dxa" w:w="60"/>
              <w:right w:type="dxa" w:w="100"/>
            </w:tcMar>
          </w:tcPr>
          <w:p>
            <w:pPr>
              <w:spacing w:after="40"/>
            </w:pPr>
            <w:r>
              <w:rPr>
                <w:sz w:val="18"/>
                <w:szCs w:val="18"/>
              </w:rPr>
              <w:t xml:space="preserve">Compliance and data governance</w:t>
            </w:r>
          </w:p>
        </w:tc>
        <w:tc>
          <w:tcPr>
            <w:tcW w:type="dxa" w:w="3810"/>
            <w:shd w:fill="F7F9FC" w:color="auto" w:val="clear"/>
            <w:tcMar>
              <w:top w:type="dxa" w:w="60"/>
              <w:left w:type="dxa" w:w="100"/>
              <w:bottom w:type="dxa" w:w="60"/>
              <w:right w:type="dxa" w:w="100"/>
            </w:tcMar>
          </w:tcPr>
          <w:p>
            <w:pPr>
              <w:spacing w:after="40"/>
            </w:pPr>
            <w:r>
              <w:rPr>
                <w:sz w:val="18"/>
                <w:szCs w:val="18"/>
              </w:rPr>
              <w:t xml:space="preserve">Ensure external data exposure is governed by approved data-sharing agreements, regulatory obligations, retention rules, audit requirements and documented ownership for sensitive datasets.</w:t>
            </w:r>
          </w:p>
        </w:tc>
        <w:tc>
          <w:tcPr>
            <w:tcW w:type="dxa" w:w="3712"/>
            <w:shd w:fill="F7F9FC" w:color="auto" w:val="clear"/>
            <w:tcMar>
              <w:top w:type="dxa" w:w="60"/>
              <w:left w:type="dxa" w:w="100"/>
              <w:bottom w:type="dxa" w:w="60"/>
              <w:right w:type="dxa" w:w="100"/>
            </w:tcMar>
          </w:tcPr>
          <w:p>
            <w:pPr>
              <w:spacing w:after="40"/>
            </w:pPr>
            <w:r>
              <w:rPr>
                <w:sz w:val="18"/>
                <w:szCs w:val="18"/>
              </w:rPr>
              <w:t xml:space="preserve">Tenant activation requires DSA reference and data owner approval; only curated partner_analytics model exposed; data stays in UK region; log retention per LBG policy.</w:t>
            </w:r>
          </w:p>
        </w:tc>
      </w:tr>
      <w:tr>
        <w:tc>
          <w:tcPr>
            <w:tcW w:type="dxa" w:w="1504"/>
            <w:tcMar>
              <w:top w:type="dxa" w:w="60"/>
              <w:left w:type="dxa" w:w="100"/>
              <w:bottom w:type="dxa" w:w="60"/>
              <w:right w:type="dxa" w:w="100"/>
            </w:tcMar>
          </w:tcPr>
          <w:p>
            <w:pPr>
              <w:spacing w:after="40"/>
            </w:pPr>
            <w:r>
              <w:rPr>
                <w:sz w:val="18"/>
                <w:szCs w:val="18"/>
              </w:rPr>
              <w:t xml:space="preserve">Supportability and operations</w:t>
            </w:r>
          </w:p>
        </w:tc>
        <w:tc>
          <w:tcPr>
            <w:tcW w:type="dxa" w:w="3810"/>
            <w:tcMar>
              <w:top w:type="dxa" w:w="60"/>
              <w:left w:type="dxa" w:w="100"/>
              <w:bottom w:type="dxa" w:w="60"/>
              <w:right w:type="dxa" w:w="100"/>
            </w:tcMar>
          </w:tcPr>
          <w:p>
            <w:pPr>
              <w:spacing w:after="40"/>
            </w:pPr>
            <w:r>
              <w:rPr>
                <w:sz w:val="18"/>
                <w:szCs w:val="18"/>
              </w:rPr>
              <w:t xml:space="preserve">Define support model, incident ownership, escalation paths, runbooks, alert thresholds, access request workflow, periodic recertification and onboarding/offboarding responsibilities.</w:t>
            </w:r>
          </w:p>
        </w:tc>
        <w:tc>
          <w:tcPr>
            <w:tcW w:type="dxa" w:w="3712"/>
            <w:tcMar>
              <w:top w:type="dxa" w:w="60"/>
              <w:left w:type="dxa" w:w="100"/>
              <w:bottom w:type="dxa" w:w="60"/>
              <w:right w:type="dxa" w:w="100"/>
            </w:tcMar>
          </w:tcPr>
          <w:p>
            <w:pPr>
              <w:spacing w:after="40"/>
            </w:pPr>
            <w:r>
              <w:rPr>
                <w:sz w:val="18"/>
                <w:szCs w:val="18"/>
              </w:rPr>
              <w:t xml:space="preserve">BIaaS platform team owns run; ID&amp;A and Apigee teams own their services; runbooks for onboarding, offboarding, secret rotation and incident triage; quarterly access recertification from the registry.</w:t>
            </w:r>
          </w:p>
        </w:tc>
      </w:tr>
    </w:tbl>
    <w:p>
      <w:pPr>
        <w:pStyle w:val="Heading2"/>
      </w:pPr>
      <w:r>
        <w:t xml:space="preserve">1.4 Architecture Alignment</w:t>
      </w:r>
    </w:p>
    <w:p>
      <w:pPr>
        <w:pStyle w:val="Heading3"/>
      </w:pPr>
      <w:r>
        <w:t xml:space="preserve">Significance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212"/>
        <w:gridCol w:w="4814"/>
      </w:tblGrid>
      <w:tr>
        <w:trPr>
          <w:tblHeader/>
        </w:trPr>
        <w:tc>
          <w:tcPr>
            <w:tcW w:type="dxa" w:w="4212"/>
            <w:shd w:fill="1F4E79" w:color="auto" w:val="clear"/>
            <w:tcMar>
              <w:top w:type="dxa" w:w="60"/>
              <w:left w:type="dxa" w:w="100"/>
              <w:bottom w:type="dxa" w:w="60"/>
              <w:right w:type="dxa" w:w="100"/>
            </w:tcMar>
          </w:tcPr>
          <w:p>
            <w:pPr>
              <w:spacing w:after="40"/>
            </w:pPr>
            <w:r>
              <w:rPr>
                <w:b/>
                <w:bCs/>
                <w:color w:val="FFFFFF"/>
                <w:sz w:val="18"/>
                <w:szCs w:val="18"/>
              </w:rPr>
              <w:t xml:space="preserve">Architecture Significance</w:t>
            </w:r>
          </w:p>
        </w:tc>
        <w:tc>
          <w:tcPr>
            <w:tcW w:type="dxa" w:w="4814"/>
            <w:shd w:fill="1F4E79" w:color="auto" w:val="clear"/>
            <w:tcMar>
              <w:top w:type="dxa" w:w="60"/>
              <w:left w:type="dxa" w:w="100"/>
              <w:bottom w:type="dxa" w:w="60"/>
              <w:right w:type="dxa" w:w="100"/>
            </w:tcMar>
          </w:tcPr>
          <w:p>
            <w:pPr>
              <w:spacing w:after="40"/>
            </w:pPr>
            <w:r>
              <w:rPr>
                <w:b/>
                <w:bCs/>
                <w:color w:val="FFFFFF"/>
                <w:sz w:val="18"/>
                <w:szCs w:val="18"/>
              </w:rPr>
              <w:t xml:space="preserve">Assessment</w:t>
            </w:r>
          </w:p>
        </w:tc>
      </w:tr>
      <w:tr>
        <w:tc>
          <w:tcPr>
            <w:tcW w:type="dxa" w:w="4212"/>
            <w:tcMar>
              <w:top w:type="dxa" w:w="60"/>
              <w:left w:type="dxa" w:w="100"/>
              <w:bottom w:type="dxa" w:w="60"/>
              <w:right w:type="dxa" w:w="100"/>
            </w:tcMar>
          </w:tcPr>
          <w:p>
            <w:pPr>
              <w:spacing w:after="40"/>
            </w:pPr>
            <w:r>
              <w:rPr>
                <w:sz w:val="18"/>
                <w:szCs w:val="18"/>
              </w:rPr>
              <w:t xml:space="preserve">Significance level</w:t>
            </w:r>
          </w:p>
        </w:tc>
        <w:tc>
          <w:tcPr>
            <w:tcW w:type="dxa" w:w="4814"/>
            <w:tcMar>
              <w:top w:type="dxa" w:w="60"/>
              <w:left w:type="dxa" w:w="100"/>
              <w:bottom w:type="dxa" w:w="60"/>
              <w:right w:type="dxa" w:w="100"/>
            </w:tcMar>
          </w:tcPr>
          <w:p>
            <w:pPr>
              <w:spacing w:after="40"/>
            </w:pPr>
            <w:r>
              <w:rPr>
                <w:sz w:val="18"/>
                <w:szCs w:val="18"/>
              </w:rPr>
              <w:t xml:space="preserve">☒ SIGNIFICANT (likely to require group level architecture review)</w:t>
            </w:r>
          </w:p>
        </w:tc>
      </w:tr>
      <w:tr>
        <w:tc>
          <w:tcPr>
            <w:tcW w:type="dxa" w:w="4212"/>
            <w:shd w:fill="F7F9FC" w:color="auto" w:val="clear"/>
            <w:tcMar>
              <w:top w:type="dxa" w:w="60"/>
              <w:left w:type="dxa" w:w="100"/>
              <w:bottom w:type="dxa" w:w="60"/>
              <w:right w:type="dxa" w:w="100"/>
            </w:tcMar>
          </w:tcPr>
          <w:p>
            <w:pPr>
              <w:spacing w:after="40"/>
            </w:pPr>
            <w:r>
              <w:rPr>
                <w:sz w:val="18"/>
                <w:szCs w:val="18"/>
              </w:rPr>
              <w:t xml:space="preserve">Introduces new technology</w:t>
            </w:r>
          </w:p>
        </w:tc>
        <w:tc>
          <w:tcPr>
            <w:tcW w:type="dxa" w:w="4814"/>
            <w:shd w:fill="F7F9FC" w:color="auto" w:val="clear"/>
            <w:tcMar>
              <w:top w:type="dxa" w:w="60"/>
              <w:left w:type="dxa" w:w="100"/>
              <w:bottom w:type="dxa" w:w="60"/>
              <w:right w:type="dxa" w:w="100"/>
            </w:tcMar>
          </w:tcPr>
          <w:p>
            <w:pPr>
              <w:spacing w:after="40"/>
            </w:pPr>
            <w:r>
              <w:rPr>
                <w:sz w:val="18"/>
                <w:szCs w:val="18"/>
              </w:rPr>
              <w:t xml:space="preserve">☐ No – Looker, GKE, Apigee, ID&amp;A, Cloud SQL, BigQuery are existing approved services</w:t>
            </w:r>
          </w:p>
        </w:tc>
      </w:tr>
      <w:tr>
        <w:tc>
          <w:tcPr>
            <w:tcW w:type="dxa" w:w="4212"/>
            <w:tcMar>
              <w:top w:type="dxa" w:w="60"/>
              <w:left w:type="dxa" w:w="100"/>
              <w:bottom w:type="dxa" w:w="60"/>
              <w:right w:type="dxa" w:w="100"/>
            </w:tcMar>
          </w:tcPr>
          <w:p>
            <w:pPr>
              <w:spacing w:after="40"/>
            </w:pPr>
            <w:r>
              <w:rPr>
                <w:sz w:val="18"/>
                <w:szCs w:val="18"/>
              </w:rPr>
              <w:t xml:space="preserve">Extends technology scope beyond original intention</w:t>
            </w:r>
          </w:p>
        </w:tc>
        <w:tc>
          <w:tcPr>
            <w:tcW w:type="dxa" w:w="4814"/>
            <w:tcMar>
              <w:top w:type="dxa" w:w="60"/>
              <w:left w:type="dxa" w:w="100"/>
              <w:bottom w:type="dxa" w:w="60"/>
              <w:right w:type="dxa" w:w="100"/>
            </w:tcMar>
          </w:tcPr>
          <w:p>
            <w:pPr>
              <w:spacing w:after="40"/>
            </w:pPr>
            <w:r>
              <w:rPr>
                <w:sz w:val="18"/>
                <w:szCs w:val="18"/>
              </w:rPr>
              <w:t xml:space="preserve">☒ Yes – Looker extended from internal-only to external audiences (signed embedding) and to write-back</w:t>
            </w:r>
          </w:p>
        </w:tc>
      </w:tr>
      <w:tr>
        <w:tc>
          <w:tcPr>
            <w:tcW w:type="dxa" w:w="4212"/>
            <w:shd w:fill="F7F9FC" w:color="auto" w:val="clear"/>
            <w:tcMar>
              <w:top w:type="dxa" w:w="60"/>
              <w:left w:type="dxa" w:w="100"/>
              <w:bottom w:type="dxa" w:w="60"/>
              <w:right w:type="dxa" w:w="100"/>
            </w:tcMar>
          </w:tcPr>
          <w:p>
            <w:pPr>
              <w:spacing w:after="40"/>
            </w:pPr>
            <w:r>
              <w:rPr>
                <w:sz w:val="18"/>
                <w:szCs w:val="18"/>
              </w:rPr>
              <w:t xml:space="preserve">Creates or modifies critical dependencies across enterprise domains or platforms</w:t>
            </w:r>
          </w:p>
        </w:tc>
        <w:tc>
          <w:tcPr>
            <w:tcW w:type="dxa" w:w="4814"/>
            <w:shd w:fill="F7F9FC" w:color="auto" w:val="clear"/>
            <w:tcMar>
              <w:top w:type="dxa" w:w="60"/>
              <w:left w:type="dxa" w:w="100"/>
              <w:bottom w:type="dxa" w:w="60"/>
              <w:right w:type="dxa" w:w="100"/>
            </w:tcMar>
          </w:tcPr>
          <w:p>
            <w:pPr>
              <w:spacing w:after="40"/>
            </w:pPr>
            <w:r>
              <w:rPr>
                <w:sz w:val="18"/>
                <w:szCs w:val="18"/>
              </w:rPr>
              <w:t xml:space="preserve">☒ Yes – new runtime dependency on ID&amp;A and Apigee for external Looker access; Entra/ID&amp;A token exchange for write-back</w:t>
            </w:r>
          </w:p>
        </w:tc>
      </w:tr>
      <w:tr>
        <w:tc>
          <w:tcPr>
            <w:tcW w:type="dxa" w:w="4212"/>
            <w:tcMar>
              <w:top w:type="dxa" w:w="60"/>
              <w:left w:type="dxa" w:w="100"/>
              <w:bottom w:type="dxa" w:w="60"/>
              <w:right w:type="dxa" w:w="100"/>
            </w:tcMar>
          </w:tcPr>
          <w:p>
            <w:pPr>
              <w:spacing w:after="40"/>
            </w:pPr>
            <w:r>
              <w:rPr>
                <w:sz w:val="18"/>
                <w:szCs w:val="18"/>
              </w:rPr>
              <w:t xml:space="preserve">Requires group governance or architectural review</w:t>
            </w:r>
          </w:p>
        </w:tc>
        <w:tc>
          <w:tcPr>
            <w:tcW w:type="dxa" w:w="4814"/>
            <w:tcMar>
              <w:top w:type="dxa" w:w="60"/>
              <w:left w:type="dxa" w:w="100"/>
              <w:bottom w:type="dxa" w:w="60"/>
              <w:right w:type="dxa" w:w="100"/>
            </w:tcMar>
          </w:tcPr>
          <w:p>
            <w:pPr>
              <w:spacing w:after="40"/>
            </w:pPr>
            <w:r>
              <w:rPr>
                <w:sz w:val="18"/>
                <w:szCs w:val="18"/>
              </w:rPr>
              <w:t xml:space="preserve">☒ Yes</w:t>
            </w:r>
          </w:p>
        </w:tc>
      </w:tr>
      <w:tr>
        <w:tc>
          <w:tcPr>
            <w:tcW w:type="dxa" w:w="4212"/>
            <w:shd w:fill="F7F9FC" w:color="auto" w:val="clear"/>
            <w:tcMar>
              <w:top w:type="dxa" w:w="60"/>
              <w:left w:type="dxa" w:w="100"/>
              <w:bottom w:type="dxa" w:w="60"/>
              <w:right w:type="dxa" w:w="100"/>
            </w:tcMar>
          </w:tcPr>
          <w:p>
            <w:pPr>
              <w:spacing w:after="40"/>
            </w:pPr>
            <w:r>
              <w:rPr>
                <w:sz w:val="18"/>
                <w:szCs w:val="18"/>
              </w:rPr>
              <w:t xml:space="preserve">May trigger changes to architectural principles or standards</w:t>
            </w:r>
          </w:p>
        </w:tc>
        <w:tc>
          <w:tcPr>
            <w:tcW w:type="dxa" w:w="4814"/>
            <w:shd w:fill="F7F9FC" w:color="auto" w:val="clear"/>
            <w:tcMar>
              <w:top w:type="dxa" w:w="60"/>
              <w:left w:type="dxa" w:w="100"/>
              <w:bottom w:type="dxa" w:w="60"/>
              <w:right w:type="dxa" w:w="100"/>
            </w:tcMar>
          </w:tcPr>
          <w:p>
            <w:pPr>
              <w:spacing w:after="40"/>
            </w:pPr>
            <w:r>
              <w:rPr>
                <w:sz w:val="18"/>
                <w:szCs w:val="18"/>
              </w:rPr>
              <w:t xml:space="preserve">☐ No – follows existing external-access, hub-and-spoke and secrets standards</w:t>
            </w:r>
          </w:p>
        </w:tc>
      </w:tr>
    </w:tbl>
    <w:p>
      <w:pPr>
        <w:pStyle w:val="Heading3"/>
      </w:pPr>
      <w:r>
        <w:t xml:space="preserve">Alignment to principles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008"/>
        <w:gridCol w:w="6018"/>
      </w:tblGrid>
      <w:tr>
        <w:trPr>
          <w:tblHeader/>
        </w:trPr>
        <w:tc>
          <w:tcPr>
            <w:tcW w:type="dxa" w:w="3008"/>
            <w:shd w:fill="1F4E79" w:color="auto" w:val="clear"/>
            <w:tcMar>
              <w:top w:type="dxa" w:w="60"/>
              <w:left w:type="dxa" w:w="100"/>
              <w:bottom w:type="dxa" w:w="60"/>
              <w:right w:type="dxa" w:w="100"/>
            </w:tcMar>
          </w:tcPr>
          <w:p>
            <w:pPr>
              <w:spacing w:after="40"/>
            </w:pPr>
            <w:r>
              <w:rPr>
                <w:b/>
                <w:bCs/>
                <w:color w:val="FFFFFF"/>
                <w:sz w:val="18"/>
                <w:szCs w:val="18"/>
              </w:rPr>
              <w:t xml:space="preserve">Principle / standard</w:t>
            </w:r>
          </w:p>
        </w:tc>
        <w:tc>
          <w:tcPr>
            <w:tcW w:type="dxa" w:w="6018"/>
            <w:shd w:fill="1F4E79" w:color="auto" w:val="clear"/>
            <w:tcMar>
              <w:top w:type="dxa" w:w="60"/>
              <w:left w:type="dxa" w:w="100"/>
              <w:bottom w:type="dxa" w:w="60"/>
              <w:right w:type="dxa" w:w="100"/>
            </w:tcMar>
          </w:tcPr>
          <w:p>
            <w:pPr>
              <w:spacing w:after="40"/>
            </w:pPr>
            <w:r>
              <w:rPr>
                <w:b/>
                <w:bCs/>
                <w:color w:val="FFFFFF"/>
                <w:sz w:val="18"/>
                <w:szCs w:val="18"/>
              </w:rPr>
              <w:t xml:space="preserve">Alignment</w:t>
            </w:r>
          </w:p>
        </w:tc>
      </w:tr>
      <w:tr>
        <w:tc>
          <w:tcPr>
            <w:tcW w:type="dxa" w:w="3008"/>
            <w:tcMar>
              <w:top w:type="dxa" w:w="60"/>
              <w:left w:type="dxa" w:w="100"/>
              <w:bottom w:type="dxa" w:w="60"/>
              <w:right w:type="dxa" w:w="100"/>
            </w:tcMar>
          </w:tcPr>
          <w:p>
            <w:pPr>
              <w:spacing w:after="40"/>
            </w:pPr>
            <w:r>
              <w:rPr>
                <w:sz w:val="18"/>
                <w:szCs w:val="18"/>
              </w:rPr>
              <w:t xml:space="preserve">Strategic BI platform (Looker)</w:t>
            </w:r>
          </w:p>
        </w:tc>
        <w:tc>
          <w:tcPr>
            <w:tcW w:type="dxa" w:w="6018"/>
            <w:tcMar>
              <w:top w:type="dxa" w:w="60"/>
              <w:left w:type="dxa" w:w="100"/>
              <w:bottom w:type="dxa" w:w="60"/>
              <w:right w:type="dxa" w:w="100"/>
            </w:tcMar>
          </w:tcPr>
          <w:p>
            <w:pPr>
              <w:spacing w:after="40"/>
            </w:pPr>
            <w:r>
              <w:rPr>
                <w:sz w:val="18"/>
                <w:szCs w:val="18"/>
              </w:rPr>
              <w:t xml:space="preserve">Replaces external Tableau / Power BI reporting with Looker; reusable for any business domain.</w:t>
            </w:r>
          </w:p>
        </w:tc>
      </w:tr>
      <w:tr>
        <w:tc>
          <w:tcPr>
            <w:tcW w:type="dxa" w:w="3008"/>
            <w:shd w:fill="F7F9FC" w:color="auto" w:val="clear"/>
            <w:tcMar>
              <w:top w:type="dxa" w:w="60"/>
              <w:left w:type="dxa" w:w="100"/>
              <w:bottom w:type="dxa" w:w="60"/>
              <w:right w:type="dxa" w:w="100"/>
            </w:tcMar>
          </w:tcPr>
          <w:p>
            <w:pPr>
              <w:spacing w:after="40"/>
            </w:pPr>
            <w:r>
              <w:rPr>
                <w:sz w:val="18"/>
                <w:szCs w:val="18"/>
              </w:rPr>
              <w:t xml:space="preserve">Zero trust</w:t>
            </w:r>
          </w:p>
        </w:tc>
        <w:tc>
          <w:tcPr>
            <w:tcW w:type="dxa" w:w="6018"/>
            <w:shd w:fill="F7F9FC" w:color="auto" w:val="clear"/>
            <w:tcMar>
              <w:top w:type="dxa" w:w="60"/>
              <w:left w:type="dxa" w:w="100"/>
              <w:bottom w:type="dxa" w:w="60"/>
              <w:right w:type="dxa" w:w="100"/>
            </w:tcMar>
          </w:tcPr>
          <w:p>
            <w:pPr>
              <w:spacing w:after="40"/>
            </w:pPr>
            <w:r>
              <w:rPr>
                <w:sz w:val="18"/>
                <w:szCs w:val="18"/>
              </w:rPr>
              <w:t xml:space="preserve">Every hop authenticated (JWT, signed URL, Google ID tokens, Workload Identity); no implicit trust from network location.</w:t>
            </w:r>
          </w:p>
        </w:tc>
      </w:tr>
      <w:tr>
        <w:tc>
          <w:tcPr>
            <w:tcW w:type="dxa" w:w="3008"/>
            <w:tcMar>
              <w:top w:type="dxa" w:w="60"/>
              <w:left w:type="dxa" w:w="100"/>
              <w:bottom w:type="dxa" w:w="60"/>
              <w:right w:type="dxa" w:w="100"/>
            </w:tcMar>
          </w:tcPr>
          <w:p>
            <w:pPr>
              <w:spacing w:after="40"/>
            </w:pPr>
            <w:r>
              <w:rPr>
                <w:sz w:val="18"/>
                <w:szCs w:val="18"/>
              </w:rPr>
              <w:t xml:space="preserve">ID&amp;A via Apigee only</w:t>
            </w:r>
          </w:p>
        </w:tc>
        <w:tc>
          <w:tcPr>
            <w:tcW w:type="dxa" w:w="6018"/>
            <w:tcMar>
              <w:top w:type="dxa" w:w="60"/>
              <w:left w:type="dxa" w:w="100"/>
              <w:bottom w:type="dxa" w:w="60"/>
              <w:right w:type="dxa" w:w="100"/>
            </w:tcMar>
          </w:tcPr>
          <w:p>
            <w:pPr>
              <w:spacing w:after="40"/>
            </w:pPr>
            <w:r>
              <w:rPr>
                <w:sz w:val="18"/>
                <w:szCs w:val="18"/>
              </w:rPr>
              <w:t xml:space="preserve">All ID&amp;A calls (validation, token exchange, JWKS) go through the Apigee internal proxy.</w:t>
            </w:r>
          </w:p>
        </w:tc>
      </w:tr>
      <w:tr>
        <w:tc>
          <w:tcPr>
            <w:tcW w:type="dxa" w:w="3008"/>
            <w:shd w:fill="F7F9FC" w:color="auto" w:val="clear"/>
            <w:tcMar>
              <w:top w:type="dxa" w:w="60"/>
              <w:left w:type="dxa" w:w="100"/>
              <w:bottom w:type="dxa" w:w="60"/>
              <w:right w:type="dxa" w:w="100"/>
            </w:tcMar>
          </w:tcPr>
          <w:p>
            <w:pPr>
              <w:spacing w:after="40"/>
            </w:pPr>
            <w:r>
              <w:rPr>
                <w:sz w:val="18"/>
                <w:szCs w:val="18"/>
              </w:rPr>
              <w:t xml:space="preserve">No static credentials</w:t>
            </w:r>
          </w:p>
        </w:tc>
        <w:tc>
          <w:tcPr>
            <w:tcW w:type="dxa" w:w="6018"/>
            <w:shd w:fill="F7F9FC" w:color="auto" w:val="clear"/>
            <w:tcMar>
              <w:top w:type="dxa" w:w="60"/>
              <w:left w:type="dxa" w:w="100"/>
              <w:bottom w:type="dxa" w:w="60"/>
              <w:right w:type="dxa" w:w="100"/>
            </w:tcMar>
          </w:tcPr>
          <w:p>
            <w:pPr>
              <w:spacing w:after="40"/>
            </w:pPr>
            <w:r>
              <w:rPr>
                <w:sz w:val="18"/>
                <w:szCs w:val="18"/>
              </w:rPr>
              <w:t xml:space="preserve">Workload Identity for GCP, IAM DB auth for Cloud SQL, federated Entra credential; residual secrets held only in Secret Manager.</w:t>
            </w:r>
          </w:p>
        </w:tc>
      </w:tr>
      <w:tr>
        <w:tc>
          <w:tcPr>
            <w:tcW w:type="dxa" w:w="3008"/>
            <w:tcMar>
              <w:top w:type="dxa" w:w="60"/>
              <w:left w:type="dxa" w:w="100"/>
              <w:bottom w:type="dxa" w:w="60"/>
              <w:right w:type="dxa" w:w="100"/>
            </w:tcMar>
          </w:tcPr>
          <w:p>
            <w:pPr>
              <w:spacing w:after="40"/>
            </w:pPr>
            <w:r>
              <w:rPr>
                <w:sz w:val="18"/>
                <w:szCs w:val="18"/>
              </w:rPr>
              <w:t xml:space="preserve">Hub-and-spoke network</w:t>
            </w:r>
          </w:p>
        </w:tc>
        <w:tc>
          <w:tcPr>
            <w:tcW w:type="dxa" w:w="6018"/>
            <w:tcMar>
              <w:top w:type="dxa" w:w="60"/>
              <w:left w:type="dxa" w:w="100"/>
              <w:bottom w:type="dxa" w:w="60"/>
              <w:right w:type="dxa" w:w="100"/>
            </w:tcMar>
          </w:tcPr>
          <w:p>
            <w:pPr>
              <w:spacing w:after="40"/>
            </w:pPr>
            <w:r>
              <w:rPr>
                <w:sz w:val="18"/>
                <w:szCs w:val="18"/>
              </w:rPr>
              <w:t xml:space="preserve">Spoke 1 ↔ Spoke 2 traffic always transits the HUB; PSC for WebApp and Apigee.</w:t>
            </w:r>
          </w:p>
        </w:tc>
      </w:tr>
      <w:tr>
        <w:tc>
          <w:tcPr>
            <w:tcW w:type="dxa" w:w="3008"/>
            <w:shd w:fill="F7F9FC" w:color="auto" w:val="clear"/>
            <w:tcMar>
              <w:top w:type="dxa" w:w="60"/>
              <w:left w:type="dxa" w:w="100"/>
              <w:bottom w:type="dxa" w:w="60"/>
              <w:right w:type="dxa" w:w="100"/>
            </w:tcMar>
          </w:tcPr>
          <w:p>
            <w:pPr>
              <w:spacing w:after="40"/>
            </w:pPr>
            <w:r>
              <w:rPr>
                <w:sz w:val="18"/>
                <w:szCs w:val="18"/>
              </w:rPr>
              <w:t xml:space="preserve">Reuse before build</w:t>
            </w:r>
          </w:p>
        </w:tc>
        <w:tc>
          <w:tcPr>
            <w:tcW w:type="dxa" w:w="6018"/>
            <w:shd w:fill="F7F9FC" w:color="auto" w:val="clear"/>
            <w:tcMar>
              <w:top w:type="dxa" w:w="60"/>
              <w:left w:type="dxa" w:w="100"/>
              <w:bottom w:type="dxa" w:w="60"/>
              <w:right w:type="dxa" w:w="100"/>
            </w:tcMar>
          </w:tcPr>
          <w:p>
            <w:pPr>
              <w:spacing w:after="40"/>
            </w:pPr>
            <w:r>
              <w:rPr>
                <w:sz w:val="18"/>
                <w:szCs w:val="18"/>
              </w:rPr>
              <w:t xml:space="preserve">One set of APIs and one registry serves all tenants and use cases.</w:t>
            </w:r>
          </w:p>
        </w:tc>
      </w:tr>
    </w:tbl>
    <w:p>
      <w:r>
        <w:br w:type="page"/>
      </w:r>
    </w:p>
    <w:p>
      <w:pPr>
        <w:pStyle w:val="Heading1"/>
      </w:pPr>
      <w:r>
        <w:t xml:space="preserve">Section 2 – Solution Design</w:t>
      </w:r>
    </w:p>
    <w:p>
      <w:pPr>
        <w:pStyle w:val="Heading2"/>
      </w:pPr>
      <w:r>
        <w:t xml:space="preserve">2.1 Solution overview</w:t>
      </w:r>
    </w:p>
    <w:p>
      <w:pPr>
        <w:jc w:val="center"/>
      </w:pPr>
      <w:r>
        <w:drawing>
          <wp:inline distT="0" distB="0" distL="0" distR="0">
            <wp:extent cx="5669280" cy="5629275"/>
            <wp:effectExtent t="0" r="0" b="0" l="0"/>
            <wp:docPr id="1" name="diagram" descr="Figure 1 – Solution context: partner dashboard access (A) and internal write-back (B)" title="Figure 1 – Solution context: partner dashboard access (A) and internal write-back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5629275"/>
                    </a:xfrm>
                    <a:prstGeom prst="rect">
                      <a:avLst/>
                    </a:prstGeom>
                  </pic:spPr>
                </pic:pic>
              </a:graphicData>
            </a:graphic>
          </wp:inline>
        </w:drawing>
      </w:r>
    </w:p>
    <w:p>
      <w:pPr>
        <w:spacing w:after="200"/>
        <w:jc w:val="center"/>
      </w:pPr>
      <w:r>
        <w:rPr>
          <w:i/>
          <w:iCs/>
          <w:color w:val="595959"/>
          <w:sz w:val="18"/>
          <w:szCs w:val="18"/>
        </w:rPr>
        <w:t xml:space="preserve">Figure 1 – Solution context: partner dashboard access (A) and internal write-back (B)</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7"/>
        <w:gridCol w:w="2306"/>
        <w:gridCol w:w="4213"/>
      </w:tblGrid>
      <w:tr>
        <w:trPr>
          <w:tblHeader/>
        </w:trPr>
        <w:tc>
          <w:tcPr>
            <w:tcW w:type="dxa" w:w="2507"/>
            <w:shd w:fill="1F4E79" w:color="auto" w:val="clear"/>
            <w:tcMar>
              <w:top w:type="dxa" w:w="60"/>
              <w:left w:type="dxa" w:w="100"/>
              <w:bottom w:type="dxa" w:w="60"/>
              <w:right w:type="dxa" w:w="100"/>
            </w:tcMar>
          </w:tcPr>
          <w:p>
            <w:pPr>
              <w:spacing w:after="40"/>
            </w:pPr>
            <w:r>
              <w:rPr>
                <w:b/>
                <w:bCs/>
                <w:color w:val="FFFFFF"/>
                <w:sz w:val="18"/>
                <w:szCs w:val="18"/>
              </w:rPr>
              <w:t xml:space="preserve">Component</w:t>
            </w:r>
          </w:p>
        </w:tc>
        <w:tc>
          <w:tcPr>
            <w:tcW w:type="dxa" w:w="2306"/>
            <w:shd w:fill="1F4E79" w:color="auto" w:val="clear"/>
            <w:tcMar>
              <w:top w:type="dxa" w:w="60"/>
              <w:left w:type="dxa" w:w="100"/>
              <w:bottom w:type="dxa" w:w="60"/>
              <w:right w:type="dxa" w:w="100"/>
            </w:tcMar>
          </w:tcPr>
          <w:p>
            <w:pPr>
              <w:spacing w:after="40"/>
            </w:pPr>
            <w:r>
              <w:rPr>
                <w:b/>
                <w:bCs/>
                <w:color w:val="FFFFFF"/>
                <w:sz w:val="18"/>
                <w:szCs w:val="18"/>
              </w:rPr>
              <w:t xml:space="preserve">Location</w:t>
            </w:r>
          </w:p>
        </w:tc>
        <w:tc>
          <w:tcPr>
            <w:tcW w:type="dxa" w:w="4213"/>
            <w:shd w:fill="1F4E79" w:color="auto" w:val="clear"/>
            <w:tcMar>
              <w:top w:type="dxa" w:w="60"/>
              <w:left w:type="dxa" w:w="100"/>
              <w:bottom w:type="dxa" w:w="60"/>
              <w:right w:type="dxa" w:w="100"/>
            </w:tcMar>
          </w:tcPr>
          <w:p>
            <w:pPr>
              <w:spacing w:after="40"/>
            </w:pPr>
            <w:r>
              <w:rPr>
                <w:b/>
                <w:bCs/>
                <w:color w:val="FFFFFF"/>
                <w:sz w:val="18"/>
                <w:szCs w:val="18"/>
              </w:rPr>
              <w:t xml:space="preserve">Responsibility</w:t>
            </w:r>
          </w:p>
        </w:tc>
      </w:tr>
      <w:tr>
        <w:tc>
          <w:tcPr>
            <w:tcW w:type="dxa" w:w="2507"/>
            <w:tcMar>
              <w:top w:type="dxa" w:w="60"/>
              <w:left w:type="dxa" w:w="100"/>
              <w:bottom w:type="dxa" w:w="60"/>
              <w:right w:type="dxa" w:w="100"/>
            </w:tcMar>
          </w:tcPr>
          <w:p>
            <w:pPr>
              <w:spacing w:after="40"/>
            </w:pPr>
            <w:r>
              <w:rPr>
                <w:sz w:val="18"/>
                <w:szCs w:val="18"/>
              </w:rPr>
              <w:t xml:space="preserve">Partner WebApp / portal</w:t>
            </w:r>
          </w:p>
        </w:tc>
        <w:tc>
          <w:tcPr>
            <w:tcW w:type="dxa" w:w="2306"/>
            <w:tcMar>
              <w:top w:type="dxa" w:w="60"/>
              <w:left w:type="dxa" w:w="100"/>
              <w:bottom w:type="dxa" w:w="60"/>
              <w:right w:type="dxa" w:w="100"/>
            </w:tcMar>
          </w:tcPr>
          <w:p>
            <w:pPr>
              <w:spacing w:after="40"/>
            </w:pPr>
            <w:r>
              <w:rPr>
                <w:sz w:val="18"/>
                <w:szCs w:val="18"/>
              </w:rPr>
              <w:t xml:space="preserve">Layer 1 (consumer)</w:t>
            </w:r>
          </w:p>
        </w:tc>
        <w:tc>
          <w:tcPr>
            <w:tcW w:type="dxa" w:w="4213"/>
            <w:tcMar>
              <w:top w:type="dxa" w:w="60"/>
              <w:left w:type="dxa" w:w="100"/>
              <w:bottom w:type="dxa" w:w="60"/>
              <w:right w:type="dxa" w:w="100"/>
            </w:tcMar>
          </w:tcPr>
          <w:p>
            <w:pPr>
              <w:spacing w:after="40"/>
            </w:pPr>
            <w:r>
              <w:rPr>
                <w:sz w:val="18"/>
                <w:szCs w:val="18"/>
              </w:rPr>
              <w:t xml:space="preserve">Login with ID&amp;A, holds session and JWT, hosts the Looker iframe and dashboard menu</w:t>
            </w:r>
          </w:p>
        </w:tc>
      </w:tr>
      <w:tr>
        <w:tc>
          <w:tcPr>
            <w:tcW w:type="dxa" w:w="2507"/>
            <w:shd w:fill="F7F9FC" w:color="auto" w:val="clear"/>
            <w:tcMar>
              <w:top w:type="dxa" w:w="60"/>
              <w:left w:type="dxa" w:w="100"/>
              <w:bottom w:type="dxa" w:w="60"/>
              <w:right w:type="dxa" w:w="100"/>
            </w:tcMar>
          </w:tcPr>
          <w:p>
            <w:pPr>
              <w:spacing w:after="40"/>
            </w:pPr>
            <w:r>
              <w:rPr>
                <w:sz w:val="18"/>
                <w:szCs w:val="18"/>
              </w:rPr>
              <w:t xml:space="preserve">Looker API (orchestrator)</w:t>
            </w:r>
          </w:p>
        </w:tc>
        <w:tc>
          <w:tcPr>
            <w:tcW w:type="dxa" w:w="2306"/>
            <w:shd w:fill="F7F9FC" w:color="auto" w:val="clear"/>
            <w:tcMar>
              <w:top w:type="dxa" w:w="60"/>
              <w:left w:type="dxa" w:w="100"/>
              <w:bottom w:type="dxa" w:w="60"/>
              <w:right w:type="dxa" w:w="100"/>
            </w:tcMar>
          </w:tcPr>
          <w:p>
            <w:pPr>
              <w:spacing w:after="40"/>
            </w:pPr>
            <w:r>
              <w:rPr>
                <w:sz w:val="18"/>
                <w:szCs w:val="18"/>
              </w:rPr>
              <w:t xml:space="preserve">Spoke 1 Tooling GKE</w:t>
            </w:r>
          </w:p>
        </w:tc>
        <w:tc>
          <w:tcPr>
            <w:tcW w:type="dxa" w:w="4213"/>
            <w:shd w:fill="F7F9FC" w:color="auto" w:val="clear"/>
            <w:tcMar>
              <w:top w:type="dxa" w:w="60"/>
              <w:left w:type="dxa" w:w="100"/>
              <w:bottom w:type="dxa" w:w="60"/>
              <w:right w:type="dxa" w:w="100"/>
            </w:tcMar>
          </w:tcPr>
          <w:p>
            <w:pPr>
              <w:spacing w:after="40"/>
            </w:pPr>
            <w:r>
              <w:rPr>
                <w:sz w:val="18"/>
                <w:szCs w:val="18"/>
              </w:rPr>
              <w:t xml:space="preserve">Validates the user with ID&amp;A via Apigee, verifies JWT (JWKS), selects landing dashboard, returns signed URL</w:t>
            </w:r>
          </w:p>
        </w:tc>
      </w:tr>
      <w:tr>
        <w:tc>
          <w:tcPr>
            <w:tcW w:type="dxa" w:w="2507"/>
            <w:tcMar>
              <w:top w:type="dxa" w:w="60"/>
              <w:left w:type="dxa" w:w="100"/>
              <w:bottom w:type="dxa" w:w="60"/>
              <w:right w:type="dxa" w:w="100"/>
            </w:tcMar>
          </w:tcPr>
          <w:p>
            <w:pPr>
              <w:spacing w:after="40"/>
            </w:pPr>
            <w:r>
              <w:rPr>
                <w:sz w:val="18"/>
                <w:szCs w:val="18"/>
              </w:rPr>
              <w:t xml:space="preserve">Partner Details API</w:t>
            </w:r>
          </w:p>
        </w:tc>
        <w:tc>
          <w:tcPr>
            <w:tcW w:type="dxa" w:w="2306"/>
            <w:tcMar>
              <w:top w:type="dxa" w:w="60"/>
              <w:left w:type="dxa" w:w="100"/>
              <w:bottom w:type="dxa" w:w="60"/>
              <w:right w:type="dxa" w:w="100"/>
            </w:tcMar>
          </w:tcPr>
          <w:p>
            <w:pPr>
              <w:spacing w:after="40"/>
            </w:pPr>
            <w:r>
              <w:rPr>
                <w:sz w:val="18"/>
                <w:szCs w:val="18"/>
              </w:rPr>
              <w:t xml:space="preserve">Spoke 1 Tooling GKE</w:t>
            </w:r>
          </w:p>
        </w:tc>
        <w:tc>
          <w:tcPr>
            <w:tcW w:type="dxa" w:w="4213"/>
            <w:tcMar>
              <w:top w:type="dxa" w:w="60"/>
              <w:left w:type="dxa" w:w="100"/>
              <w:bottom w:type="dxa" w:w="60"/>
              <w:right w:type="dxa" w:w="100"/>
            </w:tcMar>
          </w:tcPr>
          <w:p>
            <w:pPr>
              <w:spacing w:after="40"/>
            </w:pPr>
            <w:r>
              <w:rPr>
                <w:sz w:val="18"/>
                <w:szCs w:val="18"/>
              </w:rPr>
              <w:t xml:space="preserve">Reads Tenant Registry; lists dashboards in the tenant folders (looker-ro)</w:t>
            </w:r>
          </w:p>
        </w:tc>
      </w:tr>
      <w:tr>
        <w:tc>
          <w:tcPr>
            <w:tcW w:type="dxa" w:w="2507"/>
            <w:shd w:fill="F7F9FC" w:color="auto" w:val="clear"/>
            <w:tcMar>
              <w:top w:type="dxa" w:w="60"/>
              <w:left w:type="dxa" w:w="100"/>
              <w:bottom w:type="dxa" w:w="60"/>
              <w:right w:type="dxa" w:w="100"/>
            </w:tcMar>
          </w:tcPr>
          <w:p>
            <w:pPr>
              <w:spacing w:after="40"/>
            </w:pPr>
            <w:r>
              <w:rPr>
                <w:sz w:val="18"/>
                <w:szCs w:val="18"/>
              </w:rPr>
              <w:t xml:space="preserve">Embed URL API</w:t>
            </w:r>
          </w:p>
        </w:tc>
        <w:tc>
          <w:tcPr>
            <w:tcW w:type="dxa" w:w="2306"/>
            <w:shd w:fill="F7F9FC" w:color="auto" w:val="clear"/>
            <w:tcMar>
              <w:top w:type="dxa" w:w="60"/>
              <w:left w:type="dxa" w:w="100"/>
              <w:bottom w:type="dxa" w:w="60"/>
              <w:right w:type="dxa" w:w="100"/>
            </w:tcMar>
          </w:tcPr>
          <w:p>
            <w:pPr>
              <w:spacing w:after="40"/>
            </w:pPr>
            <w:r>
              <w:rPr>
                <w:sz w:val="18"/>
                <w:szCs w:val="18"/>
              </w:rPr>
              <w:t xml:space="preserve">Spoke 1 Tooling GKE</w:t>
            </w:r>
          </w:p>
        </w:tc>
        <w:tc>
          <w:tcPr>
            <w:tcW w:type="dxa" w:w="4213"/>
            <w:shd w:fill="F7F9FC" w:color="auto" w:val="clear"/>
            <w:tcMar>
              <w:top w:type="dxa" w:w="60"/>
              <w:left w:type="dxa" w:w="100"/>
              <w:bottom w:type="dxa" w:w="60"/>
              <w:right w:type="dxa" w:w="100"/>
            </w:tcMar>
          </w:tcPr>
          <w:p>
            <w:pPr>
              <w:spacing w:after="40"/>
            </w:pPr>
            <w:r>
              <w:rPr>
                <w:sz w:val="18"/>
                <w:szCs w:val="18"/>
              </w:rPr>
              <w:t xml:space="preserve">Creates the signed embed URL (looker-embed) for an allowed dashboard only</w:t>
            </w:r>
          </w:p>
        </w:tc>
      </w:tr>
      <w:tr>
        <w:tc>
          <w:tcPr>
            <w:tcW w:type="dxa" w:w="2507"/>
            <w:tcMar>
              <w:top w:type="dxa" w:w="60"/>
              <w:left w:type="dxa" w:w="100"/>
              <w:bottom w:type="dxa" w:w="60"/>
              <w:right w:type="dxa" w:w="100"/>
            </w:tcMar>
          </w:tcPr>
          <w:p>
            <w:pPr>
              <w:spacing w:after="40"/>
            </w:pPr>
            <w:r>
              <w:rPr>
                <w:sz w:val="18"/>
                <w:szCs w:val="18"/>
              </w:rPr>
              <w:t xml:space="preserve">Tenant Registry</w:t>
            </w:r>
          </w:p>
        </w:tc>
        <w:tc>
          <w:tcPr>
            <w:tcW w:type="dxa" w:w="2306"/>
            <w:tcMar>
              <w:top w:type="dxa" w:w="60"/>
              <w:left w:type="dxa" w:w="100"/>
              <w:bottom w:type="dxa" w:w="60"/>
              <w:right w:type="dxa" w:w="100"/>
            </w:tcMar>
          </w:tcPr>
          <w:p>
            <w:pPr>
              <w:spacing w:after="40"/>
            </w:pPr>
            <w:r>
              <w:rPr>
                <w:sz w:val="18"/>
                <w:szCs w:val="18"/>
              </w:rPr>
              <w:t xml:space="preserve">Cloud SQL PostgreSQL, Spoke 1</w:t>
            </w:r>
          </w:p>
        </w:tc>
        <w:tc>
          <w:tcPr>
            <w:tcW w:type="dxa" w:w="4213"/>
            <w:tcMar>
              <w:top w:type="dxa" w:w="60"/>
              <w:left w:type="dxa" w:w="100"/>
              <w:bottom w:type="dxa" w:w="60"/>
              <w:right w:type="dxa" w:w="100"/>
            </w:tcMar>
          </w:tcPr>
          <w:p>
            <w:pPr>
              <w:spacing w:after="40"/>
            </w:pPr>
            <w:r>
              <w:rPr>
                <w:sz w:val="18"/>
                <w:szCs w:val="18"/>
              </w:rPr>
              <w:t xml:space="preserve">Partners, tenants, Looker groups, folders, roles, audit; private IP, IAM auth</w:t>
            </w:r>
          </w:p>
        </w:tc>
      </w:tr>
      <w:tr>
        <w:tc>
          <w:tcPr>
            <w:tcW w:type="dxa" w:w="2507"/>
            <w:shd w:fill="F7F9FC" w:color="auto" w:val="clear"/>
            <w:tcMar>
              <w:top w:type="dxa" w:w="60"/>
              <w:left w:type="dxa" w:w="100"/>
              <w:bottom w:type="dxa" w:w="60"/>
              <w:right w:type="dxa" w:w="100"/>
            </w:tcMar>
          </w:tcPr>
          <w:p>
            <w:pPr>
              <w:spacing w:after="40"/>
            </w:pPr>
            <w:r>
              <w:rPr>
                <w:sz w:val="18"/>
                <w:szCs w:val="18"/>
              </w:rPr>
              <w:t xml:space="preserve">Looker (Core)</w:t>
            </w:r>
          </w:p>
        </w:tc>
        <w:tc>
          <w:tcPr>
            <w:tcW w:type="dxa" w:w="2306"/>
            <w:shd w:fill="F7F9FC" w:color="auto" w:val="clear"/>
            <w:tcMar>
              <w:top w:type="dxa" w:w="60"/>
              <w:left w:type="dxa" w:w="100"/>
              <w:bottom w:type="dxa" w:w="60"/>
              <w:right w:type="dxa" w:w="100"/>
            </w:tcMar>
          </w:tcPr>
          <w:p>
            <w:pPr>
              <w:spacing w:after="40"/>
            </w:pPr>
            <w:r>
              <w:rPr>
                <w:sz w:val="18"/>
                <w:szCs w:val="18"/>
              </w:rPr>
              <w:t xml:space="preserve">Spoke 2 GKE</w:t>
            </w:r>
          </w:p>
        </w:tc>
        <w:tc>
          <w:tcPr>
            <w:tcW w:type="dxa" w:w="4213"/>
            <w:shd w:fill="F7F9FC" w:color="auto" w:val="clear"/>
            <w:tcMar>
              <w:top w:type="dxa" w:w="60"/>
              <w:left w:type="dxa" w:w="100"/>
              <w:bottom w:type="dxa" w:w="60"/>
              <w:right w:type="dxa" w:w="100"/>
            </w:tcMar>
          </w:tcPr>
          <w:p>
            <w:pPr>
              <w:spacing w:after="40"/>
            </w:pPr>
            <w:r>
              <w:rPr>
                <w:sz w:val="18"/>
                <w:szCs w:val="18"/>
              </w:rPr>
              <w:t xml:space="preserve">Signed embedding, embed users, groups, folders, access filters, dashboards</w:t>
            </w:r>
          </w:p>
        </w:tc>
      </w:tr>
      <w:tr>
        <w:tc>
          <w:tcPr>
            <w:tcW w:type="dxa" w:w="2507"/>
            <w:tcMar>
              <w:top w:type="dxa" w:w="60"/>
              <w:left w:type="dxa" w:w="100"/>
              <w:bottom w:type="dxa" w:w="60"/>
              <w:right w:type="dxa" w:w="100"/>
            </w:tcMar>
          </w:tcPr>
          <w:p>
            <w:pPr>
              <w:spacing w:after="40"/>
            </w:pPr>
            <w:r>
              <w:rPr>
                <w:sz w:val="18"/>
                <w:szCs w:val="18"/>
              </w:rPr>
              <w:t xml:space="preserve">Reverse Proxy + External LB</w:t>
            </w:r>
          </w:p>
        </w:tc>
        <w:tc>
          <w:tcPr>
            <w:tcW w:type="dxa" w:w="2306"/>
            <w:tcMar>
              <w:top w:type="dxa" w:w="60"/>
              <w:left w:type="dxa" w:w="100"/>
              <w:bottom w:type="dxa" w:w="60"/>
              <w:right w:type="dxa" w:w="100"/>
            </w:tcMar>
          </w:tcPr>
          <w:p>
            <w:pPr>
              <w:spacing w:after="40"/>
            </w:pPr>
            <w:r>
              <w:rPr>
                <w:sz w:val="18"/>
                <w:szCs w:val="18"/>
              </w:rPr>
              <w:t xml:space="preserve">HUB</w:t>
            </w:r>
          </w:p>
        </w:tc>
        <w:tc>
          <w:tcPr>
            <w:tcW w:type="dxa" w:w="4213"/>
            <w:tcMar>
              <w:top w:type="dxa" w:w="60"/>
              <w:left w:type="dxa" w:w="100"/>
              <w:bottom w:type="dxa" w:w="60"/>
              <w:right w:type="dxa" w:w="100"/>
            </w:tcMar>
          </w:tcPr>
          <w:p>
            <w:pPr>
              <w:spacing w:after="40"/>
            </w:pPr>
            <w:r>
              <w:rPr>
                <w:sz w:val="18"/>
                <w:szCs w:val="18"/>
              </w:rPr>
              <w:t xml:space="preserve">Public embed host for the browser; internal API door to Looker</w:t>
            </w:r>
          </w:p>
        </w:tc>
      </w:tr>
      <w:tr>
        <w:tc>
          <w:tcPr>
            <w:tcW w:type="dxa" w:w="2507"/>
            <w:shd w:fill="F7F9FC" w:color="auto" w:val="clear"/>
            <w:tcMar>
              <w:top w:type="dxa" w:w="60"/>
              <w:left w:type="dxa" w:w="100"/>
              <w:bottom w:type="dxa" w:w="60"/>
              <w:right w:type="dxa" w:w="100"/>
            </w:tcMar>
          </w:tcPr>
          <w:p>
            <w:pPr>
              <w:spacing w:after="40"/>
            </w:pPr>
            <w:r>
              <w:rPr>
                <w:sz w:val="18"/>
                <w:szCs w:val="18"/>
              </w:rPr>
              <w:t xml:space="preserve">Apigee internal proxy + ID&amp;A</w:t>
            </w:r>
          </w:p>
        </w:tc>
        <w:tc>
          <w:tcPr>
            <w:tcW w:type="dxa" w:w="2306"/>
            <w:shd w:fill="F7F9FC" w:color="auto" w:val="clear"/>
            <w:tcMar>
              <w:top w:type="dxa" w:w="60"/>
              <w:left w:type="dxa" w:w="100"/>
              <w:bottom w:type="dxa" w:w="60"/>
              <w:right w:type="dxa" w:w="100"/>
            </w:tcMar>
          </w:tcPr>
          <w:p>
            <w:pPr>
              <w:spacing w:after="40"/>
            </w:pPr>
            <w:r>
              <w:rPr>
                <w:sz w:val="18"/>
                <w:szCs w:val="18"/>
              </w:rPr>
              <w:t xml:space="preserve">Service authentication</w:t>
            </w:r>
          </w:p>
        </w:tc>
        <w:tc>
          <w:tcPr>
            <w:tcW w:type="dxa" w:w="4213"/>
            <w:shd w:fill="F7F9FC" w:color="auto" w:val="clear"/>
            <w:tcMar>
              <w:top w:type="dxa" w:w="60"/>
              <w:left w:type="dxa" w:w="100"/>
              <w:bottom w:type="dxa" w:w="60"/>
              <w:right w:type="dxa" w:w="100"/>
            </w:tcMar>
          </w:tcPr>
          <w:p>
            <w:pPr>
              <w:spacing w:after="40"/>
            </w:pPr>
            <w:r>
              <w:rPr>
                <w:sz w:val="18"/>
                <w:szCs w:val="18"/>
              </w:rPr>
              <w:t xml:space="preserve">Token validation, Entra → ID&amp;A JWT exchange, JWKS</w:t>
            </w:r>
          </w:p>
        </w:tc>
      </w:tr>
      <w:tr>
        <w:tc>
          <w:tcPr>
            <w:tcW w:type="dxa" w:w="2507"/>
            <w:tcMar>
              <w:top w:type="dxa" w:w="60"/>
              <w:left w:type="dxa" w:w="100"/>
              <w:bottom w:type="dxa" w:w="60"/>
              <w:right w:type="dxa" w:w="100"/>
            </w:tcMar>
          </w:tcPr>
          <w:p>
            <w:pPr>
              <w:spacing w:after="40"/>
            </w:pPr>
            <w:r>
              <w:rPr>
                <w:sz w:val="18"/>
                <w:szCs w:val="18"/>
              </w:rPr>
              <w:t xml:space="preserve">Action Hub</w:t>
            </w:r>
          </w:p>
        </w:tc>
        <w:tc>
          <w:tcPr>
            <w:tcW w:type="dxa" w:w="2306"/>
            <w:tcMar>
              <w:top w:type="dxa" w:w="60"/>
              <w:left w:type="dxa" w:w="100"/>
              <w:bottom w:type="dxa" w:w="60"/>
              <w:right w:type="dxa" w:w="100"/>
            </w:tcMar>
          </w:tcPr>
          <w:p>
            <w:pPr>
              <w:spacing w:after="40"/>
            </w:pPr>
            <w:r>
              <w:rPr>
                <w:sz w:val="18"/>
                <w:szCs w:val="18"/>
              </w:rPr>
              <w:t xml:space="preserve">Spoke 2 GKE (looker-actions)</w:t>
            </w:r>
          </w:p>
        </w:tc>
        <w:tc>
          <w:tcPr>
            <w:tcW w:type="dxa" w:w="4213"/>
            <w:tcMar>
              <w:top w:type="dxa" w:w="60"/>
              <w:left w:type="dxa" w:w="100"/>
              <w:bottom w:type="dxa" w:w="60"/>
              <w:right w:type="dxa" w:w="100"/>
            </w:tcMar>
          </w:tcPr>
          <w:p>
            <w:pPr>
              <w:spacing w:after="40"/>
            </w:pPr>
            <w:r>
              <w:rPr>
                <w:sz w:val="18"/>
                <w:szCs w:val="18"/>
              </w:rPr>
              <w:t xml:space="preserve">Receives the Looker write-back action, obtains ID&amp;A JWT, calls Write-back API</w:t>
            </w:r>
          </w:p>
        </w:tc>
      </w:tr>
      <w:tr>
        <w:tc>
          <w:tcPr>
            <w:tcW w:type="dxa" w:w="2507"/>
            <w:shd w:fill="F7F9FC" w:color="auto" w:val="clear"/>
            <w:tcMar>
              <w:top w:type="dxa" w:w="60"/>
              <w:left w:type="dxa" w:w="100"/>
              <w:bottom w:type="dxa" w:w="60"/>
              <w:right w:type="dxa" w:w="100"/>
            </w:tcMar>
          </w:tcPr>
          <w:p>
            <w:pPr>
              <w:spacing w:after="40"/>
            </w:pPr>
            <w:r>
              <w:rPr>
                <w:sz w:val="18"/>
                <w:szCs w:val="18"/>
              </w:rPr>
              <w:t xml:space="preserve">Write-back API / Writer API</w:t>
            </w:r>
          </w:p>
        </w:tc>
        <w:tc>
          <w:tcPr>
            <w:tcW w:type="dxa" w:w="2306"/>
            <w:shd w:fill="F7F9FC" w:color="auto" w:val="clear"/>
            <w:tcMar>
              <w:top w:type="dxa" w:w="60"/>
              <w:left w:type="dxa" w:w="100"/>
              <w:bottom w:type="dxa" w:w="60"/>
              <w:right w:type="dxa" w:w="100"/>
            </w:tcMar>
          </w:tcPr>
          <w:p>
            <w:pPr>
              <w:spacing w:after="40"/>
            </w:pPr>
            <w:r>
              <w:rPr>
                <w:sz w:val="18"/>
                <w:szCs w:val="18"/>
              </w:rPr>
              <w:t xml:space="preserve">Spoke 1 GKE (writeback)</w:t>
            </w:r>
          </w:p>
        </w:tc>
        <w:tc>
          <w:tcPr>
            <w:tcW w:type="dxa" w:w="4213"/>
            <w:shd w:fill="F7F9FC" w:color="auto" w:val="clear"/>
            <w:tcMar>
              <w:top w:type="dxa" w:w="60"/>
              <w:left w:type="dxa" w:w="100"/>
              <w:bottom w:type="dxa" w:w="60"/>
              <w:right w:type="dxa" w:w="100"/>
            </w:tcMar>
          </w:tcPr>
          <w:p>
            <w:pPr>
              <w:spacing w:after="40"/>
            </w:pPr>
            <w:r>
              <w:rPr>
                <w:sz w:val="18"/>
                <w:szCs w:val="18"/>
              </w:rPr>
              <w:t xml:space="preserve">JWT verification, user authorisation, validation; M2M insert into BigQuery</w:t>
            </w:r>
          </w:p>
        </w:tc>
      </w:tr>
      <w:tr>
        <w:tc>
          <w:tcPr>
            <w:tcW w:type="dxa" w:w="2507"/>
            <w:tcMar>
              <w:top w:type="dxa" w:w="60"/>
              <w:left w:type="dxa" w:w="100"/>
              <w:bottom w:type="dxa" w:w="60"/>
              <w:right w:type="dxa" w:w="100"/>
            </w:tcMar>
          </w:tcPr>
          <w:p>
            <w:pPr>
              <w:spacing w:after="40"/>
            </w:pPr>
            <w:r>
              <w:rPr>
                <w:sz w:val="18"/>
                <w:szCs w:val="18"/>
              </w:rPr>
              <w:t xml:space="preserve">BigQuery</w:t>
            </w:r>
          </w:p>
        </w:tc>
        <w:tc>
          <w:tcPr>
            <w:tcW w:type="dxa" w:w="2306"/>
            <w:tcMar>
              <w:top w:type="dxa" w:w="60"/>
              <w:left w:type="dxa" w:w="100"/>
              <w:bottom w:type="dxa" w:w="60"/>
              <w:right w:type="dxa" w:w="100"/>
            </w:tcMar>
          </w:tcPr>
          <w:p>
            <w:pPr>
              <w:spacing w:after="40"/>
            </w:pPr>
            <w:r>
              <w:rPr>
                <w:sz w:val="18"/>
                <w:szCs w:val="18"/>
              </w:rPr>
              <w:t xml:space="preserve">Data</w:t>
            </w:r>
          </w:p>
        </w:tc>
        <w:tc>
          <w:tcPr>
            <w:tcW w:type="dxa" w:w="4213"/>
            <w:tcMar>
              <w:top w:type="dxa" w:w="60"/>
              <w:left w:type="dxa" w:w="100"/>
              <w:bottom w:type="dxa" w:w="60"/>
              <w:right w:type="dxa" w:w="100"/>
            </w:tcMar>
          </w:tcPr>
          <w:p>
            <w:pPr>
              <w:spacing w:after="40"/>
            </w:pPr>
            <w:r>
              <w:rPr>
                <w:sz w:val="18"/>
                <w:szCs w:val="18"/>
              </w:rPr>
              <w:t xml:space="preserve">Analytics datasets (tenant-tagged) and writeback_log</w:t>
            </w:r>
          </w:p>
        </w:tc>
      </w:tr>
    </w:tbl>
    <w:p>
      <w:pPr>
        <w:pStyle w:val="Heading2"/>
      </w:pPr>
      <w:r>
        <w:t xml:space="preserve">2.2 Partner dashboard access flow</w:t>
      </w:r>
    </w:p>
    <w:p>
      <w:pPr>
        <w:jc w:val="center"/>
      </w:pPr>
      <w:r>
        <w:drawing>
          <wp:inline distT="0" distB="0" distL="0" distR="0">
            <wp:extent cx="5852160" cy="2314575"/>
            <wp:effectExtent t="0" r="0" b="0" l="0"/>
            <wp:docPr id="1" name="diagram" descr="Figure 2 – Partner access sequence" title="Figure 2 – Partner access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52160" cy="2314575"/>
                    </a:xfrm>
                    <a:prstGeom prst="rect">
                      <a:avLst/>
                    </a:prstGeom>
                  </pic:spPr>
                </pic:pic>
              </a:graphicData>
            </a:graphic>
          </wp:inline>
        </w:drawing>
      </w:r>
    </w:p>
    <w:p>
      <w:pPr>
        <w:spacing w:after="200"/>
        <w:jc w:val="center"/>
      </w:pPr>
      <w:r>
        <w:rPr>
          <w:i/>
          <w:iCs/>
          <w:color w:val="595959"/>
          <w:sz w:val="18"/>
          <w:szCs w:val="18"/>
        </w:rPr>
        <w:t xml:space="preserve">Figure 2 – Partner access sequence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704"/>
        <w:gridCol w:w="5515"/>
        <w:gridCol w:w="1807"/>
      </w:tblGrid>
      <w:tr>
        <w:trPr>
          <w:tblHeader/>
        </w:trPr>
        <w:tc>
          <w:tcPr>
            <w:tcW w:type="dxa" w:w="1704"/>
            <w:shd w:fill="1F4E79" w:color="auto" w:val="clear"/>
            <w:tcMar>
              <w:top w:type="dxa" w:w="60"/>
              <w:left w:type="dxa" w:w="100"/>
              <w:bottom w:type="dxa" w:w="60"/>
              <w:right w:type="dxa" w:w="100"/>
            </w:tcMar>
          </w:tcPr>
          <w:p>
            <w:pPr>
              <w:spacing w:after="40"/>
            </w:pPr>
            <w:r>
              <w:rPr>
                <w:b/>
                <w:bCs/>
                <w:color w:val="FFFFFF"/>
                <w:sz w:val="18"/>
                <w:szCs w:val="18"/>
              </w:rPr>
              <w:t xml:space="preserve">Stage</w:t>
            </w:r>
          </w:p>
        </w:tc>
        <w:tc>
          <w:tcPr>
            <w:tcW w:type="dxa" w:w="5515"/>
            <w:shd w:fill="1F4E79" w:color="auto" w:val="clear"/>
            <w:tcMar>
              <w:top w:type="dxa" w:w="60"/>
              <w:left w:type="dxa" w:w="100"/>
              <w:bottom w:type="dxa" w:w="60"/>
              <w:right w:type="dxa" w:w="100"/>
            </w:tcMar>
          </w:tcPr>
          <w:p>
            <w:pPr>
              <w:spacing w:after="40"/>
            </w:pPr>
            <w:r>
              <w:rPr>
                <w:b/>
                <w:bCs/>
                <w:color w:val="FFFFFF"/>
                <w:sz w:val="18"/>
                <w:szCs w:val="18"/>
              </w:rPr>
              <w:t xml:space="preserve">What happens</w:t>
            </w:r>
          </w:p>
        </w:tc>
        <w:tc>
          <w:tcPr>
            <w:tcW w:type="dxa" w:w="1807"/>
            <w:shd w:fill="1F4E79" w:color="auto" w:val="clear"/>
            <w:tcMar>
              <w:top w:type="dxa" w:w="60"/>
              <w:left w:type="dxa" w:w="100"/>
              <w:bottom w:type="dxa" w:w="60"/>
              <w:right w:type="dxa" w:w="100"/>
            </w:tcMar>
          </w:tcPr>
          <w:p>
            <w:pPr>
              <w:spacing w:after="40"/>
            </w:pPr>
            <w:r>
              <w:rPr>
                <w:b/>
                <w:bCs/>
                <w:color w:val="FFFFFF"/>
                <w:sz w:val="18"/>
                <w:szCs w:val="18"/>
              </w:rPr>
              <w:t xml:space="preserve">Control</w:t>
            </w:r>
          </w:p>
        </w:tc>
      </w:tr>
      <w:tr>
        <w:tc>
          <w:tcPr>
            <w:tcW w:type="dxa" w:w="1704"/>
            <w:tcMar>
              <w:top w:type="dxa" w:w="60"/>
              <w:left w:type="dxa" w:w="100"/>
              <w:bottom w:type="dxa" w:w="60"/>
              <w:right w:type="dxa" w:w="100"/>
            </w:tcMar>
          </w:tcPr>
          <w:p>
            <w:pPr>
              <w:spacing w:after="40"/>
            </w:pPr>
            <w:r>
              <w:rPr>
                <w:sz w:val="18"/>
                <w:szCs w:val="18"/>
              </w:rPr>
              <w:t xml:space="preserve">A – Login</w:t>
            </w:r>
          </w:p>
        </w:tc>
        <w:tc>
          <w:tcPr>
            <w:tcW w:type="dxa" w:w="5515"/>
            <w:tcMar>
              <w:top w:type="dxa" w:w="60"/>
              <w:left w:type="dxa" w:w="100"/>
              <w:bottom w:type="dxa" w:w="60"/>
              <w:right w:type="dxa" w:w="100"/>
            </w:tcMar>
          </w:tcPr>
          <w:p>
            <w:pPr>
              <w:spacing w:after="40"/>
            </w:pPr>
            <w:r>
              <w:rPr>
                <w:sz w:val="18"/>
                <w:szCs w:val="18"/>
              </w:rPr>
              <w:t xml:space="preserve">User signs in to the WebApp; ID&amp;A issues the JWT (sub = partner id e.g. PRT-ACME-0071).</w:t>
            </w:r>
          </w:p>
        </w:tc>
        <w:tc>
          <w:tcPr>
            <w:tcW w:type="dxa" w:w="1807"/>
            <w:tcMar>
              <w:top w:type="dxa" w:w="60"/>
              <w:left w:type="dxa" w:w="100"/>
              <w:bottom w:type="dxa" w:w="60"/>
              <w:right w:type="dxa" w:w="100"/>
            </w:tcMar>
          </w:tcPr>
          <w:p>
            <w:pPr>
              <w:spacing w:after="40"/>
            </w:pPr>
            <w:r>
              <w:rPr>
                <w:sz w:val="18"/>
                <w:szCs w:val="18"/>
              </w:rPr>
              <w:t xml:space="preserve">ID&amp;A credentials / MFA</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B – Call Looker API</w:t>
            </w:r>
          </w:p>
        </w:tc>
        <w:tc>
          <w:tcPr>
            <w:tcW w:type="dxa" w:w="5515"/>
            <w:shd w:fill="F7F9FC" w:color="auto" w:val="clear"/>
            <w:tcMar>
              <w:top w:type="dxa" w:w="60"/>
              <w:left w:type="dxa" w:w="100"/>
              <w:bottom w:type="dxa" w:w="60"/>
              <w:right w:type="dxa" w:w="100"/>
            </w:tcMar>
          </w:tcPr>
          <w:p>
            <w:pPr>
              <w:spacing w:after="40"/>
            </w:pPr>
            <w:r>
              <w:rPr>
                <w:sz w:val="18"/>
                <w:szCs w:val="18"/>
              </w:rPr>
              <w:t xml:space="preserve">WebApp → PSC → HUB ILB → HA VPN → Spoke 1 Looker API with Authorization: Bearer JWT and X-Partner-Id. No tenant is ever sent by the caller.</w:t>
            </w:r>
          </w:p>
        </w:tc>
        <w:tc>
          <w:tcPr>
            <w:tcW w:type="dxa" w:w="1807"/>
            <w:shd w:fill="F7F9FC" w:color="auto" w:val="clear"/>
            <w:tcMar>
              <w:top w:type="dxa" w:w="60"/>
              <w:left w:type="dxa" w:w="100"/>
              <w:bottom w:type="dxa" w:w="60"/>
              <w:right w:type="dxa" w:w="100"/>
            </w:tcMar>
          </w:tcPr>
          <w:p>
            <w:pPr>
              <w:spacing w:after="40"/>
            </w:pPr>
            <w:r>
              <w:rPr>
                <w:sz w:val="18"/>
                <w:szCs w:val="18"/>
              </w:rPr>
              <w:t xml:space="preserve">Private connectivity</w:t>
            </w:r>
          </w:p>
        </w:tc>
      </w:tr>
      <w:tr>
        <w:tc>
          <w:tcPr>
            <w:tcW w:type="dxa" w:w="1704"/>
            <w:tcMar>
              <w:top w:type="dxa" w:w="60"/>
              <w:left w:type="dxa" w:w="100"/>
              <w:bottom w:type="dxa" w:w="60"/>
              <w:right w:type="dxa" w:w="100"/>
            </w:tcMar>
          </w:tcPr>
          <w:p>
            <w:pPr>
              <w:spacing w:after="40"/>
            </w:pPr>
            <w:r>
              <w:rPr>
                <w:sz w:val="18"/>
                <w:szCs w:val="18"/>
              </w:rPr>
              <w:t xml:space="preserve">C – Validate with ID&amp;A</w:t>
            </w:r>
          </w:p>
        </w:tc>
        <w:tc>
          <w:tcPr>
            <w:tcW w:type="dxa" w:w="5515"/>
            <w:tcMar>
              <w:top w:type="dxa" w:w="60"/>
              <w:left w:type="dxa" w:w="100"/>
              <w:bottom w:type="dxa" w:w="60"/>
              <w:right w:type="dxa" w:w="100"/>
            </w:tcMar>
          </w:tcPr>
          <w:p>
            <w:pPr>
              <w:spacing w:after="40"/>
            </w:pPr>
            <w:r>
              <w:rPr>
                <w:sz w:val="18"/>
                <w:szCs w:val="18"/>
              </w:rPr>
              <w:t xml:space="preserve">Looker API → Apigee internal proxy (lloyds-auth-int) → ID&amp;A checks the token against OSIS.</w:t>
            </w:r>
          </w:p>
        </w:tc>
        <w:tc>
          <w:tcPr>
            <w:tcW w:type="dxa" w:w="1807"/>
            <w:tcMar>
              <w:top w:type="dxa" w:w="60"/>
              <w:left w:type="dxa" w:w="100"/>
              <w:bottom w:type="dxa" w:w="60"/>
              <w:right w:type="dxa" w:w="100"/>
            </w:tcMar>
          </w:tcPr>
          <w:p>
            <w:pPr>
              <w:spacing w:after="40"/>
            </w:pPr>
            <w:r>
              <w:rPr>
                <w:sz w:val="18"/>
                <w:szCs w:val="18"/>
              </w:rPr>
              <w:t xml:space="preserve">Invalid → stop</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5.1 Verify caller</w:t>
            </w:r>
          </w:p>
        </w:tc>
        <w:tc>
          <w:tcPr>
            <w:tcW w:type="dxa" w:w="5515"/>
            <w:shd w:fill="F7F9FC" w:color="auto" w:val="clear"/>
            <w:tcMar>
              <w:top w:type="dxa" w:w="60"/>
              <w:left w:type="dxa" w:w="100"/>
              <w:bottom w:type="dxa" w:w="60"/>
              <w:right w:type="dxa" w:w="100"/>
            </w:tcMar>
          </w:tcPr>
          <w:p>
            <w:pPr>
              <w:spacing w:after="40"/>
            </w:pPr>
            <w:r>
              <w:rPr>
                <w:sz w:val="18"/>
                <w:szCs w:val="18"/>
              </w:rPr>
              <w:t xml:space="preserve">JWT verified with ID&amp;A JWKS (cached 5 min): signature, expiry, issuer, audience; X-Partner-Id must equal sub.</w:t>
            </w:r>
          </w:p>
        </w:tc>
        <w:tc>
          <w:tcPr>
            <w:tcW w:type="dxa" w:w="1807"/>
            <w:shd w:fill="F7F9FC" w:color="auto" w:val="clear"/>
            <w:tcMar>
              <w:top w:type="dxa" w:w="60"/>
              <w:left w:type="dxa" w:w="100"/>
              <w:bottom w:type="dxa" w:w="60"/>
              <w:right w:type="dxa" w:w="100"/>
            </w:tcMar>
          </w:tcPr>
          <w:p>
            <w:pPr>
              <w:spacing w:after="40"/>
            </w:pPr>
            <w:r>
              <w:rPr>
                <w:sz w:val="18"/>
                <w:szCs w:val="18"/>
              </w:rPr>
              <w:t xml:space="preserve">401 / 403</w:t>
            </w:r>
          </w:p>
        </w:tc>
      </w:tr>
      <w:tr>
        <w:tc>
          <w:tcPr>
            <w:tcW w:type="dxa" w:w="1704"/>
            <w:tcMar>
              <w:top w:type="dxa" w:w="60"/>
              <w:left w:type="dxa" w:w="100"/>
              <w:bottom w:type="dxa" w:w="60"/>
              <w:right w:type="dxa" w:w="100"/>
            </w:tcMar>
          </w:tcPr>
          <w:p>
            <w:pPr>
              <w:spacing w:after="40"/>
            </w:pPr>
            <w:r>
              <w:rPr>
                <w:sz w:val="18"/>
                <w:szCs w:val="18"/>
              </w:rPr>
              <w:t xml:space="preserve">5.2–5.3 Registry</w:t>
            </w:r>
          </w:p>
        </w:tc>
        <w:tc>
          <w:tcPr>
            <w:tcW w:type="dxa" w:w="5515"/>
            <w:tcMar>
              <w:top w:type="dxa" w:w="60"/>
              <w:left w:type="dxa" w:w="100"/>
              <w:bottom w:type="dxa" w:w="60"/>
              <w:right w:type="dxa" w:w="100"/>
            </w:tcMar>
          </w:tcPr>
          <w:p>
            <w:pPr>
              <w:spacing w:after="40"/>
            </w:pPr>
            <w:r>
              <w:rPr>
                <w:sz w:val="18"/>
                <w:szCs w:val="18"/>
              </w:rPr>
              <w:t xml:space="preserve">Partner Details API reads partner_users ⋈ tenants ⋈ partner_groups ⋈ tenant_groups ⋈ group_folders via Cloud SQL Auth Proxy (IAM, private IP, 60 s cache).</w:t>
            </w:r>
          </w:p>
        </w:tc>
        <w:tc>
          <w:tcPr>
            <w:tcW w:type="dxa" w:w="1807"/>
            <w:tcMar>
              <w:top w:type="dxa" w:w="60"/>
              <w:left w:type="dxa" w:w="100"/>
              <w:bottom w:type="dxa" w:w="60"/>
              <w:right w:type="dxa" w:w="100"/>
            </w:tcMar>
          </w:tcPr>
          <w:p>
            <w:pPr>
              <w:spacing w:after="40"/>
            </w:pPr>
            <w:r>
              <w:rPr>
                <w:sz w:val="18"/>
                <w:szCs w:val="18"/>
              </w:rPr>
              <w:t xml:space="preserve">Unknown / disabled / suspended → 403</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5.4 Allowed dashboards</w:t>
            </w:r>
          </w:p>
        </w:tc>
        <w:tc>
          <w:tcPr>
            <w:tcW w:type="dxa" w:w="5515"/>
            <w:shd w:fill="F7F9FC" w:color="auto" w:val="clear"/>
            <w:tcMar>
              <w:top w:type="dxa" w:w="60"/>
              <w:left w:type="dxa" w:w="100"/>
              <w:bottom w:type="dxa" w:w="60"/>
              <w:right w:type="dxa" w:w="100"/>
            </w:tcMar>
          </w:tcPr>
          <w:p>
            <w:pPr>
              <w:spacing w:after="40"/>
            </w:pPr>
            <w:r>
              <w:rPr>
                <w:sz w:val="18"/>
                <w:szCs w:val="18"/>
              </w:rPr>
              <w:t xml:space="preserve">Lists dashboards in the tenant folders through the Reverse Proxy API door (looker-ro service user).</w:t>
            </w:r>
          </w:p>
        </w:tc>
        <w:tc>
          <w:tcPr>
            <w:tcW w:type="dxa" w:w="1807"/>
            <w:shd w:fill="F7F9FC" w:color="auto" w:val="clear"/>
            <w:tcMar>
              <w:top w:type="dxa" w:w="60"/>
              <w:left w:type="dxa" w:w="100"/>
              <w:bottom w:type="dxa" w:w="60"/>
              <w:right w:type="dxa" w:w="100"/>
            </w:tcMar>
          </w:tcPr>
          <w:p>
            <w:pPr>
              <w:spacing w:after="40"/>
            </w:pPr>
            <w:r>
              <w:rPr>
                <w:sz w:val="18"/>
                <w:szCs w:val="18"/>
              </w:rPr>
              <w:t xml:space="preserve">None → 403</w:t>
            </w:r>
          </w:p>
        </w:tc>
      </w:tr>
      <w:tr>
        <w:tc>
          <w:tcPr>
            <w:tcW w:type="dxa" w:w="1704"/>
            <w:tcMar>
              <w:top w:type="dxa" w:w="60"/>
              <w:left w:type="dxa" w:w="100"/>
              <w:bottom w:type="dxa" w:w="60"/>
              <w:right w:type="dxa" w:w="100"/>
            </w:tcMar>
          </w:tcPr>
          <w:p>
            <w:pPr>
              <w:spacing w:after="40"/>
            </w:pPr>
            <w:r>
              <w:rPr>
                <w:sz w:val="18"/>
                <w:szCs w:val="18"/>
              </w:rPr>
              <w:t xml:space="preserve">5.6–5.10 Signed URL</w:t>
            </w:r>
          </w:p>
        </w:tc>
        <w:tc>
          <w:tcPr>
            <w:tcW w:type="dxa" w:w="5515"/>
            <w:tcMar>
              <w:top w:type="dxa" w:w="60"/>
              <w:left w:type="dxa" w:w="100"/>
              <w:bottom w:type="dxa" w:w="60"/>
              <w:right w:type="dxa" w:w="100"/>
            </w:tcMar>
          </w:tcPr>
          <w:p>
            <w:pPr>
              <w:spacing w:after="40"/>
            </w:pPr>
            <w:r>
              <w:rPr>
                <w:sz w:val="18"/>
                <w:szCs w:val="18"/>
              </w:rPr>
              <w:t xml:space="preserve">Embed URL API re-checks the dashboard is allowed and calls POST /api/4.0/embed/sso_url with external_user_id = partner_id::tenant_id, group_ids, user_attributes {tenant_id, business_group}, permissions, models, session_length 3600.</w:t>
            </w:r>
          </w:p>
        </w:tc>
        <w:tc>
          <w:tcPr>
            <w:tcW w:type="dxa" w:w="1807"/>
            <w:tcMar>
              <w:top w:type="dxa" w:w="60"/>
              <w:left w:type="dxa" w:w="100"/>
              <w:bottom w:type="dxa" w:w="60"/>
              <w:right w:type="dxa" w:w="100"/>
            </w:tcMar>
          </w:tcPr>
          <w:p>
            <w:pPr>
              <w:spacing w:after="40"/>
            </w:pPr>
            <w:r>
              <w:rPr>
                <w:sz w:val="18"/>
                <w:szCs w:val="18"/>
              </w:rPr>
              <w:t xml:space="preserve">Never logged or stored</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6 – Open dashboard</w:t>
            </w:r>
          </w:p>
        </w:tc>
        <w:tc>
          <w:tcPr>
            <w:tcW w:type="dxa" w:w="5515"/>
            <w:shd w:fill="F7F9FC" w:color="auto" w:val="clear"/>
            <w:tcMar>
              <w:top w:type="dxa" w:w="60"/>
              <w:left w:type="dxa" w:w="100"/>
              <w:bottom w:type="dxa" w:w="60"/>
              <w:right w:type="dxa" w:w="100"/>
            </w:tcMar>
          </w:tcPr>
          <w:p>
            <w:pPr>
              <w:spacing w:after="40"/>
            </w:pPr>
            <w:r>
              <w:rPr>
                <w:sz w:val="18"/>
                <w:szCs w:val="18"/>
              </w:rPr>
              <w:t xml:space="preserve">Browser opens the signed URL in the iframe via External LB → Reverse Proxy → HUB → Looker. Looker checks signature, nonce, time and embed domain, creates/updates the embed user, sets groups and attributes.</w:t>
            </w:r>
          </w:p>
        </w:tc>
        <w:tc>
          <w:tcPr>
            <w:tcW w:type="dxa" w:w="1807"/>
            <w:shd w:fill="F7F9FC" w:color="auto" w:val="clear"/>
            <w:tcMar>
              <w:top w:type="dxa" w:w="60"/>
              <w:left w:type="dxa" w:w="100"/>
              <w:bottom w:type="dxa" w:w="60"/>
              <w:right w:type="dxa" w:w="100"/>
            </w:tcMar>
          </w:tcPr>
          <w:p>
            <w:pPr>
              <w:spacing w:after="40"/>
            </w:pPr>
            <w:r>
              <w:rPr>
                <w:sz w:val="18"/>
                <w:szCs w:val="18"/>
              </w:rPr>
              <w:t xml:space="preserve">Single use; domain allowlist</w:t>
            </w:r>
          </w:p>
        </w:tc>
      </w:tr>
      <w:tr>
        <w:tc>
          <w:tcPr>
            <w:tcW w:type="dxa" w:w="1704"/>
            <w:tcMar>
              <w:top w:type="dxa" w:w="60"/>
              <w:left w:type="dxa" w:w="100"/>
              <w:bottom w:type="dxa" w:w="60"/>
              <w:right w:type="dxa" w:w="100"/>
            </w:tcMar>
          </w:tcPr>
          <w:p>
            <w:pPr>
              <w:spacing w:after="40"/>
            </w:pPr>
            <w:r>
              <w:rPr>
                <w:sz w:val="18"/>
                <w:szCs w:val="18"/>
              </w:rPr>
              <w:t xml:space="preserve">6 – Query</w:t>
            </w:r>
          </w:p>
        </w:tc>
        <w:tc>
          <w:tcPr>
            <w:tcW w:type="dxa" w:w="5515"/>
            <w:tcMar>
              <w:top w:type="dxa" w:w="60"/>
              <w:left w:type="dxa" w:w="100"/>
              <w:bottom w:type="dxa" w:w="60"/>
              <w:right w:type="dxa" w:w="100"/>
            </w:tcMar>
          </w:tcPr>
          <w:p>
            <w:pPr>
              <w:spacing w:after="40"/>
            </w:pPr>
            <w:r>
              <w:rPr>
                <w:sz w:val="18"/>
                <w:szCs w:val="18"/>
              </w:rPr>
              <w:t xml:space="preserve">Every tile query gets WHERE tenant_id = … AND business_group = … (LookML access_filter) on BigQuery.</w:t>
            </w:r>
          </w:p>
        </w:tc>
        <w:tc>
          <w:tcPr>
            <w:tcW w:type="dxa" w:w="1807"/>
            <w:tcMar>
              <w:top w:type="dxa" w:w="60"/>
              <w:left w:type="dxa" w:w="100"/>
              <w:bottom w:type="dxa" w:w="60"/>
              <w:right w:type="dxa" w:w="100"/>
            </w:tcMar>
          </w:tcPr>
          <w:p>
            <w:pPr>
              <w:spacing w:after="40"/>
            </w:pPr>
            <w:r>
              <w:rPr>
                <w:sz w:val="18"/>
                <w:szCs w:val="18"/>
              </w:rPr>
              <w:t xml:space="preserve">Row-level security</w:t>
            </w:r>
          </w:p>
        </w:tc>
      </w:tr>
      <w:tr>
        <w:tc>
          <w:tcPr>
            <w:tcW w:type="dxa" w:w="1704"/>
            <w:shd w:fill="F7F9FC" w:color="auto" w:val="clear"/>
            <w:tcMar>
              <w:top w:type="dxa" w:w="60"/>
              <w:left w:type="dxa" w:w="100"/>
              <w:bottom w:type="dxa" w:w="60"/>
              <w:right w:type="dxa" w:w="100"/>
            </w:tcMar>
          </w:tcPr>
          <w:p>
            <w:pPr>
              <w:spacing w:after="40"/>
            </w:pPr>
            <w:r>
              <w:rPr>
                <w:sz w:val="18"/>
                <w:szCs w:val="18"/>
              </w:rPr>
              <w:t xml:space="preserve">Switch dashboard</w:t>
            </w:r>
          </w:p>
        </w:tc>
        <w:tc>
          <w:tcPr>
            <w:tcW w:type="dxa" w:w="5515"/>
            <w:shd w:fill="F7F9FC" w:color="auto" w:val="clear"/>
            <w:tcMar>
              <w:top w:type="dxa" w:w="60"/>
              <w:left w:type="dxa" w:w="100"/>
              <w:bottom w:type="dxa" w:w="60"/>
              <w:right w:type="dxa" w:w="100"/>
            </w:tcMar>
          </w:tcPr>
          <w:p>
            <w:pPr>
              <w:spacing w:after="40"/>
            </w:pPr>
            <w:r>
              <w:rPr>
                <w:sz w:val="18"/>
                <w:szCs w:val="18"/>
              </w:rPr>
              <w:t xml:space="preserve">WebApp changes iframe.src to another embed path; Looker reuses the session and checks folder permission. No GKE call.</w:t>
            </w:r>
          </w:p>
        </w:tc>
        <w:tc>
          <w:tcPr>
            <w:tcW w:type="dxa" w:w="1807"/>
            <w:shd w:fill="F7F9FC" w:color="auto" w:val="clear"/>
            <w:tcMar>
              <w:top w:type="dxa" w:w="60"/>
              <w:left w:type="dxa" w:w="100"/>
              <w:bottom w:type="dxa" w:w="60"/>
              <w:right w:type="dxa" w:w="100"/>
            </w:tcMar>
          </w:tcPr>
          <w:p>
            <w:pPr>
              <w:spacing w:after="40"/>
            </w:pPr>
            <w:r>
              <w:rPr>
                <w:sz w:val="18"/>
                <w:szCs w:val="18"/>
              </w:rPr>
              <w:t xml:space="preserve">Folder permission</w:t>
            </w:r>
          </w:p>
        </w:tc>
      </w:tr>
    </w:tbl>
    <w:p>
      <w:pPr>
        <w:pBdr>
          <w:left w:val="single" w:color="C9A227" w:sz="18" w:space="6"/>
        </w:pBdr>
        <w:shd w:fill="FFF4CE" w:color="auto" w:val="clear"/>
        <w:spacing w:after="160" w:before="80"/>
        <w:ind w:left="120" w:right="120"/>
      </w:pPr>
      <w:r>
        <w:rPr>
          <w:sz w:val="19"/>
          <w:szCs w:val="19"/>
        </w:rPr>
        <w:t xml:space="preserve">Access chain: partner_users → partner_groups → tenant_groups → group_folders → Looker folder → dashboards. </w:t>
      </w:r>
      <w:r>
        <w:rPr>
          <w:b/>
          <w:bCs/>
          <w:sz w:val="19"/>
          <w:szCs w:val="19"/>
        </w:rPr>
        <w:t xml:space="preserve">group_ids decide which dashboards; user_attributes decide which rows.</w:t>
      </w:r>
      <w:r>
        <w:rPr>
          <w:sz w:val="19"/>
          <w:szCs w:val="19"/>
        </w:rPr>
        <w:t xml:space="preserve"> The check is done twice: by the API before signing and by Looker on every open.</w:t>
      </w:r>
    </w:p>
    <w:p>
      <w:pPr>
        <w:pStyle w:val="Heading2"/>
      </w:pPr>
      <w:r>
        <w:t xml:space="preserve">2.3 Dashboard write-back flow</w:t>
      </w:r>
    </w:p>
    <w:p>
      <w:pPr>
        <w:jc w:val="center"/>
      </w:pPr>
      <w:r>
        <w:drawing>
          <wp:inline distT="0" distB="0" distL="0" distR="0">
            <wp:extent cx="4206240" cy="3152775"/>
            <wp:effectExtent t="0" r="0" b="0" l="0"/>
            <wp:docPr id="1" name="diagram" descr="Figure 3 – Write-back architecture (matches looker-writeback-oauth2-entra-v4.drawio)" title="Figure 3 – Write-back architecture (matches looker-writeback-oauth2-entra-v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3152775"/>
                    </a:xfrm>
                    <a:prstGeom prst="rect">
                      <a:avLst/>
                    </a:prstGeom>
                  </pic:spPr>
                </pic:pic>
              </a:graphicData>
            </a:graphic>
          </wp:inline>
        </w:drawing>
      </w:r>
    </w:p>
    <w:p>
      <w:pPr>
        <w:spacing w:after="200"/>
        <w:jc w:val="center"/>
      </w:pPr>
      <w:r>
        <w:rPr>
          <w:i/>
          <w:iCs/>
          <w:color w:val="595959"/>
          <w:sz w:val="18"/>
          <w:szCs w:val="18"/>
        </w:rPr>
        <w:t xml:space="preserve">Figure 3 – Write-back architecture (matches looker-writeback-oauth2-entra-v4.drawio)</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203"/>
        <w:gridCol w:w="7823"/>
      </w:tblGrid>
      <w:tr>
        <w:trPr>
          <w:tblHeader/>
        </w:trPr>
        <w:tc>
          <w:tcPr>
            <w:tcW w:type="dxa" w:w="1203"/>
            <w:shd w:fill="1F4E79" w:color="auto" w:val="clear"/>
            <w:tcMar>
              <w:top w:type="dxa" w:w="60"/>
              <w:left w:type="dxa" w:w="100"/>
              <w:bottom w:type="dxa" w:w="60"/>
              <w:right w:type="dxa" w:w="100"/>
            </w:tcMar>
          </w:tcPr>
          <w:p>
            <w:pPr>
              <w:spacing w:after="40"/>
            </w:pPr>
            <w:r>
              <w:rPr>
                <w:b/>
                <w:bCs/>
                <w:color w:val="FFFFFF"/>
                <w:sz w:val="18"/>
                <w:szCs w:val="18"/>
              </w:rPr>
              <w:t xml:space="preserve">Step</w:t>
            </w:r>
          </w:p>
        </w:tc>
        <w:tc>
          <w:tcPr>
            <w:tcW w:type="dxa" w:w="7823"/>
            <w:shd w:fill="1F4E79" w:color="auto" w:val="clear"/>
            <w:tcMar>
              <w:top w:type="dxa" w:w="60"/>
              <w:left w:type="dxa" w:w="100"/>
              <w:bottom w:type="dxa" w:w="60"/>
              <w:right w:type="dxa" w:w="100"/>
            </w:tcMar>
          </w:tcPr>
          <w:p>
            <w:pPr>
              <w:spacing w:after="40"/>
            </w:pPr>
            <w:r>
              <w:rPr>
                <w:b/>
                <w:bCs/>
                <w:color w:val="FFFFFF"/>
                <w:sz w:val="18"/>
                <w:szCs w:val="18"/>
              </w:rPr>
              <w:t xml:space="preserve">What happens</w:t>
            </w:r>
          </w:p>
        </w:tc>
      </w:tr>
      <w:tr>
        <w:tc>
          <w:tcPr>
            <w:tcW w:type="dxa" w:w="1203"/>
            <w:tcMar>
              <w:top w:type="dxa" w:w="60"/>
              <w:left w:type="dxa" w:w="100"/>
              <w:bottom w:type="dxa" w:w="60"/>
              <w:right w:type="dxa" w:w="100"/>
            </w:tcMar>
          </w:tcPr>
          <w:p>
            <w:pPr>
              <w:spacing w:after="40"/>
            </w:pPr>
            <w:r>
              <w:rPr>
                <w:sz w:val="18"/>
                <w:szCs w:val="18"/>
              </w:rPr>
              <w:t xml:space="preserve">0.1–0.3</w:t>
            </w:r>
          </w:p>
        </w:tc>
        <w:tc>
          <w:tcPr>
            <w:tcW w:type="dxa" w:w="7823"/>
            <w:tcMar>
              <w:top w:type="dxa" w:w="60"/>
              <w:left w:type="dxa" w:w="100"/>
              <w:bottom w:type="dxa" w:w="60"/>
              <w:right w:type="dxa" w:w="100"/>
            </w:tcMar>
          </w:tcPr>
          <w:p>
            <w:pPr>
              <w:spacing w:after="40"/>
            </w:pPr>
            <w:r>
              <w:rPr>
                <w:sz w:val="18"/>
                <w:szCs w:val="18"/>
              </w:rPr>
              <w:t xml:space="preserve">Internal user signs in to Looker with Entra SAML; Looker stores user attribute entra_oid.</w:t>
            </w:r>
          </w:p>
        </w:tc>
      </w:tr>
      <w:tr>
        <w:tc>
          <w:tcPr>
            <w:tcW w:type="dxa" w:w="1203"/>
            <w:shd w:fill="F7F9FC" w:color="auto" w:val="clear"/>
            <w:tcMar>
              <w:top w:type="dxa" w:w="60"/>
              <w:left w:type="dxa" w:w="100"/>
              <w:bottom w:type="dxa" w:w="60"/>
              <w:right w:type="dxa" w:w="100"/>
            </w:tcMar>
          </w:tcPr>
          <w:p>
            <w:pPr>
              <w:spacing w:after="40"/>
            </w:pPr>
            <w:r>
              <w:rPr>
                <w:sz w:val="18"/>
                <w:szCs w:val="18"/>
              </w:rPr>
              <w:t xml:space="preserve">1.1–1.3</w:t>
            </w:r>
          </w:p>
        </w:tc>
        <w:tc>
          <w:tcPr>
            <w:tcW w:type="dxa" w:w="7823"/>
            <w:shd w:fill="F7F9FC" w:color="auto" w:val="clear"/>
            <w:tcMar>
              <w:top w:type="dxa" w:w="60"/>
              <w:left w:type="dxa" w:w="100"/>
              <w:bottom w:type="dxa" w:w="60"/>
              <w:right w:type="dxa" w:w="100"/>
            </w:tcMar>
          </w:tcPr>
          <w:p>
            <w:pPr>
              <w:spacing w:after="40"/>
            </w:pPr>
            <w:r>
              <w:rPr>
                <w:sz w:val="18"/>
                <w:szCs w:val="18"/>
              </w:rPr>
              <w:t xml:space="preserve">User clicks Write back; Looker server calls the Action Hub with the Looker action secret, entra_oid, email and rows.</w:t>
            </w:r>
          </w:p>
        </w:tc>
      </w:tr>
      <w:tr>
        <w:tc>
          <w:tcPr>
            <w:tcW w:type="dxa" w:w="1203"/>
            <w:tcMar>
              <w:top w:type="dxa" w:w="60"/>
              <w:left w:type="dxa" w:w="100"/>
              <w:bottom w:type="dxa" w:w="60"/>
              <w:right w:type="dxa" w:w="100"/>
            </w:tcMar>
          </w:tcPr>
          <w:p>
            <w:pPr>
              <w:spacing w:after="40"/>
            </w:pPr>
            <w:r>
              <w:rPr>
                <w:sz w:val="18"/>
                <w:szCs w:val="18"/>
              </w:rPr>
              <w:t xml:space="preserve">2.1</w:t>
            </w:r>
          </w:p>
        </w:tc>
        <w:tc>
          <w:tcPr>
            <w:tcW w:type="dxa" w:w="7823"/>
            <w:tcMar>
              <w:top w:type="dxa" w:w="60"/>
              <w:left w:type="dxa" w:w="100"/>
              <w:bottom w:type="dxa" w:w="60"/>
              <w:right w:type="dxa" w:w="100"/>
            </w:tcMar>
          </w:tcPr>
          <w:p>
            <w:pPr>
              <w:spacing w:after="40"/>
            </w:pPr>
            <w:r>
              <w:rPr>
                <w:sz w:val="18"/>
                <w:szCs w:val="18"/>
              </w:rPr>
              <w:t xml:space="preserve">Action Hub verifies the Looker action secret (constant-time).</w:t>
            </w:r>
          </w:p>
        </w:tc>
      </w:tr>
      <w:tr>
        <w:tc>
          <w:tcPr>
            <w:tcW w:type="dxa" w:w="1203"/>
            <w:shd w:fill="F7F9FC" w:color="auto" w:val="clear"/>
            <w:tcMar>
              <w:top w:type="dxa" w:w="60"/>
              <w:left w:type="dxa" w:w="100"/>
              <w:bottom w:type="dxa" w:w="60"/>
              <w:right w:type="dxa" w:w="100"/>
            </w:tcMar>
          </w:tcPr>
          <w:p>
            <w:pPr>
              <w:spacing w:after="40"/>
            </w:pPr>
            <w:r>
              <w:rPr>
                <w:sz w:val="18"/>
                <w:szCs w:val="18"/>
              </w:rPr>
              <w:t xml:space="preserve">2.2</w:t>
            </w:r>
          </w:p>
        </w:tc>
        <w:tc>
          <w:tcPr>
            <w:tcW w:type="dxa" w:w="7823"/>
            <w:shd w:fill="F7F9FC" w:color="auto" w:val="clear"/>
            <w:tcMar>
              <w:top w:type="dxa" w:w="60"/>
              <w:left w:type="dxa" w:w="100"/>
              <w:bottom w:type="dxa" w:w="60"/>
              <w:right w:type="dxa" w:w="100"/>
            </w:tcMar>
          </w:tcPr>
          <w:p>
            <w:pPr>
              <w:spacing w:after="40"/>
            </w:pPr>
            <w:r>
              <w:rPr>
                <w:sz w:val="18"/>
                <w:szCs w:val="18"/>
              </w:rPr>
              <w:t xml:space="preserve">Action Hub obtains an Entra auth token by client credentials using a federated credential (its Google service account) – no client secret.</w:t>
            </w:r>
          </w:p>
        </w:tc>
      </w:tr>
      <w:tr>
        <w:tc>
          <w:tcPr>
            <w:tcW w:type="dxa" w:w="1203"/>
            <w:tcMar>
              <w:top w:type="dxa" w:w="60"/>
              <w:left w:type="dxa" w:w="100"/>
              <w:bottom w:type="dxa" w:w="60"/>
              <w:right w:type="dxa" w:w="100"/>
            </w:tcMar>
          </w:tcPr>
          <w:p>
            <w:pPr>
              <w:spacing w:after="40"/>
            </w:pPr>
            <w:r>
              <w:rPr>
                <w:sz w:val="18"/>
                <w:szCs w:val="18"/>
              </w:rPr>
              <w:t xml:space="preserve">2.3–2.6</w:t>
            </w:r>
          </w:p>
        </w:tc>
        <w:tc>
          <w:tcPr>
            <w:tcW w:type="dxa" w:w="7823"/>
            <w:tcMar>
              <w:top w:type="dxa" w:w="60"/>
              <w:left w:type="dxa" w:w="100"/>
              <w:bottom w:type="dxa" w:w="60"/>
              <w:right w:type="dxa" w:w="100"/>
            </w:tcMar>
          </w:tcPr>
          <w:p>
            <w:pPr>
              <w:spacing w:after="40"/>
            </w:pPr>
            <w:r>
              <w:rPr>
                <w:sz w:val="18"/>
                <w:szCs w:val="18"/>
              </w:rPr>
              <w:t xml:space="preserve">Action Hub calls ID&amp;A via the Apigee proxy (lloyds-auth-int /v1/token-exchange) passing the Entra auth token; Apigee verifies it, ID&amp;A returns an Apigee-approved JWT (aud = writeback-api, scope = writeback.write, ≈15 min).</w:t>
            </w:r>
          </w:p>
        </w:tc>
      </w:tr>
      <w:tr>
        <w:tc>
          <w:tcPr>
            <w:tcW w:type="dxa" w:w="1203"/>
            <w:shd w:fill="F7F9FC" w:color="auto" w:val="clear"/>
            <w:tcMar>
              <w:top w:type="dxa" w:w="60"/>
              <w:left w:type="dxa" w:w="100"/>
              <w:bottom w:type="dxa" w:w="60"/>
              <w:right w:type="dxa" w:w="100"/>
            </w:tcMar>
          </w:tcPr>
          <w:p>
            <w:pPr>
              <w:spacing w:after="40"/>
            </w:pPr>
            <w:r>
              <w:rPr>
                <w:sz w:val="18"/>
                <w:szCs w:val="18"/>
              </w:rPr>
              <w:t xml:space="preserve">2.7</w:t>
            </w:r>
          </w:p>
        </w:tc>
        <w:tc>
          <w:tcPr>
            <w:tcW w:type="dxa" w:w="7823"/>
            <w:shd w:fill="F7F9FC" w:color="auto" w:val="clear"/>
            <w:tcMar>
              <w:top w:type="dxa" w:w="60"/>
              <w:left w:type="dxa" w:w="100"/>
              <w:bottom w:type="dxa" w:w="60"/>
              <w:right w:type="dxa" w:w="100"/>
            </w:tcMar>
          </w:tcPr>
          <w:p>
            <w:pPr>
              <w:spacing w:after="40"/>
            </w:pPr>
            <w:r>
              <w:rPr>
                <w:sz w:val="18"/>
                <w:szCs w:val="18"/>
              </w:rPr>
              <w:t xml:space="preserve">Action Hub caches the JWT until shortly before expiry.</w:t>
            </w:r>
          </w:p>
        </w:tc>
      </w:tr>
      <w:tr>
        <w:tc>
          <w:tcPr>
            <w:tcW w:type="dxa" w:w="1203"/>
            <w:tcMar>
              <w:top w:type="dxa" w:w="60"/>
              <w:left w:type="dxa" w:w="100"/>
              <w:bottom w:type="dxa" w:w="60"/>
              <w:right w:type="dxa" w:w="100"/>
            </w:tcMar>
          </w:tcPr>
          <w:p>
            <w:pPr>
              <w:spacing w:after="40"/>
            </w:pPr>
            <w:r>
              <w:rPr>
                <w:sz w:val="18"/>
                <w:szCs w:val="18"/>
              </w:rPr>
              <w:t xml:space="preserve">3.1–3.4</w:t>
            </w:r>
          </w:p>
        </w:tc>
        <w:tc>
          <w:tcPr>
            <w:tcW w:type="dxa" w:w="7823"/>
            <w:tcMar>
              <w:top w:type="dxa" w:w="60"/>
              <w:left w:type="dxa" w:w="100"/>
              <w:bottom w:type="dxa" w:w="60"/>
              <w:right w:type="dxa" w:w="100"/>
            </w:tcMar>
          </w:tcPr>
          <w:p>
            <w:pPr>
              <w:spacing w:after="40"/>
            </w:pPr>
            <w:r>
              <w:rPr>
                <w:sz w:val="18"/>
                <w:szCs w:val="18"/>
              </w:rPr>
              <w:t xml:space="preserve">Action Hub calls POST /v1/writeback with Bearer ID&amp;A JWT; Write-back API makes a JWKS call (lloyds-auth-int /v1/jwks, cached 10 min) and verifies signature, issuer, audience, expiry, scope. Invalid → 401.</w:t>
            </w:r>
          </w:p>
        </w:tc>
      </w:tr>
      <w:tr>
        <w:tc>
          <w:tcPr>
            <w:tcW w:type="dxa" w:w="1203"/>
            <w:shd w:fill="F7F9FC" w:color="auto" w:val="clear"/>
            <w:tcMar>
              <w:top w:type="dxa" w:w="60"/>
              <w:left w:type="dxa" w:w="100"/>
              <w:bottom w:type="dxa" w:w="60"/>
              <w:right w:type="dxa" w:w="100"/>
            </w:tcMar>
          </w:tcPr>
          <w:p>
            <w:pPr>
              <w:spacing w:after="40"/>
            </w:pPr>
            <w:r>
              <w:rPr>
                <w:sz w:val="18"/>
                <w:szCs w:val="18"/>
              </w:rPr>
              <w:t xml:space="preserve">4</w:t>
            </w:r>
          </w:p>
        </w:tc>
        <w:tc>
          <w:tcPr>
            <w:tcW w:type="dxa" w:w="7823"/>
            <w:shd w:fill="F7F9FC" w:color="auto" w:val="clear"/>
            <w:tcMar>
              <w:top w:type="dxa" w:w="60"/>
              <w:left w:type="dxa" w:w="100"/>
              <w:bottom w:type="dxa" w:w="60"/>
              <w:right w:type="dxa" w:w="100"/>
            </w:tcMar>
          </w:tcPr>
          <w:p>
            <w:pPr>
              <w:spacing w:after="40"/>
            </w:pPr>
            <w:r>
              <w:rPr>
                <w:sz w:val="18"/>
                <w:szCs w:val="18"/>
              </w:rPr>
              <w:t xml:space="preserve">User authorisation of entra_oid (account enabled and member of BQ-Writeback; fail-closed → 403). See OD-1.</w:t>
            </w:r>
          </w:p>
        </w:tc>
      </w:tr>
      <w:tr>
        <w:tc>
          <w:tcPr>
            <w:tcW w:type="dxa" w:w="1203"/>
            <w:tcMar>
              <w:top w:type="dxa" w:w="60"/>
              <w:left w:type="dxa" w:w="100"/>
              <w:bottom w:type="dxa" w:w="60"/>
              <w:right w:type="dxa" w:w="100"/>
            </w:tcMar>
          </w:tcPr>
          <w:p>
            <w:pPr>
              <w:spacing w:after="40"/>
            </w:pPr>
            <w:r>
              <w:rPr>
                <w:sz w:val="18"/>
                <w:szCs w:val="18"/>
              </w:rPr>
              <w:t xml:space="preserve">5</w:t>
            </w:r>
          </w:p>
        </w:tc>
        <w:tc>
          <w:tcPr>
            <w:tcW w:type="dxa" w:w="7823"/>
            <w:tcMar>
              <w:top w:type="dxa" w:w="60"/>
              <w:left w:type="dxa" w:w="100"/>
              <w:bottom w:type="dxa" w:w="60"/>
              <w:right w:type="dxa" w:w="100"/>
            </w:tcMar>
          </w:tcPr>
          <w:p>
            <w:pPr>
              <w:spacing w:after="40"/>
            </w:pPr>
            <w:r>
              <w:rPr>
                <w:sz w:val="18"/>
                <w:szCs w:val="18"/>
              </w:rPr>
              <w:t xml:space="preserve">Payload validated; request_id assigned as idempotency key.</w:t>
            </w:r>
          </w:p>
        </w:tc>
      </w:tr>
      <w:tr>
        <w:tc>
          <w:tcPr>
            <w:tcW w:type="dxa" w:w="1203"/>
            <w:shd w:fill="F7F9FC" w:color="auto" w:val="clear"/>
            <w:tcMar>
              <w:top w:type="dxa" w:w="60"/>
              <w:left w:type="dxa" w:w="100"/>
              <w:bottom w:type="dxa" w:w="60"/>
              <w:right w:type="dxa" w:w="100"/>
            </w:tcMar>
          </w:tcPr>
          <w:p>
            <w:pPr>
              <w:spacing w:after="40"/>
            </w:pPr>
            <w:r>
              <w:rPr>
                <w:sz w:val="18"/>
                <w:szCs w:val="18"/>
              </w:rPr>
              <w:t xml:space="preserve">6–8</w:t>
            </w:r>
          </w:p>
        </w:tc>
        <w:tc>
          <w:tcPr>
            <w:tcW w:type="dxa" w:w="7823"/>
            <w:shd w:fill="F7F9FC" w:color="auto" w:val="clear"/>
            <w:tcMar>
              <w:top w:type="dxa" w:w="60"/>
              <w:left w:type="dxa" w:w="100"/>
              <w:bottom w:type="dxa" w:w="60"/>
              <w:right w:type="dxa" w:w="100"/>
            </w:tcMar>
          </w:tcPr>
          <w:p>
            <w:pPr>
              <w:spacing w:after="40"/>
            </w:pPr>
            <w:r>
              <w:rPr>
                <w:sz w:val="18"/>
                <w:szCs w:val="18"/>
              </w:rPr>
              <w:t xml:space="preserve">Machine-to-machine: Write-back API calls the Writer with a Google ID token as writeback-api@; Writer verifies caller and inserts into BigQuery writeback_log as writer@ (Workload Identity), insertId = request_id.</w:t>
            </w:r>
          </w:p>
        </w:tc>
      </w:tr>
      <w:tr>
        <w:tc>
          <w:tcPr>
            <w:tcW w:type="dxa" w:w="1203"/>
            <w:tcMar>
              <w:top w:type="dxa" w:w="60"/>
              <w:left w:type="dxa" w:w="100"/>
              <w:bottom w:type="dxa" w:w="60"/>
              <w:right w:type="dxa" w:w="100"/>
            </w:tcMar>
          </w:tcPr>
          <w:p>
            <w:pPr>
              <w:spacing w:after="40"/>
            </w:pPr>
            <w:r>
              <w:rPr>
                <w:sz w:val="18"/>
                <w:szCs w:val="18"/>
              </w:rPr>
              <w:t xml:space="preserve">9–10</w:t>
            </w:r>
          </w:p>
        </w:tc>
        <w:tc>
          <w:tcPr>
            <w:tcW w:type="dxa" w:w="7823"/>
            <w:tcMar>
              <w:top w:type="dxa" w:w="60"/>
              <w:left w:type="dxa" w:w="100"/>
              <w:bottom w:type="dxa" w:w="60"/>
              <w:right w:type="dxa" w:w="100"/>
            </w:tcMar>
          </w:tcPr>
          <w:p>
            <w:pPr>
              <w:spacing w:after="40"/>
            </w:pPr>
            <w:r>
              <w:rPr>
                <w:sz w:val="18"/>
                <w:szCs w:val="18"/>
              </w:rPr>
              <w:t xml:space="preserve">200 back to Looker; dashboard refreshes and shows the new value via the current_state view.</w:t>
            </w:r>
          </w:p>
        </w:tc>
      </w:tr>
    </w:tbl>
    <w:p>
      <w:pPr>
        <w:pStyle w:val="Heading2"/>
      </w:pPr>
      <w:r>
        <w:t xml:space="preserve">2.4 Data design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2607"/>
        <w:gridCol w:w="4414"/>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Store</w:t>
            </w:r>
          </w:p>
        </w:tc>
        <w:tc>
          <w:tcPr>
            <w:tcW w:type="dxa" w:w="2607"/>
            <w:shd w:fill="1F4E79" w:color="auto" w:val="clear"/>
            <w:tcMar>
              <w:top w:type="dxa" w:w="60"/>
              <w:left w:type="dxa" w:w="100"/>
              <w:bottom w:type="dxa" w:w="60"/>
              <w:right w:type="dxa" w:w="100"/>
            </w:tcMar>
          </w:tcPr>
          <w:p>
            <w:pPr>
              <w:spacing w:after="40"/>
            </w:pPr>
            <w:r>
              <w:rPr>
                <w:b/>
                <w:bCs/>
                <w:color w:val="FFFFFF"/>
                <w:sz w:val="18"/>
                <w:szCs w:val="18"/>
              </w:rPr>
              <w:t xml:space="preserve">Object</w:t>
            </w:r>
          </w:p>
        </w:tc>
        <w:tc>
          <w:tcPr>
            <w:tcW w:type="dxa" w:w="4414"/>
            <w:shd w:fill="1F4E79" w:color="auto" w:val="clear"/>
            <w:tcMar>
              <w:top w:type="dxa" w:w="60"/>
              <w:left w:type="dxa" w:w="100"/>
              <w:bottom w:type="dxa" w:w="60"/>
              <w:right w:type="dxa" w:w="100"/>
            </w:tcMar>
          </w:tcPr>
          <w:p>
            <w:pPr>
              <w:spacing w:after="40"/>
            </w:pPr>
            <w:r>
              <w:rPr>
                <w:b/>
                <w:bCs/>
                <w:color w:val="FFFFFF"/>
                <w:sz w:val="18"/>
                <w:szCs w:val="18"/>
              </w:rPr>
              <w:t xml:space="preserve">Purpose</w:t>
            </w:r>
          </w:p>
        </w:tc>
      </w:tr>
      <w:tr>
        <w:tc>
          <w:tcPr>
            <w:tcW w:type="dxa" w:w="2005"/>
            <w:tcMar>
              <w:top w:type="dxa" w:w="60"/>
              <w:left w:type="dxa" w:w="100"/>
              <w:bottom w:type="dxa" w:w="60"/>
              <w:right w:type="dxa" w:w="100"/>
            </w:tcMar>
          </w:tcPr>
          <w:p>
            <w:pPr>
              <w:spacing w:after="40"/>
            </w:pPr>
            <w:r>
              <w:rPr>
                <w:sz w:val="18"/>
                <w:szCs w:val="18"/>
              </w:rPr>
              <w:t xml:space="preserve">Cloud SQL (tenancy)</w:t>
            </w:r>
          </w:p>
        </w:tc>
        <w:tc>
          <w:tcPr>
            <w:tcW w:type="dxa" w:w="2607"/>
            <w:tcMar>
              <w:top w:type="dxa" w:w="60"/>
              <w:left w:type="dxa" w:w="100"/>
              <w:bottom w:type="dxa" w:w="60"/>
              <w:right w:type="dxa" w:w="100"/>
            </w:tcMar>
          </w:tcPr>
          <w:p>
            <w:pPr>
              <w:spacing w:after="40"/>
            </w:pPr>
            <w:r>
              <w:rPr>
                <w:sz w:val="18"/>
                <w:szCs w:val="18"/>
              </w:rPr>
              <w:t xml:space="preserve">tenants</w:t>
            </w:r>
          </w:p>
        </w:tc>
        <w:tc>
          <w:tcPr>
            <w:tcW w:type="dxa" w:w="4414"/>
            <w:tcMar>
              <w:top w:type="dxa" w:w="60"/>
              <w:left w:type="dxa" w:w="100"/>
              <w:bottom w:type="dxa" w:w="60"/>
              <w:right w:type="dxa" w:w="100"/>
            </w:tcMar>
          </w:tcPr>
          <w:p>
            <w:pPr>
              <w:spacing w:after="40"/>
            </w:pPr>
            <w:r>
              <w:rPr>
                <w:sz w:val="18"/>
                <w:szCs w:val="18"/>
              </w:rPr>
              <w:t xml:space="preserve">Partner company, status (active / suspended / offboarded), home dashboard</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Cloud SQL (tenancy)</w:t>
            </w:r>
          </w:p>
        </w:tc>
        <w:tc>
          <w:tcPr>
            <w:tcW w:type="dxa" w:w="2607"/>
            <w:shd w:fill="F7F9FC" w:color="auto" w:val="clear"/>
            <w:tcMar>
              <w:top w:type="dxa" w:w="60"/>
              <w:left w:type="dxa" w:w="100"/>
              <w:bottom w:type="dxa" w:w="60"/>
              <w:right w:type="dxa" w:w="100"/>
            </w:tcMar>
          </w:tcPr>
          <w:p>
            <w:pPr>
              <w:spacing w:after="40"/>
            </w:pPr>
            <w:r>
              <w:rPr>
                <w:sz w:val="18"/>
                <w:szCs w:val="18"/>
              </w:rPr>
              <w:t xml:space="preserve">tenant_groups</w:t>
            </w:r>
          </w:p>
        </w:tc>
        <w:tc>
          <w:tcPr>
            <w:tcW w:type="dxa" w:w="4414"/>
            <w:shd w:fill="F7F9FC" w:color="auto" w:val="clear"/>
            <w:tcMar>
              <w:top w:type="dxa" w:w="60"/>
              <w:left w:type="dxa" w:w="100"/>
              <w:bottom w:type="dxa" w:w="60"/>
              <w:right w:type="dxa" w:w="100"/>
            </w:tcMar>
          </w:tcPr>
          <w:p>
            <w:pPr>
              <w:spacing w:after="40"/>
            </w:pPr>
            <w:r>
              <w:rPr>
                <w:sz w:val="18"/>
                <w:szCs w:val="18"/>
              </w:rPr>
              <w:t xml:space="preserve">Looker group per tenant / business group (one group belongs to one tenant)</w:t>
            </w:r>
          </w:p>
        </w:tc>
      </w:tr>
      <w:tr>
        <w:tc>
          <w:tcPr>
            <w:tcW w:type="dxa" w:w="2005"/>
            <w:tcMar>
              <w:top w:type="dxa" w:w="60"/>
              <w:left w:type="dxa" w:w="100"/>
              <w:bottom w:type="dxa" w:w="60"/>
              <w:right w:type="dxa" w:w="100"/>
            </w:tcMar>
          </w:tcPr>
          <w:p>
            <w:pPr>
              <w:spacing w:after="40"/>
            </w:pPr>
            <w:r>
              <w:rPr>
                <w:sz w:val="18"/>
                <w:szCs w:val="18"/>
              </w:rPr>
              <w:t xml:space="preserve">Cloud SQL (tenancy)</w:t>
            </w:r>
          </w:p>
        </w:tc>
        <w:tc>
          <w:tcPr>
            <w:tcW w:type="dxa" w:w="2607"/>
            <w:tcMar>
              <w:top w:type="dxa" w:w="60"/>
              <w:left w:type="dxa" w:w="100"/>
              <w:bottom w:type="dxa" w:w="60"/>
              <w:right w:type="dxa" w:w="100"/>
            </w:tcMar>
          </w:tcPr>
          <w:p>
            <w:pPr>
              <w:spacing w:after="40"/>
            </w:pPr>
            <w:r>
              <w:rPr>
                <w:sz w:val="18"/>
                <w:szCs w:val="18"/>
              </w:rPr>
              <w:t xml:space="preserve">group_folders</w:t>
            </w:r>
          </w:p>
        </w:tc>
        <w:tc>
          <w:tcPr>
            <w:tcW w:type="dxa" w:w="4414"/>
            <w:tcMar>
              <w:top w:type="dxa" w:w="60"/>
              <w:left w:type="dxa" w:w="100"/>
              <w:bottom w:type="dxa" w:w="60"/>
              <w:right w:type="dxa" w:w="100"/>
            </w:tcMar>
          </w:tcPr>
          <w:p>
            <w:pPr>
              <w:spacing w:after="40"/>
            </w:pPr>
            <w:r>
              <w:rPr>
                <w:sz w:val="18"/>
                <w:szCs w:val="18"/>
              </w:rPr>
              <w:t xml:space="preserve">Looker group → Looker folder (View); reconciled nightly with Looker</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Cloud SQL (tenancy)</w:t>
            </w:r>
          </w:p>
        </w:tc>
        <w:tc>
          <w:tcPr>
            <w:tcW w:type="dxa" w:w="2607"/>
            <w:shd w:fill="F7F9FC" w:color="auto" w:val="clear"/>
            <w:tcMar>
              <w:top w:type="dxa" w:w="60"/>
              <w:left w:type="dxa" w:w="100"/>
              <w:bottom w:type="dxa" w:w="60"/>
              <w:right w:type="dxa" w:w="100"/>
            </w:tcMar>
          </w:tcPr>
          <w:p>
            <w:pPr>
              <w:spacing w:after="40"/>
            </w:pPr>
            <w:r>
              <w:rPr>
                <w:sz w:val="18"/>
                <w:szCs w:val="18"/>
              </w:rPr>
              <w:t xml:space="preserve">role_capabilities</w:t>
            </w:r>
          </w:p>
        </w:tc>
        <w:tc>
          <w:tcPr>
            <w:tcW w:type="dxa" w:w="4414"/>
            <w:shd w:fill="F7F9FC" w:color="auto" w:val="clear"/>
            <w:tcMar>
              <w:top w:type="dxa" w:w="60"/>
              <w:left w:type="dxa" w:w="100"/>
              <w:bottom w:type="dxa" w:w="60"/>
              <w:right w:type="dxa" w:w="100"/>
            </w:tcMar>
          </w:tcPr>
          <w:p>
            <w:pPr>
              <w:spacing w:after="40"/>
            </w:pPr>
            <w:r>
              <w:rPr>
                <w:sz w:val="18"/>
                <w:szCs w:val="18"/>
              </w:rPr>
              <w:t xml:space="preserve">Role → Looker permissions and models; role rank for ceiling rule</w:t>
            </w:r>
          </w:p>
        </w:tc>
      </w:tr>
      <w:tr>
        <w:tc>
          <w:tcPr>
            <w:tcW w:type="dxa" w:w="2005"/>
            <w:tcMar>
              <w:top w:type="dxa" w:w="60"/>
              <w:left w:type="dxa" w:w="100"/>
              <w:bottom w:type="dxa" w:w="60"/>
              <w:right w:type="dxa" w:w="100"/>
            </w:tcMar>
          </w:tcPr>
          <w:p>
            <w:pPr>
              <w:spacing w:after="40"/>
            </w:pPr>
            <w:r>
              <w:rPr>
                <w:sz w:val="18"/>
                <w:szCs w:val="18"/>
              </w:rPr>
              <w:t xml:space="preserve">Cloud SQL (tenancy)</w:t>
            </w:r>
          </w:p>
        </w:tc>
        <w:tc>
          <w:tcPr>
            <w:tcW w:type="dxa" w:w="2607"/>
            <w:tcMar>
              <w:top w:type="dxa" w:w="60"/>
              <w:left w:type="dxa" w:w="100"/>
              <w:bottom w:type="dxa" w:w="60"/>
              <w:right w:type="dxa" w:w="100"/>
            </w:tcMar>
          </w:tcPr>
          <w:p>
            <w:pPr>
              <w:spacing w:after="40"/>
            </w:pPr>
            <w:r>
              <w:rPr>
                <w:sz w:val="18"/>
                <w:szCs w:val="18"/>
              </w:rPr>
              <w:t xml:space="preserve">partner_users</w:t>
            </w:r>
          </w:p>
        </w:tc>
        <w:tc>
          <w:tcPr>
            <w:tcW w:type="dxa" w:w="4414"/>
            <w:tcMar>
              <w:top w:type="dxa" w:w="60"/>
              <w:left w:type="dxa" w:w="100"/>
              <w:bottom w:type="dxa" w:w="60"/>
              <w:right w:type="dxa" w:w="100"/>
            </w:tcMar>
          </w:tcPr>
          <w:p>
            <w:pPr>
              <w:spacing w:after="40"/>
            </w:pPr>
            <w:r>
              <w:rPr>
                <w:sz w:val="18"/>
                <w:szCs w:val="18"/>
              </w:rPr>
              <w:t xml:space="preserve">partner_id (= JWT sub), tenant, status, max_role, business_groups, generated looker_external_user_id = partner_id::tenant_id</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Cloud SQL (tenancy)</w:t>
            </w:r>
          </w:p>
        </w:tc>
        <w:tc>
          <w:tcPr>
            <w:tcW w:type="dxa" w:w="2607"/>
            <w:shd w:fill="F7F9FC" w:color="auto" w:val="clear"/>
            <w:tcMar>
              <w:top w:type="dxa" w:w="60"/>
              <w:left w:type="dxa" w:w="100"/>
              <w:bottom w:type="dxa" w:w="60"/>
              <w:right w:type="dxa" w:w="100"/>
            </w:tcMar>
          </w:tcPr>
          <w:p>
            <w:pPr>
              <w:spacing w:after="40"/>
            </w:pPr>
            <w:r>
              <w:rPr>
                <w:sz w:val="18"/>
                <w:szCs w:val="18"/>
              </w:rPr>
              <w:t xml:space="preserve">partner_groups</w:t>
            </w:r>
          </w:p>
        </w:tc>
        <w:tc>
          <w:tcPr>
            <w:tcW w:type="dxa" w:w="4414"/>
            <w:shd w:fill="F7F9FC" w:color="auto" w:val="clear"/>
            <w:tcMar>
              <w:top w:type="dxa" w:w="60"/>
              <w:left w:type="dxa" w:w="100"/>
              <w:bottom w:type="dxa" w:w="60"/>
              <w:right w:type="dxa" w:w="100"/>
            </w:tcMar>
          </w:tcPr>
          <w:p>
            <w:pPr>
              <w:spacing w:after="40"/>
            </w:pPr>
            <w:r>
              <w:rPr>
                <w:sz w:val="18"/>
                <w:szCs w:val="18"/>
              </w:rPr>
              <w:t xml:space="preserve">User ↔ group membership with validity dates and change reference</w:t>
            </w:r>
          </w:p>
        </w:tc>
      </w:tr>
      <w:tr>
        <w:tc>
          <w:tcPr>
            <w:tcW w:type="dxa" w:w="2005"/>
            <w:tcMar>
              <w:top w:type="dxa" w:w="60"/>
              <w:left w:type="dxa" w:w="100"/>
              <w:bottom w:type="dxa" w:w="60"/>
              <w:right w:type="dxa" w:w="100"/>
            </w:tcMar>
          </w:tcPr>
          <w:p>
            <w:pPr>
              <w:spacing w:after="40"/>
            </w:pPr>
            <w:r>
              <w:rPr>
                <w:sz w:val="18"/>
                <w:szCs w:val="18"/>
              </w:rPr>
              <w:t xml:space="preserve">Cloud SQL (tenancy)</w:t>
            </w:r>
          </w:p>
        </w:tc>
        <w:tc>
          <w:tcPr>
            <w:tcW w:type="dxa" w:w="2607"/>
            <w:tcMar>
              <w:top w:type="dxa" w:w="60"/>
              <w:left w:type="dxa" w:w="100"/>
              <w:bottom w:type="dxa" w:w="60"/>
              <w:right w:type="dxa" w:w="100"/>
            </w:tcMar>
          </w:tcPr>
          <w:p>
            <w:pPr>
              <w:spacing w:after="40"/>
            </w:pPr>
            <w:r>
              <w:rPr>
                <w:sz w:val="18"/>
                <w:szCs w:val="18"/>
              </w:rPr>
              <w:t xml:space="preserve">registry_audit</w:t>
            </w:r>
          </w:p>
        </w:tc>
        <w:tc>
          <w:tcPr>
            <w:tcW w:type="dxa" w:w="4414"/>
            <w:tcMar>
              <w:top w:type="dxa" w:w="60"/>
              <w:left w:type="dxa" w:w="100"/>
              <w:bottom w:type="dxa" w:w="60"/>
              <w:right w:type="dxa" w:w="100"/>
            </w:tcMar>
          </w:tcPr>
          <w:p>
            <w:pPr>
              <w:spacing w:after="40"/>
            </w:pPr>
            <w:r>
              <w:rPr>
                <w:sz w:val="18"/>
                <w:szCs w:val="18"/>
              </w:rPr>
              <w:t xml:space="preserve">Append-only change history written by triggers</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BigQuery</w:t>
            </w:r>
          </w:p>
        </w:tc>
        <w:tc>
          <w:tcPr>
            <w:tcW w:type="dxa" w:w="2607"/>
            <w:shd w:fill="F7F9FC" w:color="auto" w:val="clear"/>
            <w:tcMar>
              <w:top w:type="dxa" w:w="60"/>
              <w:left w:type="dxa" w:w="100"/>
              <w:bottom w:type="dxa" w:w="60"/>
              <w:right w:type="dxa" w:w="100"/>
            </w:tcMar>
          </w:tcPr>
          <w:p>
            <w:pPr>
              <w:spacing w:after="40"/>
            </w:pPr>
            <w:r>
              <w:rPr>
                <w:sz w:val="18"/>
                <w:szCs w:val="18"/>
              </w:rPr>
              <w:t xml:space="preserve">Analytics datasets</w:t>
            </w:r>
          </w:p>
        </w:tc>
        <w:tc>
          <w:tcPr>
            <w:tcW w:type="dxa" w:w="4414"/>
            <w:shd w:fill="F7F9FC" w:color="auto" w:val="clear"/>
            <w:tcMar>
              <w:top w:type="dxa" w:w="60"/>
              <w:left w:type="dxa" w:w="100"/>
              <w:bottom w:type="dxa" w:w="60"/>
              <w:right w:type="dxa" w:w="100"/>
            </w:tcMar>
          </w:tcPr>
          <w:p>
            <w:pPr>
              <w:spacing w:after="40"/>
            </w:pPr>
            <w:r>
              <w:rPr>
                <w:sz w:val="18"/>
                <w:szCs w:val="18"/>
              </w:rPr>
              <w:t xml:space="preserve">Every row carries tenant_id and business_group (or joins account_access)</w:t>
            </w:r>
          </w:p>
        </w:tc>
      </w:tr>
      <w:tr>
        <w:tc>
          <w:tcPr>
            <w:tcW w:type="dxa" w:w="2005"/>
            <w:tcMar>
              <w:top w:type="dxa" w:w="60"/>
              <w:left w:type="dxa" w:w="100"/>
              <w:bottom w:type="dxa" w:w="60"/>
              <w:right w:type="dxa" w:w="100"/>
            </w:tcMar>
          </w:tcPr>
          <w:p>
            <w:pPr>
              <w:spacing w:after="40"/>
            </w:pPr>
            <w:r>
              <w:rPr>
                <w:sz w:val="18"/>
                <w:szCs w:val="18"/>
              </w:rPr>
              <w:t xml:space="preserve">BigQuery</w:t>
            </w:r>
          </w:p>
        </w:tc>
        <w:tc>
          <w:tcPr>
            <w:tcW w:type="dxa" w:w="2607"/>
            <w:tcMar>
              <w:top w:type="dxa" w:w="60"/>
              <w:left w:type="dxa" w:w="100"/>
              <w:bottom w:type="dxa" w:w="60"/>
              <w:right w:type="dxa" w:w="100"/>
            </w:tcMar>
          </w:tcPr>
          <w:p>
            <w:pPr>
              <w:spacing w:after="40"/>
            </w:pPr>
            <w:r>
              <w:rPr>
                <w:sz w:val="18"/>
                <w:szCs w:val="18"/>
              </w:rPr>
              <w:t xml:space="preserve">writeback.writeback_log / current_state</w:t>
            </w:r>
          </w:p>
        </w:tc>
        <w:tc>
          <w:tcPr>
            <w:tcW w:type="dxa" w:w="4414"/>
            <w:tcMar>
              <w:top w:type="dxa" w:w="60"/>
              <w:left w:type="dxa" w:w="100"/>
              <w:bottom w:type="dxa" w:w="60"/>
              <w:right w:type="dxa" w:w="100"/>
            </w:tcMar>
          </w:tcPr>
          <w:p>
            <w:pPr>
              <w:spacing w:after="40"/>
            </w:pPr>
            <w:r>
              <w:rPr>
                <w:sz w:val="18"/>
                <w:szCs w:val="18"/>
              </w:rPr>
              <w:t xml:space="preserve">Append-only write-back records (request_id, record_key, field, new_value, actor_oid, actor_email, written_at) and latest-value view</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BigQuery</w:t>
            </w:r>
          </w:p>
        </w:tc>
        <w:tc>
          <w:tcPr>
            <w:tcW w:type="dxa" w:w="2607"/>
            <w:shd w:fill="F7F9FC" w:color="auto" w:val="clear"/>
            <w:tcMar>
              <w:top w:type="dxa" w:w="60"/>
              <w:left w:type="dxa" w:w="100"/>
              <w:bottom w:type="dxa" w:w="60"/>
              <w:right w:type="dxa" w:w="100"/>
            </w:tcMar>
          </w:tcPr>
          <w:p>
            <w:pPr>
              <w:spacing w:after="40"/>
            </w:pPr>
            <w:r>
              <w:rPr>
                <w:sz w:val="18"/>
                <w:szCs w:val="18"/>
              </w:rPr>
              <w:t xml:space="preserve">Log sink dataset</w:t>
            </w:r>
          </w:p>
        </w:tc>
        <w:tc>
          <w:tcPr>
            <w:tcW w:type="dxa" w:w="4414"/>
            <w:shd w:fill="F7F9FC" w:color="auto" w:val="clear"/>
            <w:tcMar>
              <w:top w:type="dxa" w:w="60"/>
              <w:left w:type="dxa" w:w="100"/>
              <w:bottom w:type="dxa" w:w="60"/>
              <w:right w:type="dxa" w:w="100"/>
            </w:tcMar>
          </w:tcPr>
          <w:p>
            <w:pPr>
              <w:spacing w:after="40"/>
            </w:pPr>
            <w:r>
              <w:rPr>
                <w:sz w:val="18"/>
                <w:szCs w:val="18"/>
              </w:rPr>
              <w:t xml:space="preserve">Audit and usage logs for charge-back and analytics</w:t>
            </w:r>
          </w:p>
        </w:tc>
      </w:tr>
    </w:tbl>
    <w:p>
      <w:pPr>
        <w:pStyle w:val="Heading2"/>
      </w:pPr>
      <w:r>
        <w:t xml:space="preserve">2.5 Identity and access design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507"/>
        <w:gridCol w:w="3209"/>
        <w:gridCol w:w="3310"/>
      </w:tblGrid>
      <w:tr>
        <w:trPr>
          <w:tblHeader/>
        </w:trPr>
        <w:tc>
          <w:tcPr>
            <w:tcW w:type="dxa" w:w="2507"/>
            <w:shd w:fill="1F4E79" w:color="auto" w:val="clear"/>
            <w:tcMar>
              <w:top w:type="dxa" w:w="60"/>
              <w:left w:type="dxa" w:w="100"/>
              <w:bottom w:type="dxa" w:w="60"/>
              <w:right w:type="dxa" w:w="100"/>
            </w:tcMar>
          </w:tcPr>
          <w:p>
            <w:pPr>
              <w:spacing w:after="40"/>
            </w:pPr>
            <w:r>
              <w:rPr>
                <w:b/>
                <w:bCs/>
                <w:color w:val="FFFFFF"/>
                <w:sz w:val="18"/>
                <w:szCs w:val="18"/>
              </w:rPr>
              <w:t xml:space="preserve">Identity</w:t>
            </w:r>
          </w:p>
        </w:tc>
        <w:tc>
          <w:tcPr>
            <w:tcW w:type="dxa" w:w="3209"/>
            <w:shd w:fill="1F4E79" w:color="auto" w:val="clear"/>
            <w:tcMar>
              <w:top w:type="dxa" w:w="60"/>
              <w:left w:type="dxa" w:w="100"/>
              <w:bottom w:type="dxa" w:w="60"/>
              <w:right w:type="dxa" w:w="100"/>
            </w:tcMar>
          </w:tcPr>
          <w:p>
            <w:pPr>
              <w:spacing w:after="40"/>
            </w:pPr>
            <w:r>
              <w:rPr>
                <w:b/>
                <w:bCs/>
                <w:color w:val="FFFFFF"/>
                <w:sz w:val="18"/>
                <w:szCs w:val="18"/>
              </w:rPr>
              <w:t xml:space="preserve">Type</w:t>
            </w:r>
          </w:p>
        </w:tc>
        <w:tc>
          <w:tcPr>
            <w:tcW w:type="dxa" w:w="3310"/>
            <w:shd w:fill="1F4E79" w:color="auto" w:val="clear"/>
            <w:tcMar>
              <w:top w:type="dxa" w:w="60"/>
              <w:left w:type="dxa" w:w="100"/>
              <w:bottom w:type="dxa" w:w="60"/>
              <w:right w:type="dxa" w:w="100"/>
            </w:tcMar>
          </w:tcPr>
          <w:p>
            <w:pPr>
              <w:spacing w:after="40"/>
            </w:pPr>
            <w:r>
              <w:rPr>
                <w:b/>
                <w:bCs/>
                <w:color w:val="FFFFFF"/>
                <w:sz w:val="18"/>
                <w:szCs w:val="18"/>
              </w:rPr>
              <w:t xml:space="preserve">Used for</w:t>
            </w:r>
          </w:p>
        </w:tc>
      </w:tr>
      <w:tr>
        <w:tc>
          <w:tcPr>
            <w:tcW w:type="dxa" w:w="2507"/>
            <w:tcMar>
              <w:top w:type="dxa" w:w="60"/>
              <w:left w:type="dxa" w:w="100"/>
              <w:bottom w:type="dxa" w:w="60"/>
              <w:right w:type="dxa" w:w="100"/>
            </w:tcMar>
          </w:tcPr>
          <w:p>
            <w:pPr>
              <w:spacing w:after="40"/>
            </w:pPr>
            <w:r>
              <w:rPr>
                <w:sz w:val="18"/>
                <w:szCs w:val="18"/>
              </w:rPr>
              <w:t xml:space="preserve">Partner user (PRT-…)</w:t>
            </w:r>
          </w:p>
        </w:tc>
        <w:tc>
          <w:tcPr>
            <w:tcW w:type="dxa" w:w="3209"/>
            <w:tcMar>
              <w:top w:type="dxa" w:w="60"/>
              <w:left w:type="dxa" w:w="100"/>
              <w:bottom w:type="dxa" w:w="60"/>
              <w:right w:type="dxa" w:w="100"/>
            </w:tcMar>
          </w:tcPr>
          <w:p>
            <w:pPr>
              <w:spacing w:after="40"/>
            </w:pPr>
            <w:r>
              <w:rPr>
                <w:sz w:val="18"/>
                <w:szCs w:val="18"/>
              </w:rPr>
              <w:t xml:space="preserve">ID&amp;A identity (OSIS)</w:t>
            </w:r>
          </w:p>
        </w:tc>
        <w:tc>
          <w:tcPr>
            <w:tcW w:type="dxa" w:w="3310"/>
            <w:tcMar>
              <w:top w:type="dxa" w:w="60"/>
              <w:left w:type="dxa" w:w="100"/>
              <w:bottom w:type="dxa" w:w="60"/>
              <w:right w:type="dxa" w:w="100"/>
            </w:tcMar>
          </w:tcPr>
          <w:p>
            <w:pPr>
              <w:spacing w:after="40"/>
            </w:pPr>
            <w:r>
              <w:rPr>
                <w:sz w:val="18"/>
                <w:szCs w:val="18"/>
              </w:rPr>
              <w:t xml:space="preserve">WebApp login; JWT sub; Looker embed user via external_user_id</w:t>
            </w:r>
          </w:p>
        </w:tc>
      </w:tr>
      <w:tr>
        <w:tc>
          <w:tcPr>
            <w:tcW w:type="dxa" w:w="2507"/>
            <w:shd w:fill="F7F9FC" w:color="auto" w:val="clear"/>
            <w:tcMar>
              <w:top w:type="dxa" w:w="60"/>
              <w:left w:type="dxa" w:w="100"/>
              <w:bottom w:type="dxa" w:w="60"/>
              <w:right w:type="dxa" w:w="100"/>
            </w:tcMar>
          </w:tcPr>
          <w:p>
            <w:pPr>
              <w:spacing w:after="40"/>
            </w:pPr>
            <w:r>
              <w:rPr>
                <w:sz w:val="18"/>
                <w:szCs w:val="18"/>
              </w:rPr>
              <w:t xml:space="preserve">Internal user</w:t>
            </w:r>
          </w:p>
        </w:tc>
        <w:tc>
          <w:tcPr>
            <w:tcW w:type="dxa" w:w="3209"/>
            <w:shd w:fill="F7F9FC" w:color="auto" w:val="clear"/>
            <w:tcMar>
              <w:top w:type="dxa" w:w="60"/>
              <w:left w:type="dxa" w:w="100"/>
              <w:bottom w:type="dxa" w:w="60"/>
              <w:right w:type="dxa" w:w="100"/>
            </w:tcMar>
          </w:tcPr>
          <w:p>
            <w:pPr>
              <w:spacing w:after="40"/>
            </w:pPr>
            <w:r>
              <w:rPr>
                <w:sz w:val="18"/>
                <w:szCs w:val="18"/>
              </w:rPr>
              <w:t xml:space="preserve">Entra ID (SAML to Looker)</w:t>
            </w:r>
          </w:p>
        </w:tc>
        <w:tc>
          <w:tcPr>
            <w:tcW w:type="dxa" w:w="3310"/>
            <w:shd w:fill="F7F9FC" w:color="auto" w:val="clear"/>
            <w:tcMar>
              <w:top w:type="dxa" w:w="60"/>
              <w:left w:type="dxa" w:w="100"/>
              <w:bottom w:type="dxa" w:w="60"/>
              <w:right w:type="dxa" w:w="100"/>
            </w:tcMar>
          </w:tcPr>
          <w:p>
            <w:pPr>
              <w:spacing w:after="40"/>
            </w:pPr>
            <w:r>
              <w:rPr>
                <w:sz w:val="18"/>
                <w:szCs w:val="18"/>
              </w:rPr>
              <w:t xml:space="preserve">Looker internal access and write-back; entra_oid attribute</w:t>
            </w:r>
          </w:p>
        </w:tc>
      </w:tr>
      <w:tr>
        <w:tc>
          <w:tcPr>
            <w:tcW w:type="dxa" w:w="2507"/>
            <w:tcMar>
              <w:top w:type="dxa" w:w="60"/>
              <w:left w:type="dxa" w:w="100"/>
              <w:bottom w:type="dxa" w:w="60"/>
              <w:right w:type="dxa" w:w="100"/>
            </w:tcMar>
          </w:tcPr>
          <w:p>
            <w:pPr>
              <w:spacing w:after="40"/>
            </w:pPr>
            <w:r>
              <w:rPr>
                <w:sz w:val="18"/>
                <w:szCs w:val="18"/>
              </w:rPr>
              <w:t xml:space="preserve">looker-ro / looker-embed</w:t>
            </w:r>
          </w:p>
        </w:tc>
        <w:tc>
          <w:tcPr>
            <w:tcW w:type="dxa" w:w="3209"/>
            <w:tcMar>
              <w:top w:type="dxa" w:w="60"/>
              <w:left w:type="dxa" w:w="100"/>
              <w:bottom w:type="dxa" w:w="60"/>
              <w:right w:type="dxa" w:w="100"/>
            </w:tcMar>
          </w:tcPr>
          <w:p>
            <w:pPr>
              <w:spacing w:after="40"/>
            </w:pPr>
            <w:r>
              <w:rPr>
                <w:sz w:val="18"/>
                <w:szCs w:val="18"/>
              </w:rPr>
              <w:t xml:space="preserve">Looker API service users (client id/secret in Secret Manager)</w:t>
            </w:r>
          </w:p>
        </w:tc>
        <w:tc>
          <w:tcPr>
            <w:tcW w:type="dxa" w:w="3310"/>
            <w:tcMar>
              <w:top w:type="dxa" w:w="60"/>
              <w:left w:type="dxa" w:w="100"/>
              <w:bottom w:type="dxa" w:w="60"/>
              <w:right w:type="dxa" w:w="100"/>
            </w:tcMar>
          </w:tcPr>
          <w:p>
            <w:pPr>
              <w:spacing w:after="40"/>
            </w:pPr>
            <w:r>
              <w:rPr>
                <w:sz w:val="18"/>
                <w:szCs w:val="18"/>
              </w:rPr>
              <w:t xml:space="preserve">List folder dashboards / create signed URLs</w:t>
            </w:r>
          </w:p>
        </w:tc>
      </w:tr>
      <w:tr>
        <w:tc>
          <w:tcPr>
            <w:tcW w:type="dxa" w:w="2507"/>
            <w:shd w:fill="F7F9FC" w:color="auto" w:val="clear"/>
            <w:tcMar>
              <w:top w:type="dxa" w:w="60"/>
              <w:left w:type="dxa" w:w="100"/>
              <w:bottom w:type="dxa" w:w="60"/>
              <w:right w:type="dxa" w:w="100"/>
            </w:tcMar>
          </w:tcPr>
          <w:p>
            <w:pPr>
              <w:spacing w:after="40"/>
            </w:pPr>
            <w:r>
              <w:rPr>
                <w:sz w:val="18"/>
                <w:szCs w:val="18"/>
              </w:rPr>
              <w:t xml:space="preserve">partner-details@, onboarding@</w:t>
            </w:r>
          </w:p>
        </w:tc>
        <w:tc>
          <w:tcPr>
            <w:tcW w:type="dxa" w:w="3209"/>
            <w:shd w:fill="F7F9FC" w:color="auto" w:val="clear"/>
            <w:tcMar>
              <w:top w:type="dxa" w:w="60"/>
              <w:left w:type="dxa" w:w="100"/>
              <w:bottom w:type="dxa" w:w="60"/>
              <w:right w:type="dxa" w:w="100"/>
            </w:tcMar>
          </w:tcPr>
          <w:p>
            <w:pPr>
              <w:spacing w:after="40"/>
            </w:pPr>
            <w:r>
              <w:rPr>
                <w:sz w:val="18"/>
                <w:szCs w:val="18"/>
              </w:rPr>
              <w:t xml:space="preserve">GSA + IAM DB users</w:t>
            </w:r>
          </w:p>
        </w:tc>
        <w:tc>
          <w:tcPr>
            <w:tcW w:type="dxa" w:w="3310"/>
            <w:shd w:fill="F7F9FC" w:color="auto" w:val="clear"/>
            <w:tcMar>
              <w:top w:type="dxa" w:w="60"/>
              <w:left w:type="dxa" w:w="100"/>
              <w:bottom w:type="dxa" w:w="60"/>
              <w:right w:type="dxa" w:w="100"/>
            </w:tcMar>
          </w:tcPr>
          <w:p>
            <w:pPr>
              <w:spacing w:after="40"/>
            </w:pPr>
            <w:r>
              <w:rPr>
                <w:sz w:val="18"/>
                <w:szCs w:val="18"/>
              </w:rPr>
              <w:t xml:space="preserve">Read (data_api) / write (onboarding) Tenant Registry</w:t>
            </w:r>
          </w:p>
        </w:tc>
      </w:tr>
      <w:tr>
        <w:tc>
          <w:tcPr>
            <w:tcW w:type="dxa" w:w="2507"/>
            <w:tcMar>
              <w:top w:type="dxa" w:w="60"/>
              <w:left w:type="dxa" w:w="100"/>
              <w:bottom w:type="dxa" w:w="60"/>
              <w:right w:type="dxa" w:w="100"/>
            </w:tcMar>
          </w:tcPr>
          <w:p>
            <w:pPr>
              <w:spacing w:after="40"/>
            </w:pPr>
            <w:r>
              <w:rPr>
                <w:sz w:val="18"/>
                <w:szCs w:val="18"/>
              </w:rPr>
              <w:t xml:space="preserve">action-hub@</w:t>
            </w:r>
          </w:p>
        </w:tc>
        <w:tc>
          <w:tcPr>
            <w:tcW w:type="dxa" w:w="3209"/>
            <w:tcMar>
              <w:top w:type="dxa" w:w="60"/>
              <w:left w:type="dxa" w:w="100"/>
              <w:bottom w:type="dxa" w:w="60"/>
              <w:right w:type="dxa" w:w="100"/>
            </w:tcMar>
          </w:tcPr>
          <w:p>
            <w:pPr>
              <w:spacing w:after="40"/>
            </w:pPr>
            <w:r>
              <w:rPr>
                <w:sz w:val="18"/>
                <w:szCs w:val="18"/>
              </w:rPr>
              <w:t xml:space="preserve">GSA via Workload Identity; federated to Entra app looker-writeback-action-hub</w:t>
            </w:r>
          </w:p>
        </w:tc>
        <w:tc>
          <w:tcPr>
            <w:tcW w:type="dxa" w:w="3310"/>
            <w:tcMar>
              <w:top w:type="dxa" w:w="60"/>
              <w:left w:type="dxa" w:w="100"/>
              <w:bottom w:type="dxa" w:w="60"/>
              <w:right w:type="dxa" w:w="100"/>
            </w:tcMar>
          </w:tcPr>
          <w:p>
            <w:pPr>
              <w:spacing w:after="40"/>
            </w:pPr>
            <w:r>
              <w:rPr>
                <w:sz w:val="18"/>
                <w:szCs w:val="18"/>
              </w:rPr>
              <w:t xml:space="preserve">Entra auth token → ID&amp;A JWT</w:t>
            </w:r>
          </w:p>
        </w:tc>
      </w:tr>
      <w:tr>
        <w:tc>
          <w:tcPr>
            <w:tcW w:type="dxa" w:w="2507"/>
            <w:shd w:fill="F7F9FC" w:color="auto" w:val="clear"/>
            <w:tcMar>
              <w:top w:type="dxa" w:w="60"/>
              <w:left w:type="dxa" w:w="100"/>
              <w:bottom w:type="dxa" w:w="60"/>
              <w:right w:type="dxa" w:w="100"/>
            </w:tcMar>
          </w:tcPr>
          <w:p>
            <w:pPr>
              <w:spacing w:after="40"/>
            </w:pPr>
            <w:r>
              <w:rPr>
                <w:sz w:val="18"/>
                <w:szCs w:val="18"/>
              </w:rPr>
              <w:t xml:space="preserve">writeback-api@, writer@</w:t>
            </w:r>
          </w:p>
        </w:tc>
        <w:tc>
          <w:tcPr>
            <w:tcW w:type="dxa" w:w="3209"/>
            <w:shd w:fill="F7F9FC" w:color="auto" w:val="clear"/>
            <w:tcMar>
              <w:top w:type="dxa" w:w="60"/>
              <w:left w:type="dxa" w:w="100"/>
              <w:bottom w:type="dxa" w:w="60"/>
              <w:right w:type="dxa" w:w="100"/>
            </w:tcMar>
          </w:tcPr>
          <w:p>
            <w:pPr>
              <w:spacing w:after="40"/>
            </w:pPr>
            <w:r>
              <w:rPr>
                <w:sz w:val="18"/>
                <w:szCs w:val="18"/>
              </w:rPr>
              <w:t xml:space="preserve">GSA via Workload Identity</w:t>
            </w:r>
          </w:p>
        </w:tc>
        <w:tc>
          <w:tcPr>
            <w:tcW w:type="dxa" w:w="3310"/>
            <w:shd w:fill="F7F9FC" w:color="auto" w:val="clear"/>
            <w:tcMar>
              <w:top w:type="dxa" w:w="60"/>
              <w:left w:type="dxa" w:w="100"/>
              <w:bottom w:type="dxa" w:w="60"/>
              <w:right w:type="dxa" w:w="100"/>
            </w:tcMar>
          </w:tcPr>
          <w:p>
            <w:pPr>
              <w:spacing w:after="40"/>
            </w:pPr>
            <w:r>
              <w:rPr>
                <w:sz w:val="18"/>
                <w:szCs w:val="18"/>
              </w:rPr>
              <w:t xml:space="preserve">M2M call to Writer; insert into writeback_log</w:t>
            </w:r>
          </w:p>
        </w:tc>
      </w:tr>
    </w:tbl>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7"/>
        <w:gridCol w:w="2206"/>
        <w:gridCol w:w="1805"/>
        <w:gridCol w:w="2408"/>
      </w:tblGrid>
      <w:tr>
        <w:trPr>
          <w:tblHeader/>
        </w:trPr>
        <w:tc>
          <w:tcPr>
            <w:tcW w:type="dxa" w:w="2607"/>
            <w:shd w:fill="1F4E79" w:color="auto" w:val="clear"/>
            <w:tcMar>
              <w:top w:type="dxa" w:w="60"/>
              <w:left w:type="dxa" w:w="100"/>
              <w:bottom w:type="dxa" w:w="60"/>
              <w:right w:type="dxa" w:w="100"/>
            </w:tcMar>
          </w:tcPr>
          <w:p>
            <w:pPr>
              <w:spacing w:after="40"/>
            </w:pPr>
            <w:r>
              <w:rPr>
                <w:b/>
                <w:bCs/>
                <w:color w:val="FFFFFF"/>
                <w:sz w:val="18"/>
                <w:szCs w:val="18"/>
              </w:rPr>
              <w:t xml:space="preserve">Token / secret</w:t>
            </w:r>
          </w:p>
        </w:tc>
        <w:tc>
          <w:tcPr>
            <w:tcW w:type="dxa" w:w="2206"/>
            <w:shd w:fill="1F4E79" w:color="auto" w:val="clear"/>
            <w:tcMar>
              <w:top w:type="dxa" w:w="60"/>
              <w:left w:type="dxa" w:w="100"/>
              <w:bottom w:type="dxa" w:w="60"/>
              <w:right w:type="dxa" w:w="100"/>
            </w:tcMar>
          </w:tcPr>
          <w:p>
            <w:pPr>
              <w:spacing w:after="40"/>
            </w:pPr>
            <w:r>
              <w:rPr>
                <w:b/>
                <w:bCs/>
                <w:color w:val="FFFFFF"/>
                <w:sz w:val="18"/>
                <w:szCs w:val="18"/>
              </w:rPr>
              <w:t xml:space="preserve">Issuer</w:t>
            </w:r>
          </w:p>
        </w:tc>
        <w:tc>
          <w:tcPr>
            <w:tcW w:type="dxa" w:w="1805"/>
            <w:shd w:fill="1F4E79" w:color="auto" w:val="clear"/>
            <w:tcMar>
              <w:top w:type="dxa" w:w="60"/>
              <w:left w:type="dxa" w:w="100"/>
              <w:bottom w:type="dxa" w:w="60"/>
              <w:right w:type="dxa" w:w="100"/>
            </w:tcMar>
          </w:tcPr>
          <w:p>
            <w:pPr>
              <w:spacing w:after="40"/>
            </w:pPr>
            <w:r>
              <w:rPr>
                <w:b/>
                <w:bCs/>
                <w:color w:val="FFFFFF"/>
                <w:sz w:val="18"/>
                <w:szCs w:val="18"/>
              </w:rPr>
              <w:t xml:space="preserve">Lifetime</w:t>
            </w:r>
          </w:p>
        </w:tc>
        <w:tc>
          <w:tcPr>
            <w:tcW w:type="dxa" w:w="2408"/>
            <w:shd w:fill="1F4E79" w:color="auto" w:val="clear"/>
            <w:tcMar>
              <w:top w:type="dxa" w:w="60"/>
              <w:left w:type="dxa" w:w="100"/>
              <w:bottom w:type="dxa" w:w="60"/>
              <w:right w:type="dxa" w:w="100"/>
            </w:tcMar>
          </w:tcPr>
          <w:p>
            <w:pPr>
              <w:spacing w:after="40"/>
            </w:pPr>
            <w:r>
              <w:rPr>
                <w:b/>
                <w:bCs/>
                <w:color w:val="FFFFFF"/>
                <w:sz w:val="18"/>
                <w:szCs w:val="18"/>
              </w:rPr>
              <w:t xml:space="preserve">Validated by</w:t>
            </w:r>
          </w:p>
        </w:tc>
      </w:tr>
      <w:tr>
        <w:tc>
          <w:tcPr>
            <w:tcW w:type="dxa" w:w="2607"/>
            <w:tcMar>
              <w:top w:type="dxa" w:w="60"/>
              <w:left w:type="dxa" w:w="100"/>
              <w:bottom w:type="dxa" w:w="60"/>
              <w:right w:type="dxa" w:w="100"/>
            </w:tcMar>
          </w:tcPr>
          <w:p>
            <w:pPr>
              <w:spacing w:after="40"/>
            </w:pPr>
            <w:r>
              <w:rPr>
                <w:sz w:val="18"/>
                <w:szCs w:val="18"/>
              </w:rPr>
              <w:t xml:space="preserve">Partner JWT</w:t>
            </w:r>
          </w:p>
        </w:tc>
        <w:tc>
          <w:tcPr>
            <w:tcW w:type="dxa" w:w="2206"/>
            <w:tcMar>
              <w:top w:type="dxa" w:w="60"/>
              <w:left w:type="dxa" w:w="100"/>
              <w:bottom w:type="dxa" w:w="60"/>
              <w:right w:type="dxa" w:w="100"/>
            </w:tcMar>
          </w:tcPr>
          <w:p>
            <w:pPr>
              <w:spacing w:after="40"/>
            </w:pPr>
            <w:r>
              <w:rPr>
                <w:sz w:val="18"/>
                <w:szCs w:val="18"/>
              </w:rPr>
              <w:t xml:space="preserve">ID&amp;A</w:t>
            </w:r>
          </w:p>
        </w:tc>
        <w:tc>
          <w:tcPr>
            <w:tcW w:type="dxa" w:w="1805"/>
            <w:tcMar>
              <w:top w:type="dxa" w:w="60"/>
              <w:left w:type="dxa" w:w="100"/>
              <w:bottom w:type="dxa" w:w="60"/>
              <w:right w:type="dxa" w:w="100"/>
            </w:tcMar>
          </w:tcPr>
          <w:p>
            <w:pPr>
              <w:spacing w:after="40"/>
            </w:pPr>
            <w:r>
              <w:rPr>
                <w:sz w:val="18"/>
                <w:szCs w:val="18"/>
              </w:rPr>
              <w:t xml:space="preserve">≤ 1 h</w:t>
            </w:r>
          </w:p>
        </w:tc>
        <w:tc>
          <w:tcPr>
            <w:tcW w:type="dxa" w:w="2408"/>
            <w:tcMar>
              <w:top w:type="dxa" w:w="60"/>
              <w:left w:type="dxa" w:w="100"/>
              <w:bottom w:type="dxa" w:w="60"/>
              <w:right w:type="dxa" w:w="100"/>
            </w:tcMar>
          </w:tcPr>
          <w:p>
            <w:pPr>
              <w:spacing w:after="40"/>
            </w:pPr>
            <w:r>
              <w:rPr>
                <w:sz w:val="18"/>
                <w:szCs w:val="18"/>
              </w:rPr>
              <w:t xml:space="preserve">ID&amp;A via Apigee + Looker API (JWKS)</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Signed embed URL</w:t>
            </w:r>
          </w:p>
        </w:tc>
        <w:tc>
          <w:tcPr>
            <w:tcW w:type="dxa" w:w="2206"/>
            <w:shd w:fill="F7F9FC" w:color="auto" w:val="clear"/>
            <w:tcMar>
              <w:top w:type="dxa" w:w="60"/>
              <w:left w:type="dxa" w:w="100"/>
              <w:bottom w:type="dxa" w:w="60"/>
              <w:right w:type="dxa" w:w="100"/>
            </w:tcMar>
          </w:tcPr>
          <w:p>
            <w:pPr>
              <w:spacing w:after="40"/>
            </w:pPr>
            <w:r>
              <w:rPr>
                <w:sz w:val="18"/>
                <w:szCs w:val="18"/>
              </w:rPr>
              <w:t xml:space="preserve">Looker (embed secret)</w:t>
            </w:r>
          </w:p>
        </w:tc>
        <w:tc>
          <w:tcPr>
            <w:tcW w:type="dxa" w:w="1805"/>
            <w:shd w:fill="F7F9FC" w:color="auto" w:val="clear"/>
            <w:tcMar>
              <w:top w:type="dxa" w:w="60"/>
              <w:left w:type="dxa" w:w="100"/>
              <w:bottom w:type="dxa" w:w="60"/>
              <w:right w:type="dxa" w:w="100"/>
            </w:tcMar>
          </w:tcPr>
          <w:p>
            <w:pPr>
              <w:spacing w:after="40"/>
            </w:pPr>
            <w:r>
              <w:rPr>
                <w:sz w:val="18"/>
                <w:szCs w:val="18"/>
              </w:rPr>
              <w:t xml:space="preserve">Single use, minutes</w:t>
            </w:r>
          </w:p>
        </w:tc>
        <w:tc>
          <w:tcPr>
            <w:tcW w:type="dxa" w:w="2408"/>
            <w:shd w:fill="F7F9FC" w:color="auto" w:val="clear"/>
            <w:tcMar>
              <w:top w:type="dxa" w:w="60"/>
              <w:left w:type="dxa" w:w="100"/>
              <w:bottom w:type="dxa" w:w="60"/>
              <w:right w:type="dxa" w:w="100"/>
            </w:tcMar>
          </w:tcPr>
          <w:p>
            <w:pPr>
              <w:spacing w:after="40"/>
            </w:pPr>
            <w:r>
              <w:rPr>
                <w:sz w:val="18"/>
                <w:szCs w:val="18"/>
              </w:rPr>
              <w:t xml:space="preserve">Looker (signature, nonce, time, domain)</w:t>
            </w:r>
          </w:p>
        </w:tc>
      </w:tr>
      <w:tr>
        <w:tc>
          <w:tcPr>
            <w:tcW w:type="dxa" w:w="2607"/>
            <w:tcMar>
              <w:top w:type="dxa" w:w="60"/>
              <w:left w:type="dxa" w:w="100"/>
              <w:bottom w:type="dxa" w:w="60"/>
              <w:right w:type="dxa" w:w="100"/>
            </w:tcMar>
          </w:tcPr>
          <w:p>
            <w:pPr>
              <w:spacing w:after="40"/>
            </w:pPr>
            <w:r>
              <w:rPr>
                <w:sz w:val="18"/>
                <w:szCs w:val="18"/>
              </w:rPr>
              <w:t xml:space="preserve">Looker embed session</w:t>
            </w:r>
          </w:p>
        </w:tc>
        <w:tc>
          <w:tcPr>
            <w:tcW w:type="dxa" w:w="2206"/>
            <w:tcMar>
              <w:top w:type="dxa" w:w="60"/>
              <w:left w:type="dxa" w:w="100"/>
              <w:bottom w:type="dxa" w:w="60"/>
              <w:right w:type="dxa" w:w="100"/>
            </w:tcMar>
          </w:tcPr>
          <w:p>
            <w:pPr>
              <w:spacing w:after="40"/>
            </w:pPr>
            <w:r>
              <w:rPr>
                <w:sz w:val="18"/>
                <w:szCs w:val="18"/>
              </w:rPr>
              <w:t xml:space="preserve">Looker</w:t>
            </w:r>
          </w:p>
        </w:tc>
        <w:tc>
          <w:tcPr>
            <w:tcW w:type="dxa" w:w="1805"/>
            <w:tcMar>
              <w:top w:type="dxa" w:w="60"/>
              <w:left w:type="dxa" w:w="100"/>
              <w:bottom w:type="dxa" w:w="60"/>
              <w:right w:type="dxa" w:w="100"/>
            </w:tcMar>
          </w:tcPr>
          <w:p>
            <w:pPr>
              <w:spacing w:after="40"/>
            </w:pPr>
            <w:r>
              <w:rPr>
                <w:sz w:val="18"/>
                <w:szCs w:val="18"/>
              </w:rPr>
              <w:t xml:space="preserve">3600 s</w:t>
            </w:r>
          </w:p>
        </w:tc>
        <w:tc>
          <w:tcPr>
            <w:tcW w:type="dxa" w:w="2408"/>
            <w:tcMar>
              <w:top w:type="dxa" w:w="60"/>
              <w:left w:type="dxa" w:w="100"/>
              <w:bottom w:type="dxa" w:w="60"/>
              <w:right w:type="dxa" w:w="100"/>
            </w:tcMar>
          </w:tcPr>
          <w:p>
            <w:pPr>
              <w:spacing w:after="40"/>
            </w:pPr>
            <w:r>
              <w:rPr>
                <w:sz w:val="18"/>
                <w:szCs w:val="18"/>
              </w:rPr>
              <w:t xml:space="preserve">Looker</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Looker action secret</w:t>
            </w:r>
          </w:p>
        </w:tc>
        <w:tc>
          <w:tcPr>
            <w:tcW w:type="dxa" w:w="2206"/>
            <w:shd w:fill="F7F9FC" w:color="auto" w:val="clear"/>
            <w:tcMar>
              <w:top w:type="dxa" w:w="60"/>
              <w:left w:type="dxa" w:w="100"/>
              <w:bottom w:type="dxa" w:w="60"/>
              <w:right w:type="dxa" w:w="100"/>
            </w:tcMar>
          </w:tcPr>
          <w:p>
            <w:pPr>
              <w:spacing w:after="40"/>
            </w:pPr>
            <w:r>
              <w:rPr>
                <w:sz w:val="18"/>
                <w:szCs w:val="18"/>
              </w:rPr>
              <w:t xml:space="preserve">Secret Manager</w:t>
            </w:r>
          </w:p>
        </w:tc>
        <w:tc>
          <w:tcPr>
            <w:tcW w:type="dxa" w:w="1805"/>
            <w:shd w:fill="F7F9FC" w:color="auto" w:val="clear"/>
            <w:tcMar>
              <w:top w:type="dxa" w:w="60"/>
              <w:left w:type="dxa" w:w="100"/>
              <w:bottom w:type="dxa" w:w="60"/>
              <w:right w:type="dxa" w:w="100"/>
            </w:tcMar>
          </w:tcPr>
          <w:p>
            <w:pPr>
              <w:spacing w:after="40"/>
            </w:pPr>
            <w:r>
              <w:rPr>
                <w:sz w:val="18"/>
                <w:szCs w:val="18"/>
              </w:rPr>
              <w:t xml:space="preserve">Rotated per policy</w:t>
            </w:r>
          </w:p>
        </w:tc>
        <w:tc>
          <w:tcPr>
            <w:tcW w:type="dxa" w:w="2408"/>
            <w:shd w:fill="F7F9FC" w:color="auto" w:val="clear"/>
            <w:tcMar>
              <w:top w:type="dxa" w:w="60"/>
              <w:left w:type="dxa" w:w="100"/>
              <w:bottom w:type="dxa" w:w="60"/>
              <w:right w:type="dxa" w:w="100"/>
            </w:tcMar>
          </w:tcPr>
          <w:p>
            <w:pPr>
              <w:spacing w:after="40"/>
            </w:pPr>
            <w:r>
              <w:rPr>
                <w:sz w:val="18"/>
                <w:szCs w:val="18"/>
              </w:rPr>
              <w:t xml:space="preserve">Action Hub</w:t>
            </w:r>
          </w:p>
        </w:tc>
      </w:tr>
      <w:tr>
        <w:tc>
          <w:tcPr>
            <w:tcW w:type="dxa" w:w="2607"/>
            <w:tcMar>
              <w:top w:type="dxa" w:w="60"/>
              <w:left w:type="dxa" w:w="100"/>
              <w:bottom w:type="dxa" w:w="60"/>
              <w:right w:type="dxa" w:w="100"/>
            </w:tcMar>
          </w:tcPr>
          <w:p>
            <w:pPr>
              <w:spacing w:after="40"/>
            </w:pPr>
            <w:r>
              <w:rPr>
                <w:sz w:val="18"/>
                <w:szCs w:val="18"/>
              </w:rPr>
              <w:t xml:space="preserve">Entra auth token (app)</w:t>
            </w:r>
          </w:p>
        </w:tc>
        <w:tc>
          <w:tcPr>
            <w:tcW w:type="dxa" w:w="2206"/>
            <w:tcMar>
              <w:top w:type="dxa" w:w="60"/>
              <w:left w:type="dxa" w:w="100"/>
              <w:bottom w:type="dxa" w:w="60"/>
              <w:right w:type="dxa" w:w="100"/>
            </w:tcMar>
          </w:tcPr>
          <w:p>
            <w:pPr>
              <w:spacing w:after="40"/>
            </w:pPr>
            <w:r>
              <w:rPr>
                <w:sz w:val="18"/>
                <w:szCs w:val="18"/>
              </w:rPr>
              <w:t xml:space="preserve">Entra ID</w:t>
            </w:r>
          </w:p>
        </w:tc>
        <w:tc>
          <w:tcPr>
            <w:tcW w:type="dxa" w:w="1805"/>
            <w:tcMar>
              <w:top w:type="dxa" w:w="60"/>
              <w:left w:type="dxa" w:w="100"/>
              <w:bottom w:type="dxa" w:w="60"/>
              <w:right w:type="dxa" w:w="100"/>
            </w:tcMar>
          </w:tcPr>
          <w:p>
            <w:pPr>
              <w:spacing w:after="40"/>
            </w:pPr>
            <w:r>
              <w:rPr>
                <w:sz w:val="18"/>
                <w:szCs w:val="18"/>
              </w:rPr>
              <w:t xml:space="preserve">≈ 60 min</w:t>
            </w:r>
          </w:p>
        </w:tc>
        <w:tc>
          <w:tcPr>
            <w:tcW w:type="dxa" w:w="2408"/>
            <w:tcMar>
              <w:top w:type="dxa" w:w="60"/>
              <w:left w:type="dxa" w:w="100"/>
              <w:bottom w:type="dxa" w:w="60"/>
              <w:right w:type="dxa" w:w="100"/>
            </w:tcMar>
          </w:tcPr>
          <w:p>
            <w:pPr>
              <w:spacing w:after="40"/>
            </w:pPr>
            <w:r>
              <w:rPr>
                <w:sz w:val="18"/>
                <w:szCs w:val="18"/>
              </w:rPr>
              <w:t xml:space="preserve">Apigee / ID&amp;A</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ID&amp;A write-back JWT</w:t>
            </w:r>
          </w:p>
        </w:tc>
        <w:tc>
          <w:tcPr>
            <w:tcW w:type="dxa" w:w="2206"/>
            <w:shd w:fill="F7F9FC" w:color="auto" w:val="clear"/>
            <w:tcMar>
              <w:top w:type="dxa" w:w="60"/>
              <w:left w:type="dxa" w:w="100"/>
              <w:bottom w:type="dxa" w:w="60"/>
              <w:right w:type="dxa" w:w="100"/>
            </w:tcMar>
          </w:tcPr>
          <w:p>
            <w:pPr>
              <w:spacing w:after="40"/>
            </w:pPr>
            <w:r>
              <w:rPr>
                <w:sz w:val="18"/>
                <w:szCs w:val="18"/>
              </w:rPr>
              <w:t xml:space="preserve">ID&amp;A via Apigee</w:t>
            </w:r>
          </w:p>
        </w:tc>
        <w:tc>
          <w:tcPr>
            <w:tcW w:type="dxa" w:w="1805"/>
            <w:shd w:fill="F7F9FC" w:color="auto" w:val="clear"/>
            <w:tcMar>
              <w:top w:type="dxa" w:w="60"/>
              <w:left w:type="dxa" w:w="100"/>
              <w:bottom w:type="dxa" w:w="60"/>
              <w:right w:type="dxa" w:w="100"/>
            </w:tcMar>
          </w:tcPr>
          <w:p>
            <w:pPr>
              <w:spacing w:after="40"/>
            </w:pPr>
            <w:r>
              <w:rPr>
                <w:sz w:val="18"/>
                <w:szCs w:val="18"/>
              </w:rPr>
              <w:t xml:space="preserve">≈ 15 min</w:t>
            </w:r>
          </w:p>
        </w:tc>
        <w:tc>
          <w:tcPr>
            <w:tcW w:type="dxa" w:w="2408"/>
            <w:shd w:fill="F7F9FC" w:color="auto" w:val="clear"/>
            <w:tcMar>
              <w:top w:type="dxa" w:w="60"/>
              <w:left w:type="dxa" w:w="100"/>
              <w:bottom w:type="dxa" w:w="60"/>
              <w:right w:type="dxa" w:w="100"/>
            </w:tcMar>
          </w:tcPr>
          <w:p>
            <w:pPr>
              <w:spacing w:after="40"/>
            </w:pPr>
            <w:r>
              <w:rPr>
                <w:sz w:val="18"/>
                <w:szCs w:val="18"/>
              </w:rPr>
              <w:t xml:space="preserve">Write-back API (JWKS)</w:t>
            </w:r>
          </w:p>
        </w:tc>
      </w:tr>
      <w:tr>
        <w:tc>
          <w:tcPr>
            <w:tcW w:type="dxa" w:w="2607"/>
            <w:tcMar>
              <w:top w:type="dxa" w:w="60"/>
              <w:left w:type="dxa" w:w="100"/>
              <w:bottom w:type="dxa" w:w="60"/>
              <w:right w:type="dxa" w:w="100"/>
            </w:tcMar>
          </w:tcPr>
          <w:p>
            <w:pPr>
              <w:spacing w:after="40"/>
            </w:pPr>
            <w:r>
              <w:rPr>
                <w:sz w:val="18"/>
                <w:szCs w:val="18"/>
              </w:rPr>
              <w:t xml:space="preserve">Google ID / access tokens</w:t>
            </w:r>
          </w:p>
        </w:tc>
        <w:tc>
          <w:tcPr>
            <w:tcW w:type="dxa" w:w="2206"/>
            <w:tcMar>
              <w:top w:type="dxa" w:w="60"/>
              <w:left w:type="dxa" w:w="100"/>
              <w:bottom w:type="dxa" w:w="60"/>
              <w:right w:type="dxa" w:w="100"/>
            </w:tcMar>
          </w:tcPr>
          <w:p>
            <w:pPr>
              <w:spacing w:after="40"/>
            </w:pPr>
            <w:r>
              <w:rPr>
                <w:sz w:val="18"/>
                <w:szCs w:val="18"/>
              </w:rPr>
              <w:t xml:space="preserve">Google (Workload Identity)</w:t>
            </w:r>
          </w:p>
        </w:tc>
        <w:tc>
          <w:tcPr>
            <w:tcW w:type="dxa" w:w="1805"/>
            <w:tcMar>
              <w:top w:type="dxa" w:w="60"/>
              <w:left w:type="dxa" w:w="100"/>
              <w:bottom w:type="dxa" w:w="60"/>
              <w:right w:type="dxa" w:w="100"/>
            </w:tcMar>
          </w:tcPr>
          <w:p>
            <w:pPr>
              <w:spacing w:after="40"/>
            </w:pPr>
            <w:r>
              <w:rPr>
                <w:sz w:val="18"/>
                <w:szCs w:val="18"/>
              </w:rPr>
              <w:t xml:space="preserve">≤ 1 h</w:t>
            </w:r>
          </w:p>
        </w:tc>
        <w:tc>
          <w:tcPr>
            <w:tcW w:type="dxa" w:w="2408"/>
            <w:tcMar>
              <w:top w:type="dxa" w:w="60"/>
              <w:left w:type="dxa" w:w="100"/>
              <w:bottom w:type="dxa" w:w="60"/>
              <w:right w:type="dxa" w:w="100"/>
            </w:tcMar>
          </w:tcPr>
          <w:p>
            <w:pPr>
              <w:spacing w:after="40"/>
            </w:pPr>
            <w:r>
              <w:rPr>
                <w:sz w:val="18"/>
                <w:szCs w:val="18"/>
              </w:rPr>
              <w:t xml:space="preserve">Writer / GCP APIs</w:t>
            </w:r>
          </w:p>
        </w:tc>
      </w:tr>
    </w:tbl>
    <w:p>
      <w:pPr>
        <w:pStyle w:val="Heading2"/>
      </w:pPr>
      <w:r>
        <w:t xml:space="preserve">2.6 Technology / Infrastructure Design</w:t>
      </w:r>
    </w:p>
    <w:p>
      <w:pPr>
        <w:pStyle w:val="Heading3"/>
      </w:pPr>
      <w:r>
        <w:t xml:space="preserve">Overview</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306"/>
        <w:gridCol w:w="2707"/>
        <w:gridCol w:w="4013"/>
      </w:tblGrid>
      <w:tr>
        <w:trPr>
          <w:tblHeader/>
        </w:trPr>
        <w:tc>
          <w:tcPr>
            <w:tcW w:type="dxa" w:w="2306"/>
            <w:shd w:fill="1F4E79" w:color="auto" w:val="clear"/>
            <w:tcMar>
              <w:top w:type="dxa" w:w="60"/>
              <w:left w:type="dxa" w:w="100"/>
              <w:bottom w:type="dxa" w:w="60"/>
              <w:right w:type="dxa" w:w="100"/>
            </w:tcMar>
          </w:tcPr>
          <w:p>
            <w:pPr>
              <w:spacing w:after="40"/>
            </w:pPr>
            <w:r>
              <w:rPr>
                <w:b/>
                <w:bCs/>
                <w:color w:val="FFFFFF"/>
                <w:sz w:val="18"/>
                <w:szCs w:val="18"/>
              </w:rPr>
              <w:t xml:space="preserve">Service</w:t>
            </w:r>
          </w:p>
        </w:tc>
        <w:tc>
          <w:tcPr>
            <w:tcW w:type="dxa" w:w="2707"/>
            <w:shd w:fill="1F4E79" w:color="auto" w:val="clear"/>
            <w:tcMar>
              <w:top w:type="dxa" w:w="60"/>
              <w:left w:type="dxa" w:w="100"/>
              <w:bottom w:type="dxa" w:w="60"/>
              <w:right w:type="dxa" w:w="100"/>
            </w:tcMar>
          </w:tcPr>
          <w:p>
            <w:pPr>
              <w:spacing w:after="40"/>
            </w:pPr>
            <w:r>
              <w:rPr>
                <w:b/>
                <w:bCs/>
                <w:color w:val="FFFFFF"/>
                <w:sz w:val="18"/>
                <w:szCs w:val="18"/>
              </w:rPr>
              <w:t xml:space="preserve">Purpose</w:t>
            </w:r>
          </w:p>
        </w:tc>
        <w:tc>
          <w:tcPr>
            <w:tcW w:type="dxa" w:w="4013"/>
            <w:shd w:fill="1F4E79" w:color="auto" w:val="clear"/>
            <w:tcMar>
              <w:top w:type="dxa" w:w="60"/>
              <w:left w:type="dxa" w:w="100"/>
              <w:bottom w:type="dxa" w:w="60"/>
              <w:right w:type="dxa" w:w="100"/>
            </w:tcMar>
          </w:tcPr>
          <w:p>
            <w:pPr>
              <w:spacing w:after="40"/>
            </w:pPr>
            <w:r>
              <w:rPr>
                <w:b/>
                <w:bCs/>
                <w:color w:val="FFFFFF"/>
                <w:sz w:val="18"/>
                <w:szCs w:val="18"/>
              </w:rPr>
              <w:t xml:space="preserve">Configuration</w:t>
            </w:r>
          </w:p>
        </w:tc>
      </w:tr>
      <w:tr>
        <w:tc>
          <w:tcPr>
            <w:tcW w:type="dxa" w:w="2306"/>
            <w:tcMar>
              <w:top w:type="dxa" w:w="60"/>
              <w:left w:type="dxa" w:w="100"/>
              <w:bottom w:type="dxa" w:w="60"/>
              <w:right w:type="dxa" w:w="100"/>
            </w:tcMar>
          </w:tcPr>
          <w:p>
            <w:pPr>
              <w:spacing w:after="40"/>
            </w:pPr>
            <w:r>
              <w:rPr>
                <w:sz w:val="18"/>
                <w:szCs w:val="18"/>
              </w:rPr>
              <w:t xml:space="preserve">Google Looker</w:t>
            </w:r>
          </w:p>
        </w:tc>
        <w:tc>
          <w:tcPr>
            <w:tcW w:type="dxa" w:w="2707"/>
            <w:tcMar>
              <w:top w:type="dxa" w:w="60"/>
              <w:left w:type="dxa" w:w="100"/>
              <w:bottom w:type="dxa" w:w="60"/>
              <w:right w:type="dxa" w:w="100"/>
            </w:tcMar>
          </w:tcPr>
          <w:p>
            <w:pPr>
              <w:spacing w:after="40"/>
            </w:pPr>
            <w:r>
              <w:rPr>
                <w:sz w:val="18"/>
                <w:szCs w:val="18"/>
              </w:rPr>
              <w:t xml:space="preserve">Looker image deployed in GKE</w:t>
            </w:r>
          </w:p>
        </w:tc>
        <w:tc>
          <w:tcPr>
            <w:tcW w:type="dxa" w:w="4013"/>
            <w:tcMar>
              <w:top w:type="dxa" w:w="60"/>
              <w:left w:type="dxa" w:w="100"/>
              <w:bottom w:type="dxa" w:w="60"/>
              <w:right w:type="dxa" w:w="100"/>
            </w:tcMar>
          </w:tcPr>
          <w:p>
            <w:pPr>
              <w:spacing w:after="40"/>
            </w:pPr>
            <w:r>
              <w:rPr>
                <w:sz w:val="18"/>
                <w:szCs w:val="18"/>
              </w:rPr>
              <w:t xml:space="preserve">Spoke 2 GKE; signed embedding enabled; embedded domain allowlist = partner portal; partner_analytics model with access_filter; user attributes tenant_id, business_group, entra_oid; Action Hub registered for write-back</w:t>
            </w:r>
          </w:p>
        </w:tc>
      </w:tr>
      <w:tr>
        <w:tc>
          <w:tcPr>
            <w:tcW w:type="dxa" w:w="2306"/>
            <w:shd w:fill="F7F9FC" w:color="auto" w:val="clear"/>
            <w:tcMar>
              <w:top w:type="dxa" w:w="60"/>
              <w:left w:type="dxa" w:w="100"/>
              <w:bottom w:type="dxa" w:w="60"/>
              <w:right w:type="dxa" w:w="100"/>
            </w:tcMar>
          </w:tcPr>
          <w:p>
            <w:pPr>
              <w:spacing w:after="40"/>
            </w:pPr>
            <w:r>
              <w:rPr>
                <w:sz w:val="18"/>
                <w:szCs w:val="18"/>
              </w:rPr>
              <w:t xml:space="preserve">Google Apigee (internal and external proxy)</w:t>
            </w:r>
          </w:p>
        </w:tc>
        <w:tc>
          <w:tcPr>
            <w:tcW w:type="dxa" w:w="2707"/>
            <w:shd w:fill="F7F9FC" w:color="auto" w:val="clear"/>
            <w:tcMar>
              <w:top w:type="dxa" w:w="60"/>
              <w:left w:type="dxa" w:w="100"/>
              <w:bottom w:type="dxa" w:w="60"/>
              <w:right w:type="dxa" w:w="100"/>
            </w:tcMar>
          </w:tcPr>
          <w:p>
            <w:pPr>
              <w:spacing w:after="40"/>
            </w:pPr>
            <w:r>
              <w:rPr>
                <w:sz w:val="18"/>
                <w:szCs w:val="18"/>
              </w:rPr>
              <w:t xml:space="preserve">Connection established via internal and external proxies</w:t>
            </w:r>
          </w:p>
        </w:tc>
        <w:tc>
          <w:tcPr>
            <w:tcW w:type="dxa" w:w="4013"/>
            <w:shd w:fill="F7F9FC" w:color="auto" w:val="clear"/>
            <w:tcMar>
              <w:top w:type="dxa" w:w="60"/>
              <w:left w:type="dxa" w:w="100"/>
              <w:bottom w:type="dxa" w:w="60"/>
              <w:right w:type="dxa" w:w="100"/>
            </w:tcMar>
          </w:tcPr>
          <w:p>
            <w:pPr>
              <w:spacing w:after="40"/>
            </w:pPr>
            <w:r>
              <w:rPr>
                <w:sz w:val="18"/>
                <w:szCs w:val="18"/>
              </w:rPr>
              <w:t xml:space="preserve">External proxy for partner-facing APIs; internal proxy lloyds-auth-int for ID&amp;A validation, token exchange and JWKS; PSC endpoints; quotas and spike arrest</w:t>
            </w:r>
          </w:p>
        </w:tc>
      </w:tr>
      <w:tr>
        <w:tc>
          <w:tcPr>
            <w:tcW w:type="dxa" w:w="2306"/>
            <w:tcMar>
              <w:top w:type="dxa" w:w="60"/>
              <w:left w:type="dxa" w:w="100"/>
              <w:bottom w:type="dxa" w:w="60"/>
              <w:right w:type="dxa" w:w="100"/>
            </w:tcMar>
          </w:tcPr>
          <w:p>
            <w:pPr>
              <w:spacing w:after="40"/>
            </w:pPr>
            <w:r>
              <w:rPr>
                <w:sz w:val="18"/>
                <w:szCs w:val="18"/>
              </w:rPr>
              <w:t xml:space="preserve">Cloud Logging</w:t>
            </w:r>
          </w:p>
        </w:tc>
        <w:tc>
          <w:tcPr>
            <w:tcW w:type="dxa" w:w="2707"/>
            <w:tcMar>
              <w:top w:type="dxa" w:w="60"/>
              <w:left w:type="dxa" w:w="100"/>
              <w:bottom w:type="dxa" w:w="60"/>
              <w:right w:type="dxa" w:w="100"/>
            </w:tcMar>
          </w:tcPr>
          <w:p>
            <w:pPr>
              <w:spacing w:after="40"/>
            </w:pPr>
            <w:r>
              <w:rPr>
                <w:sz w:val="18"/>
                <w:szCs w:val="18"/>
              </w:rPr>
              <w:t xml:space="preserve">Centralised observability layer</w:t>
            </w:r>
          </w:p>
        </w:tc>
        <w:tc>
          <w:tcPr>
            <w:tcW w:type="dxa" w:w="4013"/>
            <w:tcMar>
              <w:top w:type="dxa" w:w="60"/>
              <w:left w:type="dxa" w:w="100"/>
              <w:bottom w:type="dxa" w:w="60"/>
              <w:right w:type="dxa" w:w="100"/>
            </w:tcMar>
          </w:tcPr>
          <w:p>
            <w:pPr>
              <w:spacing w:after="40"/>
            </w:pPr>
            <w:r>
              <w:rPr>
                <w:sz w:val="18"/>
                <w:szCs w:val="18"/>
              </w:rPr>
              <w:t xml:space="preserve">Structured JSON audit events with x_request_id; log-based metrics and alerts; retention bucket per policy</w:t>
            </w:r>
          </w:p>
        </w:tc>
      </w:tr>
      <w:tr>
        <w:tc>
          <w:tcPr>
            <w:tcW w:type="dxa" w:w="2306"/>
            <w:shd w:fill="F7F9FC" w:color="auto" w:val="clear"/>
            <w:tcMar>
              <w:top w:type="dxa" w:w="60"/>
              <w:left w:type="dxa" w:w="100"/>
              <w:bottom w:type="dxa" w:w="60"/>
              <w:right w:type="dxa" w:w="100"/>
            </w:tcMar>
          </w:tcPr>
          <w:p>
            <w:pPr>
              <w:spacing w:after="40"/>
            </w:pPr>
            <w:r>
              <w:rPr>
                <w:sz w:val="18"/>
                <w:szCs w:val="18"/>
              </w:rPr>
              <w:t xml:space="preserve">Google Kubernetes Engine</w:t>
            </w:r>
          </w:p>
        </w:tc>
        <w:tc>
          <w:tcPr>
            <w:tcW w:type="dxa" w:w="2707"/>
            <w:shd w:fill="F7F9FC" w:color="auto" w:val="clear"/>
            <w:tcMar>
              <w:top w:type="dxa" w:w="60"/>
              <w:left w:type="dxa" w:w="100"/>
              <w:bottom w:type="dxa" w:w="60"/>
              <w:right w:type="dxa" w:w="100"/>
            </w:tcMar>
          </w:tcPr>
          <w:p>
            <w:pPr>
              <w:spacing w:after="40"/>
            </w:pPr>
            <w:r>
              <w:rPr>
                <w:sz w:val="18"/>
                <w:szCs w:val="18"/>
              </w:rPr>
              <w:t xml:space="preserve">Looker deployment, UX deployment, Write-back API deployment</w:t>
            </w:r>
          </w:p>
        </w:tc>
        <w:tc>
          <w:tcPr>
            <w:tcW w:type="dxa" w:w="4013"/>
            <w:shd w:fill="F7F9FC" w:color="auto" w:val="clear"/>
            <w:tcMar>
              <w:top w:type="dxa" w:w="60"/>
              <w:left w:type="dxa" w:w="100"/>
              <w:bottom w:type="dxa" w:w="60"/>
              <w:right w:type="dxa" w:w="100"/>
            </w:tcMar>
          </w:tcPr>
          <w:p>
            <w:pPr>
              <w:spacing w:after="40"/>
            </w:pPr>
            <w:r>
              <w:rPr>
                <w:sz w:val="18"/>
                <w:szCs w:val="18"/>
              </w:rPr>
              <w:t xml:space="preserve">Regional clusters, Workload Identity, NetworkPolicy; ≥ 2 replicas, HPA, PDBs; namespaces per table below</w:t>
            </w:r>
          </w:p>
        </w:tc>
      </w:tr>
      <w:tr>
        <w:tc>
          <w:tcPr>
            <w:tcW w:type="dxa" w:w="2306"/>
            <w:tcMar>
              <w:top w:type="dxa" w:w="60"/>
              <w:left w:type="dxa" w:w="100"/>
              <w:bottom w:type="dxa" w:w="60"/>
              <w:right w:type="dxa" w:w="100"/>
            </w:tcMar>
          </w:tcPr>
          <w:p>
            <w:pPr>
              <w:spacing w:after="40"/>
            </w:pPr>
            <w:r>
              <w:rPr>
                <w:sz w:val="18"/>
                <w:szCs w:val="18"/>
              </w:rPr>
              <w:t xml:space="preserve">BigQuery</w:t>
            </w:r>
          </w:p>
        </w:tc>
        <w:tc>
          <w:tcPr>
            <w:tcW w:type="dxa" w:w="2707"/>
            <w:tcMar>
              <w:top w:type="dxa" w:w="60"/>
              <w:left w:type="dxa" w:w="100"/>
              <w:bottom w:type="dxa" w:w="60"/>
              <w:right w:type="dxa" w:w="100"/>
            </w:tcMar>
          </w:tcPr>
          <w:p>
            <w:pPr>
              <w:spacing w:after="40"/>
            </w:pPr>
            <w:r>
              <w:rPr>
                <w:sz w:val="18"/>
                <w:szCs w:val="18"/>
              </w:rPr>
              <w:t xml:space="preserve">Log sink to enable charge back and analytics</w:t>
            </w:r>
          </w:p>
        </w:tc>
        <w:tc>
          <w:tcPr>
            <w:tcW w:type="dxa" w:w="4013"/>
            <w:tcMar>
              <w:top w:type="dxa" w:w="60"/>
              <w:left w:type="dxa" w:w="100"/>
              <w:bottom w:type="dxa" w:w="60"/>
              <w:right w:type="dxa" w:w="100"/>
            </w:tcMar>
          </w:tcPr>
          <w:p>
            <w:pPr>
              <w:spacing w:after="40"/>
            </w:pPr>
            <w:r>
              <w:rPr>
                <w:sz w:val="18"/>
                <w:szCs w:val="18"/>
              </w:rPr>
              <w:t xml:space="preserve">Plus analytics datasets (tenant-tagged) and writeback dataset; partitioned and clustered by tenant_id</w:t>
            </w:r>
          </w:p>
        </w:tc>
      </w:tr>
      <w:tr>
        <w:tc>
          <w:tcPr>
            <w:tcW w:type="dxa" w:w="2306"/>
            <w:shd w:fill="F7F9FC" w:color="auto" w:val="clear"/>
            <w:tcMar>
              <w:top w:type="dxa" w:w="60"/>
              <w:left w:type="dxa" w:w="100"/>
              <w:bottom w:type="dxa" w:w="60"/>
              <w:right w:type="dxa" w:w="100"/>
            </w:tcMar>
          </w:tcPr>
          <w:p>
            <w:pPr>
              <w:spacing w:after="40"/>
            </w:pPr>
            <w:r>
              <w:rPr>
                <w:sz w:val="18"/>
                <w:szCs w:val="18"/>
              </w:rPr>
              <w:t xml:space="preserve">Cloud SQL (Database)</w:t>
            </w:r>
          </w:p>
        </w:tc>
        <w:tc>
          <w:tcPr>
            <w:tcW w:type="dxa" w:w="2707"/>
            <w:shd w:fill="F7F9FC" w:color="auto" w:val="clear"/>
            <w:tcMar>
              <w:top w:type="dxa" w:w="60"/>
              <w:left w:type="dxa" w:w="100"/>
              <w:bottom w:type="dxa" w:w="60"/>
              <w:right w:type="dxa" w:w="100"/>
            </w:tcMar>
          </w:tcPr>
          <w:p>
            <w:pPr>
              <w:spacing w:after="40"/>
            </w:pPr>
            <w:r>
              <w:rPr>
                <w:sz w:val="18"/>
                <w:szCs w:val="18"/>
              </w:rPr>
              <w:t xml:space="preserve">Maintain mapping among external partner, internal Looker id, tenant id and dashboard id</w:t>
            </w:r>
          </w:p>
        </w:tc>
        <w:tc>
          <w:tcPr>
            <w:tcW w:type="dxa" w:w="4013"/>
            <w:shd w:fill="F7F9FC" w:color="auto" w:val="clear"/>
            <w:tcMar>
              <w:top w:type="dxa" w:w="60"/>
              <w:left w:type="dxa" w:w="100"/>
              <w:bottom w:type="dxa" w:w="60"/>
              <w:right w:type="dxa" w:w="100"/>
            </w:tcMar>
          </w:tcPr>
          <w:p>
            <w:pPr>
              <w:spacing w:after="40"/>
            </w:pPr>
            <w:r>
              <w:rPr>
                <w:sz w:val="18"/>
                <w:szCs w:val="18"/>
              </w:rPr>
              <w:t xml:space="preserve">PostgreSQL, private IP only, regional HA, IAM DB authentication, Cloud SQL Auth Proxy sidecar, automated backups + PITR</w:t>
            </w:r>
          </w:p>
        </w:tc>
      </w:tr>
      <w:tr>
        <w:tc>
          <w:tcPr>
            <w:tcW w:type="dxa" w:w="2306"/>
            <w:tcMar>
              <w:top w:type="dxa" w:w="60"/>
              <w:left w:type="dxa" w:w="100"/>
              <w:bottom w:type="dxa" w:w="60"/>
              <w:right w:type="dxa" w:w="100"/>
            </w:tcMar>
          </w:tcPr>
          <w:p>
            <w:pPr>
              <w:spacing w:after="40"/>
            </w:pPr>
            <w:r>
              <w:rPr>
                <w:sz w:val="18"/>
                <w:szCs w:val="18"/>
              </w:rPr>
              <w:t xml:space="preserve">Secret Manager</w:t>
            </w:r>
          </w:p>
        </w:tc>
        <w:tc>
          <w:tcPr>
            <w:tcW w:type="dxa" w:w="2707"/>
            <w:tcMar>
              <w:top w:type="dxa" w:w="60"/>
              <w:left w:type="dxa" w:w="100"/>
              <w:bottom w:type="dxa" w:w="60"/>
              <w:right w:type="dxa" w:w="100"/>
            </w:tcMar>
          </w:tcPr>
          <w:p>
            <w:pPr>
              <w:spacing w:after="40"/>
            </w:pPr>
            <w:r>
              <w:rPr>
                <w:sz w:val="18"/>
                <w:szCs w:val="18"/>
              </w:rPr>
              <w:t xml:space="preserve">Hold the remaining secrets</w:t>
            </w:r>
          </w:p>
        </w:tc>
        <w:tc>
          <w:tcPr>
            <w:tcW w:type="dxa" w:w="4013"/>
            <w:tcMar>
              <w:top w:type="dxa" w:w="60"/>
              <w:left w:type="dxa" w:w="100"/>
              <w:bottom w:type="dxa" w:w="60"/>
              <w:right w:type="dxa" w:w="100"/>
            </w:tcMar>
          </w:tcPr>
          <w:p>
            <w:pPr>
              <w:spacing w:after="40"/>
            </w:pPr>
            <w:r>
              <w:rPr>
                <w:sz w:val="18"/>
                <w:szCs w:val="18"/>
              </w:rPr>
              <w:t xml:space="preserve">looker-ro / looker-embed API3 keys, Looker action secret, Graph client secret; accessed via Workload Identity</w:t>
            </w:r>
          </w:p>
        </w:tc>
      </w:tr>
      <w:tr>
        <w:tc>
          <w:tcPr>
            <w:tcW w:type="dxa" w:w="2306"/>
            <w:shd w:fill="F7F9FC" w:color="auto" w:val="clear"/>
            <w:tcMar>
              <w:top w:type="dxa" w:w="60"/>
              <w:left w:type="dxa" w:w="100"/>
              <w:bottom w:type="dxa" w:w="60"/>
              <w:right w:type="dxa" w:w="100"/>
            </w:tcMar>
          </w:tcPr>
          <w:p>
            <w:pPr>
              <w:spacing w:after="40"/>
            </w:pPr>
            <w:r>
              <w:rPr>
                <w:sz w:val="18"/>
                <w:szCs w:val="18"/>
              </w:rPr>
              <w:t xml:space="preserve">Network (HUB, HA VPN, Cloud Router, Cloud DNS, PSC, External LB)</w:t>
            </w:r>
          </w:p>
        </w:tc>
        <w:tc>
          <w:tcPr>
            <w:tcW w:type="dxa" w:w="2707"/>
            <w:shd w:fill="F7F9FC" w:color="auto" w:val="clear"/>
            <w:tcMar>
              <w:top w:type="dxa" w:w="60"/>
              <w:left w:type="dxa" w:w="100"/>
              <w:bottom w:type="dxa" w:w="60"/>
              <w:right w:type="dxa" w:w="100"/>
            </w:tcMar>
          </w:tcPr>
          <w:p>
            <w:pPr>
              <w:spacing w:after="40"/>
            </w:pPr>
            <w:r>
              <w:rPr>
                <w:sz w:val="18"/>
                <w:szCs w:val="18"/>
              </w:rPr>
              <w:t xml:space="preserve">Private connectivity and public embed entry</w:t>
            </w:r>
          </w:p>
        </w:tc>
        <w:tc>
          <w:tcPr>
            <w:tcW w:type="dxa" w:w="4013"/>
            <w:shd w:fill="F7F9FC" w:color="auto" w:val="clear"/>
            <w:tcMar>
              <w:top w:type="dxa" w:w="60"/>
              <w:left w:type="dxa" w:w="100"/>
              <w:bottom w:type="dxa" w:w="60"/>
              <w:right w:type="dxa" w:w="100"/>
            </w:tcMar>
          </w:tcPr>
          <w:p>
            <w:pPr>
              <w:spacing w:after="40"/>
            </w:pPr>
            <w:r>
              <w:rPr>
                <w:sz w:val="18"/>
                <w:szCs w:val="18"/>
              </w:rPr>
              <w:t xml:space="preserve">Hub-and-spoke with BGP; DNS peering for *.internal; Cloud Armor on External LB</w:t>
            </w:r>
          </w:p>
        </w:tc>
      </w:tr>
      <w:tr>
        <w:tc>
          <w:tcPr>
            <w:tcW w:type="dxa" w:w="2306"/>
            <w:tcMar>
              <w:top w:type="dxa" w:w="60"/>
              <w:left w:type="dxa" w:w="100"/>
              <w:bottom w:type="dxa" w:w="60"/>
              <w:right w:type="dxa" w:w="100"/>
            </w:tcMar>
          </w:tcPr>
          <w:p>
            <w:pPr>
              <w:spacing w:after="40"/>
            </w:pPr>
            <w:r>
              <w:rPr>
                <w:sz w:val="18"/>
                <w:szCs w:val="18"/>
              </w:rPr>
              <w:t xml:space="preserve">Cloud Monitoring</w:t>
            </w:r>
          </w:p>
        </w:tc>
        <w:tc>
          <w:tcPr>
            <w:tcW w:type="dxa" w:w="2707"/>
            <w:tcMar>
              <w:top w:type="dxa" w:w="60"/>
              <w:left w:type="dxa" w:w="100"/>
              <w:bottom w:type="dxa" w:w="60"/>
              <w:right w:type="dxa" w:w="100"/>
            </w:tcMar>
          </w:tcPr>
          <w:p>
            <w:pPr>
              <w:spacing w:after="40"/>
            </w:pPr>
            <w:r>
              <w:rPr>
                <w:sz w:val="18"/>
                <w:szCs w:val="18"/>
              </w:rPr>
              <w:t xml:space="preserve">Alerting and SLO tracking</w:t>
            </w:r>
          </w:p>
        </w:tc>
        <w:tc>
          <w:tcPr>
            <w:tcW w:type="dxa" w:w="4013"/>
            <w:tcMar>
              <w:top w:type="dxa" w:w="60"/>
              <w:left w:type="dxa" w:w="100"/>
              <w:bottom w:type="dxa" w:w="60"/>
              <w:right w:type="dxa" w:w="100"/>
            </w:tcMar>
          </w:tcPr>
          <w:p>
            <w:pPr>
              <w:spacing w:after="40"/>
            </w:pPr>
            <w:r>
              <w:rPr>
                <w:sz w:val="18"/>
                <w:szCs w:val="18"/>
              </w:rPr>
              <w:t xml:space="preserve">Uptime checks, SLO burn alerts, dashboards per API</w:t>
            </w:r>
          </w:p>
        </w:tc>
      </w:tr>
    </w:tbl>
    <w:p>
      <w:pPr>
        <w:pStyle w:val="Heading3"/>
      </w:pPr>
      <w:r>
        <w:t xml:space="preserve">Infrastructure Impacts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2"/>
        <w:gridCol w:w="1404"/>
        <w:gridCol w:w="1905"/>
        <w:gridCol w:w="2306"/>
        <w:gridCol w:w="2509"/>
      </w:tblGrid>
      <w:tr>
        <w:trPr>
          <w:tblHeader/>
        </w:trPr>
        <w:tc>
          <w:tcPr>
            <w:tcW w:type="dxa" w:w="902"/>
            <w:shd w:fill="1F4E79" w:color="auto" w:val="clear"/>
            <w:tcMar>
              <w:top w:type="dxa" w:w="60"/>
              <w:left w:type="dxa" w:w="100"/>
              <w:bottom w:type="dxa" w:w="60"/>
              <w:right w:type="dxa" w:w="100"/>
            </w:tcMar>
          </w:tcPr>
          <w:p>
            <w:pPr>
              <w:spacing w:after="40"/>
            </w:pPr>
            <w:r>
              <w:rPr>
                <w:b/>
                <w:bCs/>
                <w:color w:val="FFFFFF"/>
                <w:sz w:val="18"/>
                <w:szCs w:val="18"/>
              </w:rPr>
              <w:t xml:space="preserve">Env</w:t>
            </w:r>
          </w:p>
        </w:tc>
        <w:tc>
          <w:tcPr>
            <w:tcW w:type="dxa" w:w="1404"/>
            <w:shd w:fill="1F4E79" w:color="auto" w:val="clear"/>
            <w:tcMar>
              <w:top w:type="dxa" w:w="60"/>
              <w:left w:type="dxa" w:w="100"/>
              <w:bottom w:type="dxa" w:w="60"/>
              <w:right w:type="dxa" w:w="100"/>
            </w:tcMar>
          </w:tcPr>
          <w:p>
            <w:pPr>
              <w:spacing w:after="40"/>
            </w:pPr>
            <w:r>
              <w:rPr>
                <w:b/>
                <w:bCs/>
                <w:color w:val="FFFFFF"/>
                <w:sz w:val="18"/>
                <w:szCs w:val="18"/>
              </w:rPr>
              <w:t xml:space="preserve">Instance Type</w:t>
            </w:r>
          </w:p>
        </w:tc>
        <w:tc>
          <w:tcPr>
            <w:tcW w:type="dxa" w:w="1905"/>
            <w:shd w:fill="1F4E79" w:color="auto" w:val="clear"/>
            <w:tcMar>
              <w:top w:type="dxa" w:w="60"/>
              <w:left w:type="dxa" w:w="100"/>
              <w:bottom w:type="dxa" w:w="60"/>
              <w:right w:type="dxa" w:w="100"/>
            </w:tcMar>
          </w:tcPr>
          <w:p>
            <w:pPr>
              <w:spacing w:after="40"/>
            </w:pPr>
            <w:r>
              <w:rPr>
                <w:b/>
                <w:bCs/>
                <w:color w:val="FFFFFF"/>
                <w:sz w:val="18"/>
                <w:szCs w:val="18"/>
              </w:rPr>
              <w:t xml:space="preserve">Looker Static IP</w:t>
            </w:r>
          </w:p>
        </w:tc>
        <w:tc>
          <w:tcPr>
            <w:tcW w:type="dxa" w:w="2306"/>
            <w:shd w:fill="1F4E79" w:color="auto" w:val="clear"/>
            <w:tcMar>
              <w:top w:type="dxa" w:w="60"/>
              <w:left w:type="dxa" w:w="100"/>
              <w:bottom w:type="dxa" w:w="60"/>
              <w:right w:type="dxa" w:w="100"/>
            </w:tcMar>
          </w:tcPr>
          <w:p>
            <w:pPr>
              <w:spacing w:after="40"/>
            </w:pPr>
            <w:r>
              <w:rPr>
                <w:b/>
                <w:bCs/>
                <w:color w:val="FFFFFF"/>
                <w:sz w:val="18"/>
                <w:szCs w:val="18"/>
              </w:rPr>
              <w:t xml:space="preserve">Looker Direct connect link</w:t>
            </w:r>
          </w:p>
        </w:tc>
        <w:tc>
          <w:tcPr>
            <w:tcW w:type="dxa" w:w="2509"/>
            <w:shd w:fill="1F4E79" w:color="auto" w:val="clear"/>
            <w:tcMar>
              <w:top w:type="dxa" w:w="60"/>
              <w:left w:type="dxa" w:w="100"/>
              <w:bottom w:type="dxa" w:w="60"/>
              <w:right w:type="dxa" w:w="100"/>
            </w:tcMar>
          </w:tcPr>
          <w:p>
            <w:pPr>
              <w:spacing w:after="40"/>
            </w:pPr>
            <w:r>
              <w:rPr>
                <w:b/>
                <w:bCs/>
                <w:color w:val="FFFFFF"/>
                <w:sz w:val="18"/>
                <w:szCs w:val="18"/>
              </w:rPr>
              <w:t xml:space="preserve">GKE Namespace</w:t>
            </w:r>
          </w:p>
        </w:tc>
      </w:tr>
      <w:tr>
        <w:tc>
          <w:tcPr>
            <w:tcW w:type="dxa" w:w="902"/>
            <w:tcMar>
              <w:top w:type="dxa" w:w="60"/>
              <w:left w:type="dxa" w:w="100"/>
              <w:bottom w:type="dxa" w:w="60"/>
              <w:right w:type="dxa" w:w="100"/>
            </w:tcMar>
          </w:tcPr>
          <w:p>
            <w:pPr>
              <w:spacing w:after="40"/>
            </w:pPr>
            <w:r>
              <w:rPr>
                <w:sz w:val="18"/>
                <w:szCs w:val="18"/>
              </w:rPr>
              <w:t xml:space="preserve">INT</w:t>
            </w:r>
          </w:p>
        </w:tc>
        <w:tc>
          <w:tcPr>
            <w:tcW w:type="dxa" w:w="1404"/>
            <w:tcMar>
              <w:top w:type="dxa" w:w="60"/>
              <w:left w:type="dxa" w:w="100"/>
              <w:bottom w:type="dxa" w:w="60"/>
              <w:right w:type="dxa" w:w="100"/>
            </w:tcMar>
          </w:tcPr>
          <w:p>
            <w:pPr>
              <w:spacing w:after="40"/>
            </w:pPr>
            <w:r>
              <w:rPr>
                <w:sz w:val="18"/>
                <w:szCs w:val="18"/>
              </w:rPr>
              <w:t xml:space="preserve">Internal</w:t>
            </w:r>
          </w:p>
        </w:tc>
        <w:tc>
          <w:tcPr>
            <w:tcW w:type="dxa" w:w="1905"/>
            <w:tcMar>
              <w:top w:type="dxa" w:w="60"/>
              <w:left w:type="dxa" w:w="100"/>
              <w:bottom w:type="dxa" w:w="60"/>
              <w:right w:type="dxa" w:w="100"/>
            </w:tcMar>
          </w:tcPr>
          <w:p>
            <w:pPr>
              <w:spacing w:after="40"/>
            </w:pPr>
            <w:r>
              <w:rPr>
                <w:sz w:val="18"/>
                <w:szCs w:val="18"/>
              </w:rPr>
              <w:t xml:space="preserve">TBC (Network team)</w:t>
            </w:r>
          </w:p>
        </w:tc>
        <w:tc>
          <w:tcPr>
            <w:tcW w:type="dxa" w:w="2306"/>
            <w:tcMar>
              <w:top w:type="dxa" w:w="60"/>
              <w:left w:type="dxa" w:w="100"/>
              <w:bottom w:type="dxa" w:w="60"/>
              <w:right w:type="dxa" w:w="100"/>
            </w:tcMar>
          </w:tcPr>
          <w:p>
            <w:pPr>
              <w:spacing w:after="40"/>
            </w:pPr>
            <w:r>
              <w:rPr>
                <w:sz w:val="18"/>
                <w:szCs w:val="18"/>
              </w:rPr>
              <w:t xml:space="preserve">TBC</w:t>
            </w:r>
          </w:p>
        </w:tc>
        <w:tc>
          <w:tcPr>
            <w:tcW w:type="dxa" w:w="2509"/>
            <w:tcMar>
              <w:top w:type="dxa" w:w="60"/>
              <w:left w:type="dxa" w:w="100"/>
              <w:bottom w:type="dxa" w:w="60"/>
              <w:right w:type="dxa" w:w="100"/>
            </w:tcMar>
          </w:tcPr>
          <w:p>
            <w:pPr>
              <w:spacing w:after="40"/>
            </w:pPr>
            <w:r>
              <w:rPr>
                <w:sz w:val="18"/>
                <w:szCs w:val="18"/>
              </w:rPr>
              <w:t xml:space="preserve">looker-int, looker-actions</w:t>
            </w:r>
          </w:p>
        </w:tc>
      </w:tr>
      <w:tr>
        <w:tc>
          <w:tcPr>
            <w:tcW w:type="dxa" w:w="902"/>
            <w:shd w:fill="F7F9FC" w:color="auto" w:val="clear"/>
            <w:tcMar>
              <w:top w:type="dxa" w:w="60"/>
              <w:left w:type="dxa" w:w="100"/>
              <w:bottom w:type="dxa" w:w="60"/>
              <w:right w:type="dxa" w:w="100"/>
            </w:tcMar>
          </w:tcPr>
          <w:p>
            <w:pPr>
              <w:spacing w:after="40"/>
            </w:pPr>
            <w:r>
              <w:rPr>
                <w:sz w:val="18"/>
                <w:szCs w:val="18"/>
              </w:rPr>
              <w:t xml:space="preserve">PRE</w:t>
            </w:r>
          </w:p>
        </w:tc>
        <w:tc>
          <w:tcPr>
            <w:tcW w:type="dxa" w:w="1404"/>
            <w:shd w:fill="F7F9FC" w:color="auto" w:val="clear"/>
            <w:tcMar>
              <w:top w:type="dxa" w:w="60"/>
              <w:left w:type="dxa" w:w="100"/>
              <w:bottom w:type="dxa" w:w="60"/>
              <w:right w:type="dxa" w:w="100"/>
            </w:tcMar>
          </w:tcPr>
          <w:p>
            <w:pPr>
              <w:spacing w:after="40"/>
            </w:pPr>
            <w:r>
              <w:rPr>
                <w:sz w:val="18"/>
                <w:szCs w:val="18"/>
              </w:rPr>
              <w:t xml:space="preserve">Internal</w:t>
            </w:r>
          </w:p>
        </w:tc>
        <w:tc>
          <w:tcPr>
            <w:tcW w:type="dxa" w:w="1905"/>
            <w:shd w:fill="F7F9FC" w:color="auto" w:val="clear"/>
            <w:tcMar>
              <w:top w:type="dxa" w:w="60"/>
              <w:left w:type="dxa" w:w="100"/>
              <w:bottom w:type="dxa" w:w="60"/>
              <w:right w:type="dxa" w:w="100"/>
            </w:tcMar>
          </w:tcPr>
          <w:p>
            <w:pPr>
              <w:spacing w:after="40"/>
            </w:pPr>
            <w:r>
              <w:rPr>
                <w:sz w:val="18"/>
                <w:szCs w:val="18"/>
              </w:rPr>
              <w:t xml:space="preserve">TBC</w:t>
            </w:r>
          </w:p>
        </w:tc>
        <w:tc>
          <w:tcPr>
            <w:tcW w:type="dxa" w:w="2306"/>
            <w:shd w:fill="F7F9FC" w:color="auto" w:val="clear"/>
            <w:tcMar>
              <w:top w:type="dxa" w:w="60"/>
              <w:left w:type="dxa" w:w="100"/>
              <w:bottom w:type="dxa" w:w="60"/>
              <w:right w:type="dxa" w:w="100"/>
            </w:tcMar>
          </w:tcPr>
          <w:p>
            <w:pPr>
              <w:spacing w:after="40"/>
            </w:pPr>
            <w:r>
              <w:rPr>
                <w:sz w:val="18"/>
                <w:szCs w:val="18"/>
              </w:rPr>
              <w:t xml:space="preserve">TBC</w:t>
            </w:r>
          </w:p>
        </w:tc>
        <w:tc>
          <w:tcPr>
            <w:tcW w:type="dxa" w:w="2509"/>
            <w:shd w:fill="F7F9FC" w:color="auto" w:val="clear"/>
            <w:tcMar>
              <w:top w:type="dxa" w:w="60"/>
              <w:left w:type="dxa" w:w="100"/>
              <w:bottom w:type="dxa" w:w="60"/>
              <w:right w:type="dxa" w:w="100"/>
            </w:tcMar>
          </w:tcPr>
          <w:p>
            <w:pPr>
              <w:spacing w:after="40"/>
            </w:pPr>
            <w:r>
              <w:rPr>
                <w:sz w:val="18"/>
                <w:szCs w:val="18"/>
              </w:rPr>
              <w:t xml:space="preserve">looker-pre, looker-actions</w:t>
            </w:r>
          </w:p>
        </w:tc>
      </w:tr>
      <w:tr>
        <w:tc>
          <w:tcPr>
            <w:tcW w:type="dxa" w:w="902"/>
            <w:tcMar>
              <w:top w:type="dxa" w:w="60"/>
              <w:left w:type="dxa" w:w="100"/>
              <w:bottom w:type="dxa" w:w="60"/>
              <w:right w:type="dxa" w:w="100"/>
            </w:tcMar>
          </w:tcPr>
          <w:p>
            <w:pPr>
              <w:spacing w:after="40"/>
            </w:pPr>
            <w:r>
              <w:rPr>
                <w:sz w:val="18"/>
                <w:szCs w:val="18"/>
              </w:rPr>
              <w:t xml:space="preserve">PRD</w:t>
            </w:r>
          </w:p>
        </w:tc>
        <w:tc>
          <w:tcPr>
            <w:tcW w:type="dxa" w:w="1404"/>
            <w:tcMar>
              <w:top w:type="dxa" w:w="60"/>
              <w:left w:type="dxa" w:w="100"/>
              <w:bottom w:type="dxa" w:w="60"/>
              <w:right w:type="dxa" w:w="100"/>
            </w:tcMar>
          </w:tcPr>
          <w:p>
            <w:pPr>
              <w:spacing w:after="40"/>
            </w:pPr>
            <w:r>
              <w:rPr>
                <w:sz w:val="18"/>
                <w:szCs w:val="18"/>
              </w:rPr>
              <w:t xml:space="preserve">Internal</w:t>
            </w:r>
          </w:p>
        </w:tc>
        <w:tc>
          <w:tcPr>
            <w:tcW w:type="dxa" w:w="1905"/>
            <w:tcMar>
              <w:top w:type="dxa" w:w="60"/>
              <w:left w:type="dxa" w:w="100"/>
              <w:bottom w:type="dxa" w:w="60"/>
              <w:right w:type="dxa" w:w="100"/>
            </w:tcMar>
          </w:tcPr>
          <w:p>
            <w:pPr>
              <w:spacing w:after="40"/>
            </w:pPr>
            <w:r>
              <w:rPr>
                <w:sz w:val="18"/>
                <w:szCs w:val="18"/>
              </w:rPr>
              <w:t xml:space="preserve">TBC</w:t>
            </w:r>
          </w:p>
        </w:tc>
        <w:tc>
          <w:tcPr>
            <w:tcW w:type="dxa" w:w="2306"/>
            <w:tcMar>
              <w:top w:type="dxa" w:w="60"/>
              <w:left w:type="dxa" w:w="100"/>
              <w:bottom w:type="dxa" w:w="60"/>
              <w:right w:type="dxa" w:w="100"/>
            </w:tcMar>
          </w:tcPr>
          <w:p>
            <w:pPr>
              <w:spacing w:after="40"/>
            </w:pPr>
            <w:r>
              <w:rPr>
                <w:sz w:val="18"/>
                <w:szCs w:val="18"/>
              </w:rPr>
              <w:t xml:space="preserve">TBC</w:t>
            </w:r>
          </w:p>
        </w:tc>
        <w:tc>
          <w:tcPr>
            <w:tcW w:type="dxa" w:w="2509"/>
            <w:tcMar>
              <w:top w:type="dxa" w:w="60"/>
              <w:left w:type="dxa" w:w="100"/>
              <w:bottom w:type="dxa" w:w="60"/>
              <w:right w:type="dxa" w:w="100"/>
            </w:tcMar>
          </w:tcPr>
          <w:p>
            <w:pPr>
              <w:spacing w:after="40"/>
            </w:pPr>
            <w:r>
              <w:rPr>
                <w:sz w:val="18"/>
                <w:szCs w:val="18"/>
              </w:rPr>
              <w:t xml:space="preserve">looker-prd, looker-actions</w:t>
            </w:r>
          </w:p>
        </w:tc>
      </w:tr>
      <w:tr>
        <w:tc>
          <w:tcPr>
            <w:tcW w:type="dxa" w:w="902"/>
            <w:shd w:fill="F7F9FC" w:color="auto" w:val="clear"/>
            <w:tcMar>
              <w:top w:type="dxa" w:w="60"/>
              <w:left w:type="dxa" w:w="100"/>
              <w:bottom w:type="dxa" w:w="60"/>
              <w:right w:type="dxa" w:w="100"/>
            </w:tcMar>
          </w:tcPr>
          <w:p>
            <w:pPr>
              <w:spacing w:after="40"/>
            </w:pPr>
            <w:r>
              <w:rPr>
                <w:sz w:val="18"/>
                <w:szCs w:val="18"/>
              </w:rPr>
              <w:t xml:space="preserve">INT</w:t>
            </w:r>
          </w:p>
        </w:tc>
        <w:tc>
          <w:tcPr>
            <w:tcW w:type="dxa" w:w="1404"/>
            <w:shd w:fill="F7F9FC" w:color="auto" w:val="clear"/>
            <w:tcMar>
              <w:top w:type="dxa" w:w="60"/>
              <w:left w:type="dxa" w:w="100"/>
              <w:bottom w:type="dxa" w:w="60"/>
              <w:right w:type="dxa" w:w="100"/>
            </w:tcMar>
          </w:tcPr>
          <w:p>
            <w:pPr>
              <w:spacing w:after="40"/>
            </w:pPr>
            <w:r>
              <w:rPr>
                <w:sz w:val="18"/>
                <w:szCs w:val="18"/>
              </w:rPr>
              <w:t xml:space="preserve">External</w:t>
            </w:r>
          </w:p>
        </w:tc>
        <w:tc>
          <w:tcPr>
            <w:tcW w:type="dxa" w:w="1905"/>
            <w:shd w:fill="F7F9FC" w:color="auto" w:val="clear"/>
            <w:tcMar>
              <w:top w:type="dxa" w:w="60"/>
              <w:left w:type="dxa" w:w="100"/>
              <w:bottom w:type="dxa" w:w="60"/>
              <w:right w:type="dxa" w:w="100"/>
            </w:tcMar>
          </w:tcPr>
          <w:p>
            <w:pPr>
              <w:spacing w:after="40"/>
            </w:pPr>
            <w:r>
              <w:rPr>
                <w:sz w:val="18"/>
                <w:szCs w:val="18"/>
              </w:rPr>
              <w:t xml:space="preserve">TBC</w:t>
            </w:r>
          </w:p>
        </w:tc>
        <w:tc>
          <w:tcPr>
            <w:tcW w:type="dxa" w:w="2306"/>
            <w:shd w:fill="F7F9FC" w:color="auto" w:val="clear"/>
            <w:tcMar>
              <w:top w:type="dxa" w:w="60"/>
              <w:left w:type="dxa" w:w="100"/>
              <w:bottom w:type="dxa" w:w="60"/>
              <w:right w:type="dxa" w:w="100"/>
            </w:tcMar>
          </w:tcPr>
          <w:p>
            <w:pPr>
              <w:spacing w:after="40"/>
            </w:pPr>
            <w:r>
              <w:rPr>
                <w:sz w:val="18"/>
                <w:szCs w:val="18"/>
              </w:rPr>
              <w:t xml:space="preserve">TBC</w:t>
            </w:r>
          </w:p>
        </w:tc>
        <w:tc>
          <w:tcPr>
            <w:tcW w:type="dxa" w:w="2509"/>
            <w:shd w:fill="F7F9FC" w:color="auto" w:val="clear"/>
            <w:tcMar>
              <w:top w:type="dxa" w:w="60"/>
              <w:left w:type="dxa" w:w="100"/>
              <w:bottom w:type="dxa" w:w="60"/>
              <w:right w:type="dxa" w:w="100"/>
            </w:tcMar>
          </w:tcPr>
          <w:p>
            <w:pPr>
              <w:spacing w:after="40"/>
            </w:pPr>
            <w:r>
              <w:rPr>
                <w:sz w:val="18"/>
                <w:szCs w:val="18"/>
              </w:rPr>
              <w:t xml:space="preserve">looker-ext-int, partner-api, writeback</w:t>
            </w:r>
          </w:p>
        </w:tc>
      </w:tr>
      <w:tr>
        <w:tc>
          <w:tcPr>
            <w:tcW w:type="dxa" w:w="902"/>
            <w:tcMar>
              <w:top w:type="dxa" w:w="60"/>
              <w:left w:type="dxa" w:w="100"/>
              <w:bottom w:type="dxa" w:w="60"/>
              <w:right w:type="dxa" w:w="100"/>
            </w:tcMar>
          </w:tcPr>
          <w:p>
            <w:pPr>
              <w:spacing w:after="40"/>
            </w:pPr>
            <w:r>
              <w:rPr>
                <w:sz w:val="18"/>
                <w:szCs w:val="18"/>
              </w:rPr>
              <w:t xml:space="preserve">PRE</w:t>
            </w:r>
          </w:p>
        </w:tc>
        <w:tc>
          <w:tcPr>
            <w:tcW w:type="dxa" w:w="1404"/>
            <w:tcMar>
              <w:top w:type="dxa" w:w="60"/>
              <w:left w:type="dxa" w:w="100"/>
              <w:bottom w:type="dxa" w:w="60"/>
              <w:right w:type="dxa" w:w="100"/>
            </w:tcMar>
          </w:tcPr>
          <w:p>
            <w:pPr>
              <w:spacing w:after="40"/>
            </w:pPr>
            <w:r>
              <w:rPr>
                <w:sz w:val="18"/>
                <w:szCs w:val="18"/>
              </w:rPr>
              <w:t xml:space="preserve">External</w:t>
            </w:r>
          </w:p>
        </w:tc>
        <w:tc>
          <w:tcPr>
            <w:tcW w:type="dxa" w:w="1905"/>
            <w:tcMar>
              <w:top w:type="dxa" w:w="60"/>
              <w:left w:type="dxa" w:w="100"/>
              <w:bottom w:type="dxa" w:w="60"/>
              <w:right w:type="dxa" w:w="100"/>
            </w:tcMar>
          </w:tcPr>
          <w:p>
            <w:pPr>
              <w:spacing w:after="40"/>
            </w:pPr>
            <w:r>
              <w:rPr>
                <w:sz w:val="18"/>
                <w:szCs w:val="18"/>
              </w:rPr>
              <w:t xml:space="preserve">TBC</w:t>
            </w:r>
          </w:p>
        </w:tc>
        <w:tc>
          <w:tcPr>
            <w:tcW w:type="dxa" w:w="2306"/>
            <w:tcMar>
              <w:top w:type="dxa" w:w="60"/>
              <w:left w:type="dxa" w:w="100"/>
              <w:bottom w:type="dxa" w:w="60"/>
              <w:right w:type="dxa" w:w="100"/>
            </w:tcMar>
          </w:tcPr>
          <w:p>
            <w:pPr>
              <w:spacing w:after="40"/>
            </w:pPr>
            <w:r>
              <w:rPr>
                <w:sz w:val="18"/>
                <w:szCs w:val="18"/>
              </w:rPr>
              <w:t xml:space="preserve">TBC</w:t>
            </w:r>
          </w:p>
        </w:tc>
        <w:tc>
          <w:tcPr>
            <w:tcW w:type="dxa" w:w="2509"/>
            <w:tcMar>
              <w:top w:type="dxa" w:w="60"/>
              <w:left w:type="dxa" w:w="100"/>
              <w:bottom w:type="dxa" w:w="60"/>
              <w:right w:type="dxa" w:w="100"/>
            </w:tcMar>
          </w:tcPr>
          <w:p>
            <w:pPr>
              <w:spacing w:after="40"/>
            </w:pPr>
            <w:r>
              <w:rPr>
                <w:sz w:val="18"/>
                <w:szCs w:val="18"/>
              </w:rPr>
              <w:t xml:space="preserve">looker-ext-pre, partner-api, writeback</w:t>
            </w:r>
          </w:p>
        </w:tc>
      </w:tr>
      <w:tr>
        <w:tc>
          <w:tcPr>
            <w:tcW w:type="dxa" w:w="902"/>
            <w:shd w:fill="F7F9FC" w:color="auto" w:val="clear"/>
            <w:tcMar>
              <w:top w:type="dxa" w:w="60"/>
              <w:left w:type="dxa" w:w="100"/>
              <w:bottom w:type="dxa" w:w="60"/>
              <w:right w:type="dxa" w:w="100"/>
            </w:tcMar>
          </w:tcPr>
          <w:p>
            <w:pPr>
              <w:spacing w:after="40"/>
            </w:pPr>
            <w:r>
              <w:rPr>
                <w:sz w:val="18"/>
                <w:szCs w:val="18"/>
              </w:rPr>
              <w:t xml:space="preserve">PRD</w:t>
            </w:r>
          </w:p>
        </w:tc>
        <w:tc>
          <w:tcPr>
            <w:tcW w:type="dxa" w:w="1404"/>
            <w:shd w:fill="F7F9FC" w:color="auto" w:val="clear"/>
            <w:tcMar>
              <w:top w:type="dxa" w:w="60"/>
              <w:left w:type="dxa" w:w="100"/>
              <w:bottom w:type="dxa" w:w="60"/>
              <w:right w:type="dxa" w:w="100"/>
            </w:tcMar>
          </w:tcPr>
          <w:p>
            <w:pPr>
              <w:spacing w:after="40"/>
            </w:pPr>
            <w:r>
              <w:rPr>
                <w:sz w:val="18"/>
                <w:szCs w:val="18"/>
              </w:rPr>
              <w:t xml:space="preserve">External</w:t>
            </w:r>
          </w:p>
        </w:tc>
        <w:tc>
          <w:tcPr>
            <w:tcW w:type="dxa" w:w="1905"/>
            <w:shd w:fill="F7F9FC" w:color="auto" w:val="clear"/>
            <w:tcMar>
              <w:top w:type="dxa" w:w="60"/>
              <w:left w:type="dxa" w:w="100"/>
              <w:bottom w:type="dxa" w:w="60"/>
              <w:right w:type="dxa" w:w="100"/>
            </w:tcMar>
          </w:tcPr>
          <w:p>
            <w:pPr>
              <w:spacing w:after="40"/>
            </w:pPr>
            <w:r>
              <w:rPr>
                <w:sz w:val="18"/>
                <w:szCs w:val="18"/>
              </w:rPr>
              <w:t xml:space="preserve">TBC</w:t>
            </w:r>
          </w:p>
        </w:tc>
        <w:tc>
          <w:tcPr>
            <w:tcW w:type="dxa" w:w="2306"/>
            <w:shd w:fill="F7F9FC" w:color="auto" w:val="clear"/>
            <w:tcMar>
              <w:top w:type="dxa" w:w="60"/>
              <w:left w:type="dxa" w:w="100"/>
              <w:bottom w:type="dxa" w:w="60"/>
              <w:right w:type="dxa" w:w="100"/>
            </w:tcMar>
          </w:tcPr>
          <w:p>
            <w:pPr>
              <w:spacing w:after="40"/>
            </w:pPr>
            <w:r>
              <w:rPr>
                <w:sz w:val="18"/>
                <w:szCs w:val="18"/>
              </w:rPr>
              <w:t xml:space="preserve">TBC</w:t>
            </w:r>
          </w:p>
        </w:tc>
        <w:tc>
          <w:tcPr>
            <w:tcW w:type="dxa" w:w="2509"/>
            <w:shd w:fill="F7F9FC" w:color="auto" w:val="clear"/>
            <w:tcMar>
              <w:top w:type="dxa" w:w="60"/>
              <w:left w:type="dxa" w:w="100"/>
              <w:bottom w:type="dxa" w:w="60"/>
              <w:right w:type="dxa" w:w="100"/>
            </w:tcMar>
          </w:tcPr>
          <w:p>
            <w:pPr>
              <w:spacing w:after="40"/>
            </w:pPr>
            <w:r>
              <w:rPr>
                <w:sz w:val="18"/>
                <w:szCs w:val="18"/>
              </w:rPr>
              <w:t xml:space="preserve">looker-ext-prd, partner-api, writeback</w:t>
            </w:r>
          </w:p>
        </w:tc>
      </w:tr>
    </w:tbl>
    <w:p>
      <w:pPr>
        <w:pBdr>
          <w:left w:val="single" w:color="C9A227" w:sz="18" w:space="6"/>
        </w:pBdr>
        <w:shd w:fill="FFF4CE" w:color="auto" w:val="clear"/>
        <w:spacing w:after="160" w:before="80"/>
        <w:ind w:left="120" w:right="120"/>
      </w:pPr>
      <w:r>
        <w:rPr>
          <w:sz w:val="19"/>
          <w:szCs w:val="19"/>
        </w:rPr>
        <w:t xml:space="preserve">Static IPs and direct-connect links are allocated by the Network team at build. Namespace names are proposals: partner-api hosts Looker API, Partner Details API and Embed URL API; writeback hosts Write-back API and Writer; looker-actions hosts the Action Hub.</w:t>
      </w:r>
    </w:p>
    <w:p>
      <w:pPr>
        <w:spacing w:after="120"/>
      </w:pPr>
      <w:r>
        <w:rPr>
          <w:b/>
          <w:bCs/>
          <w:color w:val="C00000"/>
          <w:sz w:val="16"/>
          <w:szCs w:val="16"/>
        </w:rPr>
        <w:t xml:space="preserve">MANDATORY (Public Cloud) – Section Guidance</w:t>
      </w:r>
    </w:p>
    <w:p>
      <w:pPr>
        <w:pStyle w:val="Heading2"/>
      </w:pPr>
      <w:r>
        <w:t xml:space="preserve">2.7 FinOps Considerations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09"/>
        <w:gridCol w:w="1203"/>
        <w:gridCol w:w="4614"/>
      </w:tblGrid>
      <w:tr>
        <w:trPr>
          <w:tblHeader/>
        </w:trPr>
        <w:tc>
          <w:tcPr>
            <w:tcW w:type="dxa" w:w="3209"/>
            <w:shd w:fill="1F4E79" w:color="auto" w:val="clear"/>
            <w:tcMar>
              <w:top w:type="dxa" w:w="60"/>
              <w:left w:type="dxa" w:w="100"/>
              <w:bottom w:type="dxa" w:w="60"/>
              <w:right w:type="dxa" w:w="100"/>
            </w:tcMar>
          </w:tcPr>
          <w:p>
            <w:pPr>
              <w:spacing w:after="40"/>
            </w:pPr>
            <w:r>
              <w:rPr>
                <w:b/>
                <w:bCs/>
                <w:color w:val="FFFFFF"/>
                <w:sz w:val="18"/>
                <w:szCs w:val="18"/>
              </w:rPr>
              <w:t xml:space="preserve">Consideration</w:t>
            </w:r>
          </w:p>
        </w:tc>
        <w:tc>
          <w:tcPr>
            <w:tcW w:type="dxa" w:w="1203"/>
            <w:shd w:fill="1F4E79" w:color="auto" w:val="clear"/>
            <w:tcMar>
              <w:top w:type="dxa" w:w="60"/>
              <w:left w:type="dxa" w:w="100"/>
              <w:bottom w:type="dxa" w:w="60"/>
              <w:right w:type="dxa" w:w="100"/>
            </w:tcMar>
          </w:tcPr>
          <w:p>
            <w:pPr>
              <w:spacing w:after="40"/>
            </w:pPr>
            <w:r>
              <w:rPr>
                <w:b/>
                <w:bCs/>
                <w:color w:val="FFFFFF"/>
                <w:sz w:val="18"/>
                <w:szCs w:val="18"/>
              </w:rPr>
              <w:t xml:space="preserve">Met? (Y/N)</w:t>
            </w:r>
          </w:p>
        </w:tc>
        <w:tc>
          <w:tcPr>
            <w:tcW w:type="dxa" w:w="4614"/>
            <w:shd w:fill="1F4E79" w:color="auto" w:val="clear"/>
            <w:tcMar>
              <w:top w:type="dxa" w:w="60"/>
              <w:left w:type="dxa" w:w="100"/>
              <w:bottom w:type="dxa" w:w="60"/>
              <w:right w:type="dxa" w:w="100"/>
            </w:tcMar>
          </w:tcPr>
          <w:p>
            <w:pPr>
              <w:spacing w:after="40"/>
            </w:pPr>
            <w:r>
              <w:rPr>
                <w:b/>
                <w:bCs/>
                <w:color w:val="FFFFFF"/>
                <w:sz w:val="18"/>
                <w:szCs w:val="18"/>
              </w:rPr>
              <w:t xml:space="preserve">Details</w:t>
            </w:r>
          </w:p>
        </w:tc>
      </w:tr>
      <w:tr>
        <w:tc>
          <w:tcPr>
            <w:tcW w:type="dxa" w:w="3209"/>
            <w:tcMar>
              <w:top w:type="dxa" w:w="60"/>
              <w:left w:type="dxa" w:w="100"/>
              <w:bottom w:type="dxa" w:w="60"/>
              <w:right w:type="dxa" w:w="100"/>
            </w:tcMar>
          </w:tcPr>
          <w:p>
            <w:pPr>
              <w:spacing w:after="40"/>
            </w:pPr>
            <w:r>
              <w:rPr>
                <w:sz w:val="18"/>
                <w:szCs w:val="18"/>
              </w:rPr>
              <w:t xml:space="preserve">Use of Cloud provider calculators or LBG version of the calculators</w:t>
            </w:r>
          </w:p>
        </w:tc>
        <w:tc>
          <w:tcPr>
            <w:tcW w:type="dxa" w:w="1203"/>
            <w:tcMar>
              <w:top w:type="dxa" w:w="60"/>
              <w:left w:type="dxa" w:w="100"/>
              <w:bottom w:type="dxa" w:w="60"/>
              <w:right w:type="dxa" w:w="100"/>
            </w:tcMar>
          </w:tcPr>
          <w:p>
            <w:pPr>
              <w:spacing w:after="40"/>
            </w:pPr>
            <w:r>
              <w:rPr>
                <w:sz w:val="18"/>
                <w:szCs w:val="18"/>
              </w:rPr>
              <w:t xml:space="preserve">Y (draft)</w:t>
            </w:r>
          </w:p>
        </w:tc>
        <w:tc>
          <w:tcPr>
            <w:tcW w:type="dxa" w:w="4614"/>
            <w:tcMar>
              <w:top w:type="dxa" w:w="60"/>
              <w:left w:type="dxa" w:w="100"/>
              <w:bottom w:type="dxa" w:w="60"/>
              <w:right w:type="dxa" w:w="100"/>
            </w:tcMar>
          </w:tcPr>
          <w:p>
            <w:pPr>
              <w:spacing w:after="40"/>
            </w:pPr>
            <w:r>
              <w:rPr>
                <w:sz w:val="18"/>
                <w:szCs w:val="18"/>
              </w:rPr>
              <w:t xml:space="preserve">Incremental estimate: 3 small GKE deployments (≈ 6 pods), Cloud SQL HA db-custom-2-7680, Secret Manager, Apigee calls on existing org. Looker embed-user licensing and BigQuery query cost are the main drivers – to be finalised with GEM volumes.</w:t>
            </w:r>
          </w:p>
        </w:tc>
      </w:tr>
      <w:tr>
        <w:tc>
          <w:tcPr>
            <w:tcW w:type="dxa" w:w="3209"/>
            <w:shd w:fill="F7F9FC" w:color="auto" w:val="clear"/>
            <w:tcMar>
              <w:top w:type="dxa" w:w="60"/>
              <w:left w:type="dxa" w:w="100"/>
              <w:bottom w:type="dxa" w:w="60"/>
              <w:right w:type="dxa" w:w="100"/>
            </w:tcMar>
          </w:tcPr>
          <w:p>
            <w:pPr>
              <w:spacing w:after="40"/>
            </w:pPr>
            <w:r>
              <w:rPr>
                <w:sz w:val="18"/>
                <w:szCs w:val="18"/>
              </w:rPr>
              <w:t xml:space="preserve">Resources rightsized</w:t>
            </w:r>
          </w:p>
        </w:tc>
        <w:tc>
          <w:tcPr>
            <w:tcW w:type="dxa" w:w="1203"/>
            <w:shd w:fill="F7F9FC" w:color="auto" w:val="clear"/>
            <w:tcMar>
              <w:top w:type="dxa" w:w="60"/>
              <w:left w:type="dxa" w:w="100"/>
              <w:bottom w:type="dxa" w:w="60"/>
              <w:right w:type="dxa" w:w="100"/>
            </w:tcMar>
          </w:tcPr>
          <w:p>
            <w:pPr>
              <w:spacing w:after="40"/>
            </w:pPr>
            <w:r>
              <w:rPr>
                <w:sz w:val="18"/>
                <w:szCs w:val="18"/>
              </w:rPr>
              <w:t xml:space="preserve">Y</w:t>
            </w:r>
          </w:p>
        </w:tc>
        <w:tc>
          <w:tcPr>
            <w:tcW w:type="dxa" w:w="4614"/>
            <w:shd w:fill="F7F9FC" w:color="auto" w:val="clear"/>
            <w:tcMar>
              <w:top w:type="dxa" w:w="60"/>
              <w:left w:type="dxa" w:w="100"/>
              <w:bottom w:type="dxa" w:w="60"/>
              <w:right w:type="dxa" w:w="100"/>
            </w:tcMar>
          </w:tcPr>
          <w:p>
            <w:pPr>
              <w:spacing w:after="40"/>
            </w:pPr>
            <w:r>
              <w:rPr>
                <w:sz w:val="18"/>
                <w:szCs w:val="18"/>
              </w:rPr>
              <w:t xml:space="preserve">APIs start at 250m CPU / 256 Mi; Cloud SQL 2 vCPU; reviewed after performance test.</w:t>
            </w:r>
          </w:p>
        </w:tc>
      </w:tr>
      <w:tr>
        <w:tc>
          <w:tcPr>
            <w:tcW w:type="dxa" w:w="3209"/>
            <w:tcMar>
              <w:top w:type="dxa" w:w="60"/>
              <w:left w:type="dxa" w:w="100"/>
              <w:bottom w:type="dxa" w:w="60"/>
              <w:right w:type="dxa" w:w="100"/>
            </w:tcMar>
          </w:tcPr>
          <w:p>
            <w:pPr>
              <w:spacing w:after="40"/>
            </w:pPr>
            <w:r>
              <w:rPr>
                <w:sz w:val="18"/>
                <w:szCs w:val="18"/>
              </w:rPr>
              <w:t xml:space="preserve">Auto-scaling in place where applicable</w:t>
            </w:r>
          </w:p>
        </w:tc>
        <w:tc>
          <w:tcPr>
            <w:tcW w:type="dxa" w:w="1203"/>
            <w:tcMar>
              <w:top w:type="dxa" w:w="60"/>
              <w:left w:type="dxa" w:w="100"/>
              <w:bottom w:type="dxa" w:w="60"/>
              <w:right w:type="dxa" w:w="100"/>
            </w:tcMar>
          </w:tcPr>
          <w:p>
            <w:pPr>
              <w:spacing w:after="40"/>
            </w:pPr>
            <w:r>
              <w:rPr>
                <w:sz w:val="18"/>
                <w:szCs w:val="18"/>
              </w:rPr>
              <w:t xml:space="preserve">Y</w:t>
            </w:r>
          </w:p>
        </w:tc>
        <w:tc>
          <w:tcPr>
            <w:tcW w:type="dxa" w:w="4614"/>
            <w:tcMar>
              <w:top w:type="dxa" w:w="60"/>
              <w:left w:type="dxa" w:w="100"/>
              <w:bottom w:type="dxa" w:w="60"/>
              <w:right w:type="dxa" w:w="100"/>
            </w:tcMar>
          </w:tcPr>
          <w:p>
            <w:pPr>
              <w:spacing w:after="40"/>
            </w:pPr>
            <w:r>
              <w:rPr>
                <w:sz w:val="18"/>
                <w:szCs w:val="18"/>
              </w:rPr>
              <w:t xml:space="preserve">GKE HPA on CPU / RPS; Cluster Autoscaler; Looker node pool scaling.</w:t>
            </w:r>
          </w:p>
        </w:tc>
      </w:tr>
      <w:tr>
        <w:tc>
          <w:tcPr>
            <w:tcW w:type="dxa" w:w="3209"/>
            <w:shd w:fill="F7F9FC" w:color="auto" w:val="clear"/>
            <w:tcMar>
              <w:top w:type="dxa" w:w="60"/>
              <w:left w:type="dxa" w:w="100"/>
              <w:bottom w:type="dxa" w:w="60"/>
              <w:right w:type="dxa" w:w="100"/>
            </w:tcMar>
          </w:tcPr>
          <w:p>
            <w:pPr>
              <w:spacing w:after="40"/>
            </w:pPr>
            <w:r>
              <w:rPr>
                <w:sz w:val="18"/>
                <w:szCs w:val="18"/>
              </w:rPr>
              <w:t xml:space="preserve">Appropriate Storage used</w:t>
            </w:r>
          </w:p>
        </w:tc>
        <w:tc>
          <w:tcPr>
            <w:tcW w:type="dxa" w:w="1203"/>
            <w:shd w:fill="F7F9FC" w:color="auto" w:val="clear"/>
            <w:tcMar>
              <w:top w:type="dxa" w:w="60"/>
              <w:left w:type="dxa" w:w="100"/>
              <w:bottom w:type="dxa" w:w="60"/>
              <w:right w:type="dxa" w:w="100"/>
            </w:tcMar>
          </w:tcPr>
          <w:p>
            <w:pPr>
              <w:spacing w:after="40"/>
            </w:pPr>
            <w:r>
              <w:rPr>
                <w:sz w:val="18"/>
                <w:szCs w:val="18"/>
              </w:rPr>
              <w:t xml:space="preserve">Y</w:t>
            </w:r>
          </w:p>
        </w:tc>
        <w:tc>
          <w:tcPr>
            <w:tcW w:type="dxa" w:w="4614"/>
            <w:shd w:fill="F7F9FC" w:color="auto" w:val="clear"/>
            <w:tcMar>
              <w:top w:type="dxa" w:w="60"/>
              <w:left w:type="dxa" w:w="100"/>
              <w:bottom w:type="dxa" w:w="60"/>
              <w:right w:type="dxa" w:w="100"/>
            </w:tcMar>
          </w:tcPr>
          <w:p>
            <w:pPr>
              <w:spacing w:after="40"/>
            </w:pPr>
            <w:r>
              <w:rPr>
                <w:sz w:val="18"/>
                <w:szCs w:val="18"/>
              </w:rPr>
              <w:t xml:space="preserve">Cloud SQL SSD for registry (small); BigQuery for analytics and logs.</w:t>
            </w:r>
          </w:p>
        </w:tc>
      </w:tr>
      <w:tr>
        <w:tc>
          <w:tcPr>
            <w:tcW w:type="dxa" w:w="3209"/>
            <w:tcMar>
              <w:top w:type="dxa" w:w="60"/>
              <w:left w:type="dxa" w:w="100"/>
              <w:bottom w:type="dxa" w:w="60"/>
              <w:right w:type="dxa" w:w="100"/>
            </w:tcMar>
          </w:tcPr>
          <w:p>
            <w:pPr>
              <w:spacing w:after="40"/>
            </w:pPr>
            <w:r>
              <w:rPr>
                <w:sz w:val="18"/>
                <w:szCs w:val="18"/>
              </w:rPr>
              <w:t xml:space="preserve">Storage lifecycle policy in place</w:t>
            </w:r>
          </w:p>
        </w:tc>
        <w:tc>
          <w:tcPr>
            <w:tcW w:type="dxa" w:w="1203"/>
            <w:tcMar>
              <w:top w:type="dxa" w:w="60"/>
              <w:left w:type="dxa" w:w="100"/>
              <w:bottom w:type="dxa" w:w="60"/>
              <w:right w:type="dxa" w:w="100"/>
            </w:tcMar>
          </w:tcPr>
          <w:p>
            <w:pPr>
              <w:spacing w:after="40"/>
            </w:pPr>
            <w:r>
              <w:rPr>
                <w:sz w:val="18"/>
                <w:szCs w:val="18"/>
              </w:rPr>
              <w:t xml:space="preserve">Y</w:t>
            </w:r>
          </w:p>
        </w:tc>
        <w:tc>
          <w:tcPr>
            <w:tcW w:type="dxa" w:w="4614"/>
            <w:tcMar>
              <w:top w:type="dxa" w:w="60"/>
              <w:left w:type="dxa" w:w="100"/>
              <w:bottom w:type="dxa" w:w="60"/>
              <w:right w:type="dxa" w:w="100"/>
            </w:tcMar>
          </w:tcPr>
          <w:p>
            <w:pPr>
              <w:spacing w:after="40"/>
            </w:pPr>
            <w:r>
              <w:rPr>
                <w:sz w:val="18"/>
                <w:szCs w:val="18"/>
              </w:rPr>
              <w:t xml:space="preserve">Log bucket and BigQuery log-sink table expiry per retention policy; writeback_log retained per data owner.</w:t>
            </w:r>
          </w:p>
        </w:tc>
      </w:tr>
      <w:tr>
        <w:tc>
          <w:tcPr>
            <w:tcW w:type="dxa" w:w="3209"/>
            <w:shd w:fill="F7F9FC" w:color="auto" w:val="clear"/>
            <w:tcMar>
              <w:top w:type="dxa" w:w="60"/>
              <w:left w:type="dxa" w:w="100"/>
              <w:bottom w:type="dxa" w:w="60"/>
              <w:right w:type="dxa" w:w="100"/>
            </w:tcMar>
          </w:tcPr>
          <w:p>
            <w:pPr>
              <w:spacing w:after="40"/>
            </w:pPr>
            <w:r>
              <w:rPr>
                <w:sz w:val="18"/>
                <w:szCs w:val="18"/>
              </w:rPr>
              <w:t xml:space="preserve">Storage tiering in place</w:t>
            </w:r>
          </w:p>
        </w:tc>
        <w:tc>
          <w:tcPr>
            <w:tcW w:type="dxa" w:w="1203"/>
            <w:shd w:fill="F7F9FC" w:color="auto" w:val="clear"/>
            <w:tcMar>
              <w:top w:type="dxa" w:w="60"/>
              <w:left w:type="dxa" w:w="100"/>
              <w:bottom w:type="dxa" w:w="60"/>
              <w:right w:type="dxa" w:w="100"/>
            </w:tcMar>
          </w:tcPr>
          <w:p>
            <w:pPr>
              <w:spacing w:after="40"/>
            </w:pPr>
            <w:r>
              <w:rPr>
                <w:sz w:val="18"/>
                <w:szCs w:val="18"/>
              </w:rPr>
              <w:t xml:space="preserve">Y</w:t>
            </w:r>
          </w:p>
        </w:tc>
        <w:tc>
          <w:tcPr>
            <w:tcW w:type="dxa" w:w="4614"/>
            <w:shd w:fill="F7F9FC" w:color="auto" w:val="clear"/>
            <w:tcMar>
              <w:top w:type="dxa" w:w="60"/>
              <w:left w:type="dxa" w:w="100"/>
              <w:bottom w:type="dxa" w:w="60"/>
              <w:right w:type="dxa" w:w="100"/>
            </w:tcMar>
          </w:tcPr>
          <w:p>
            <w:pPr>
              <w:spacing w:after="40"/>
            </w:pPr>
            <w:r>
              <w:rPr>
                <w:sz w:val="18"/>
                <w:szCs w:val="18"/>
              </w:rPr>
              <w:t xml:space="preserve">BigQuery long-term storage pricing applies automatically to unchanged partitions.</w:t>
            </w:r>
          </w:p>
        </w:tc>
      </w:tr>
      <w:tr>
        <w:tc>
          <w:tcPr>
            <w:tcW w:type="dxa" w:w="3209"/>
            <w:tcMar>
              <w:top w:type="dxa" w:w="60"/>
              <w:left w:type="dxa" w:w="100"/>
              <w:bottom w:type="dxa" w:w="60"/>
              <w:right w:type="dxa" w:w="100"/>
            </w:tcMar>
          </w:tcPr>
          <w:p>
            <w:pPr>
              <w:spacing w:after="40"/>
            </w:pPr>
            <w:r>
              <w:rPr>
                <w:sz w:val="18"/>
                <w:szCs w:val="18"/>
              </w:rPr>
              <w:t xml:space="preserve">Tagging/Labelling in place</w:t>
            </w:r>
          </w:p>
        </w:tc>
        <w:tc>
          <w:tcPr>
            <w:tcW w:type="dxa" w:w="1203"/>
            <w:tcMar>
              <w:top w:type="dxa" w:w="60"/>
              <w:left w:type="dxa" w:w="100"/>
              <w:bottom w:type="dxa" w:w="60"/>
              <w:right w:type="dxa" w:w="100"/>
            </w:tcMar>
          </w:tcPr>
          <w:p>
            <w:pPr>
              <w:spacing w:after="40"/>
            </w:pPr>
            <w:r>
              <w:rPr>
                <w:sz w:val="18"/>
                <w:szCs w:val="18"/>
              </w:rPr>
              <w:t xml:space="preserve">Y</w:t>
            </w:r>
          </w:p>
        </w:tc>
        <w:tc>
          <w:tcPr>
            <w:tcW w:type="dxa" w:w="4614"/>
            <w:tcMar>
              <w:top w:type="dxa" w:w="60"/>
              <w:left w:type="dxa" w:w="100"/>
              <w:bottom w:type="dxa" w:w="60"/>
              <w:right w:type="dxa" w:w="100"/>
            </w:tcMar>
          </w:tcPr>
          <w:p>
            <w:pPr>
              <w:spacing w:after="40"/>
            </w:pPr>
            <w:r>
              <w:rPr>
                <w:sz w:val="18"/>
                <w:szCs w:val="18"/>
              </w:rPr>
              <w:t xml:space="preserve">Labels: app=biaas-looker-ext, env, cost-centre, tenant (where possible) on all resources.</w:t>
            </w:r>
          </w:p>
        </w:tc>
      </w:tr>
      <w:tr>
        <w:tc>
          <w:tcPr>
            <w:tcW w:type="dxa" w:w="3209"/>
            <w:shd w:fill="F7F9FC" w:color="auto" w:val="clear"/>
            <w:tcMar>
              <w:top w:type="dxa" w:w="60"/>
              <w:left w:type="dxa" w:w="100"/>
              <w:bottom w:type="dxa" w:w="60"/>
              <w:right w:type="dxa" w:w="100"/>
            </w:tcMar>
          </w:tcPr>
          <w:p>
            <w:pPr>
              <w:spacing w:after="40"/>
            </w:pPr>
            <w:r>
              <w:rPr>
                <w:sz w:val="18"/>
                <w:szCs w:val="18"/>
              </w:rPr>
              <w:t xml:space="preserve">Power scheduling policies in place</w:t>
            </w:r>
          </w:p>
        </w:tc>
        <w:tc>
          <w:tcPr>
            <w:tcW w:type="dxa" w:w="1203"/>
            <w:shd w:fill="F7F9FC" w:color="auto" w:val="clear"/>
            <w:tcMar>
              <w:top w:type="dxa" w:w="60"/>
              <w:left w:type="dxa" w:w="100"/>
              <w:bottom w:type="dxa" w:w="60"/>
              <w:right w:type="dxa" w:w="100"/>
            </w:tcMar>
          </w:tcPr>
          <w:p>
            <w:pPr>
              <w:spacing w:after="40"/>
            </w:pPr>
            <w:r>
              <w:rPr>
                <w:sz w:val="18"/>
                <w:szCs w:val="18"/>
              </w:rPr>
              <w:t xml:space="preserve">Y (non-PRD)</w:t>
            </w:r>
          </w:p>
        </w:tc>
        <w:tc>
          <w:tcPr>
            <w:tcW w:type="dxa" w:w="4614"/>
            <w:shd w:fill="F7F9FC" w:color="auto" w:val="clear"/>
            <w:tcMar>
              <w:top w:type="dxa" w:w="60"/>
              <w:left w:type="dxa" w:w="100"/>
              <w:bottom w:type="dxa" w:w="60"/>
              <w:right w:type="dxa" w:w="100"/>
            </w:tcMar>
          </w:tcPr>
          <w:p>
            <w:pPr>
              <w:spacing w:after="40"/>
            </w:pPr>
            <w:r>
              <w:rPr>
                <w:sz w:val="18"/>
                <w:szCs w:val="18"/>
              </w:rPr>
              <w:t xml:space="preserve">INT scaled down out of hours; PRE on demand; PRD always on.</w:t>
            </w:r>
          </w:p>
        </w:tc>
      </w:tr>
      <w:tr>
        <w:tc>
          <w:tcPr>
            <w:tcW w:type="dxa" w:w="3209"/>
            <w:tcMar>
              <w:top w:type="dxa" w:w="60"/>
              <w:left w:type="dxa" w:w="100"/>
              <w:bottom w:type="dxa" w:w="60"/>
              <w:right w:type="dxa" w:w="100"/>
            </w:tcMar>
          </w:tcPr>
          <w:p>
            <w:pPr>
              <w:spacing w:after="40"/>
            </w:pPr>
            <w:r>
              <w:rPr>
                <w:sz w:val="18"/>
                <w:szCs w:val="18"/>
              </w:rPr>
              <w:t xml:space="preserve">Quotas and Limits set appropriately</w:t>
            </w:r>
          </w:p>
        </w:tc>
        <w:tc>
          <w:tcPr>
            <w:tcW w:type="dxa" w:w="1203"/>
            <w:tcMar>
              <w:top w:type="dxa" w:w="60"/>
              <w:left w:type="dxa" w:w="100"/>
              <w:bottom w:type="dxa" w:w="60"/>
              <w:right w:type="dxa" w:w="100"/>
            </w:tcMar>
          </w:tcPr>
          <w:p>
            <w:pPr>
              <w:spacing w:after="40"/>
            </w:pPr>
            <w:r>
              <w:rPr>
                <w:sz w:val="18"/>
                <w:szCs w:val="18"/>
              </w:rPr>
              <w:t xml:space="preserve">Y</w:t>
            </w:r>
          </w:p>
        </w:tc>
        <w:tc>
          <w:tcPr>
            <w:tcW w:type="dxa" w:w="4614"/>
            <w:tcMar>
              <w:top w:type="dxa" w:w="60"/>
              <w:left w:type="dxa" w:w="100"/>
              <w:bottom w:type="dxa" w:w="60"/>
              <w:right w:type="dxa" w:w="100"/>
            </w:tcMar>
          </w:tcPr>
          <w:p>
            <w:pPr>
              <w:spacing w:after="40"/>
            </w:pPr>
            <w:r>
              <w:rPr>
                <w:sz w:val="18"/>
                <w:szCs w:val="18"/>
              </w:rPr>
              <w:t xml:space="preserve">Apigee quotas per client; BigQuery custom quotas per project; HPA max replicas.</w:t>
            </w:r>
          </w:p>
        </w:tc>
      </w:tr>
      <w:tr>
        <w:tc>
          <w:tcPr>
            <w:tcW w:type="dxa" w:w="3209"/>
            <w:shd w:fill="F7F9FC" w:color="auto" w:val="clear"/>
            <w:tcMar>
              <w:top w:type="dxa" w:w="60"/>
              <w:left w:type="dxa" w:w="100"/>
              <w:bottom w:type="dxa" w:w="60"/>
              <w:right w:type="dxa" w:w="100"/>
            </w:tcMar>
          </w:tcPr>
          <w:p>
            <w:pPr>
              <w:spacing w:after="40"/>
            </w:pPr>
            <w:r>
              <w:rPr>
                <w:sz w:val="18"/>
                <w:szCs w:val="18"/>
              </w:rPr>
              <w:t xml:space="preserve">Latest version of resources used</w:t>
            </w:r>
          </w:p>
        </w:tc>
        <w:tc>
          <w:tcPr>
            <w:tcW w:type="dxa" w:w="1203"/>
            <w:shd w:fill="F7F9FC" w:color="auto" w:val="clear"/>
            <w:tcMar>
              <w:top w:type="dxa" w:w="60"/>
              <w:left w:type="dxa" w:w="100"/>
              <w:bottom w:type="dxa" w:w="60"/>
              <w:right w:type="dxa" w:w="100"/>
            </w:tcMar>
          </w:tcPr>
          <w:p>
            <w:pPr>
              <w:spacing w:after="40"/>
            </w:pPr>
            <w:r>
              <w:rPr>
                <w:sz w:val="18"/>
                <w:szCs w:val="18"/>
              </w:rPr>
              <w:t xml:space="preserve">Y</w:t>
            </w:r>
          </w:p>
        </w:tc>
        <w:tc>
          <w:tcPr>
            <w:tcW w:type="dxa" w:w="4614"/>
            <w:shd w:fill="F7F9FC" w:color="auto" w:val="clear"/>
            <w:tcMar>
              <w:top w:type="dxa" w:w="60"/>
              <w:left w:type="dxa" w:w="100"/>
              <w:bottom w:type="dxa" w:w="60"/>
              <w:right w:type="dxa" w:w="100"/>
            </w:tcMar>
          </w:tcPr>
          <w:p>
            <w:pPr>
              <w:spacing w:after="40"/>
            </w:pPr>
            <w:r>
              <w:rPr>
                <w:sz w:val="18"/>
                <w:szCs w:val="18"/>
              </w:rPr>
              <w:t xml:space="preserve">GKE release channel Regular; PostgreSQL 15+; supported Looker release.</w:t>
            </w:r>
          </w:p>
        </w:tc>
      </w:tr>
      <w:tr>
        <w:tc>
          <w:tcPr>
            <w:tcW w:type="dxa" w:w="3209"/>
            <w:tcMar>
              <w:top w:type="dxa" w:w="60"/>
              <w:left w:type="dxa" w:w="100"/>
              <w:bottom w:type="dxa" w:w="60"/>
              <w:right w:type="dxa" w:w="100"/>
            </w:tcMar>
          </w:tcPr>
          <w:p>
            <w:pPr>
              <w:spacing w:after="40"/>
            </w:pPr>
            <w:r>
              <w:rPr>
                <w:sz w:val="18"/>
                <w:szCs w:val="18"/>
              </w:rPr>
              <w:t xml:space="preserve">Logging set at appropriate levels</w:t>
            </w:r>
          </w:p>
        </w:tc>
        <w:tc>
          <w:tcPr>
            <w:tcW w:type="dxa" w:w="1203"/>
            <w:tcMar>
              <w:top w:type="dxa" w:w="60"/>
              <w:left w:type="dxa" w:w="100"/>
              <w:bottom w:type="dxa" w:w="60"/>
              <w:right w:type="dxa" w:w="100"/>
            </w:tcMar>
          </w:tcPr>
          <w:p>
            <w:pPr>
              <w:spacing w:after="40"/>
            </w:pPr>
            <w:r>
              <w:rPr>
                <w:sz w:val="18"/>
                <w:szCs w:val="18"/>
              </w:rPr>
              <w:t xml:space="preserve">Y</w:t>
            </w:r>
          </w:p>
        </w:tc>
        <w:tc>
          <w:tcPr>
            <w:tcW w:type="dxa" w:w="4614"/>
            <w:tcMar>
              <w:top w:type="dxa" w:w="60"/>
              <w:left w:type="dxa" w:w="100"/>
              <w:bottom w:type="dxa" w:w="60"/>
              <w:right w:type="dxa" w:w="100"/>
            </w:tcMar>
          </w:tcPr>
          <w:p>
            <w:pPr>
              <w:spacing w:after="40"/>
            </w:pPr>
            <w:r>
              <w:rPr>
                <w:sz w:val="18"/>
                <w:szCs w:val="18"/>
              </w:rPr>
              <w:t xml:space="preserve">INFO in PRD with structured audit events; DEBUG disabled; no tokens or signed URLs logged.</w:t>
            </w:r>
          </w:p>
        </w:tc>
      </w:tr>
    </w:tbl>
    <w:p>
      <w:pPr>
        <w:spacing w:after="120"/>
      </w:pPr>
      <w:r>
        <w:rPr>
          <w:b/>
          <w:bCs/>
          <w:color w:val="1F4E79"/>
          <w:sz w:val="16"/>
          <w:szCs w:val="16"/>
        </w:rPr>
        <w:t xml:space="preserve">IF REQUIRED – Section Guidance</w:t>
      </w:r>
    </w:p>
    <w:p>
      <w:pPr>
        <w:pStyle w:val="Heading2"/>
      </w:pPr>
      <w:r>
        <w:t xml:space="preserve">2.8 Sustainability</w:t>
      </w:r>
    </w:p>
    <w:p>
      <w:pPr>
        <w:spacing w:after="120"/>
      </w:pPr>
      <w:r>
        <w:t xml:space="preserve">Uses shared, managed services in an existing low-carbon region where possible; serverless/autoscaled components and out-of-hours scale-down in non-production; Looker caching and aggregate tables reduce repeated BigQuery scans.</w:t>
      </w:r>
    </w:p>
    <w:p>
      <w:pPr>
        <w:spacing w:after="120"/>
      </w:pPr>
      <w:r>
        <w:rPr>
          <w:b/>
          <w:bCs/>
          <w:color w:val="C00000"/>
          <w:sz w:val="16"/>
          <w:szCs w:val="16"/>
        </w:rPr>
        <w:t xml:space="preserve">MANDATORY – Section Guidance</w:t>
      </w:r>
    </w:p>
    <w:p>
      <w:pPr>
        <w:pStyle w:val="Heading2"/>
      </w:pPr>
      <w:r>
        <w:t xml:space="preserve">2.9 Controls By Design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810"/>
        <w:gridCol w:w="1704"/>
        <w:gridCol w:w="3512"/>
      </w:tblGrid>
      <w:tr>
        <w:trPr>
          <w:tblHeader/>
        </w:trPr>
        <w:tc>
          <w:tcPr>
            <w:tcW w:type="dxa" w:w="3810"/>
            <w:shd w:fill="1F4E79" w:color="auto" w:val="clear"/>
            <w:tcMar>
              <w:top w:type="dxa" w:w="60"/>
              <w:left w:type="dxa" w:w="100"/>
              <w:bottom w:type="dxa" w:w="60"/>
              <w:right w:type="dxa" w:w="100"/>
            </w:tcMar>
          </w:tcPr>
          <w:p>
            <w:pPr>
              <w:spacing w:after="40"/>
            </w:pPr>
            <w:r>
              <w:rPr>
                <w:b/>
                <w:bCs/>
                <w:color w:val="FFFFFF"/>
                <w:sz w:val="18"/>
                <w:szCs w:val="18"/>
              </w:rPr>
              <w:t xml:space="preserve">Question</w:t>
            </w:r>
          </w:p>
        </w:tc>
        <w:tc>
          <w:tcPr>
            <w:tcW w:type="dxa" w:w="1704"/>
            <w:shd w:fill="1F4E79" w:color="auto" w:val="clear"/>
            <w:tcMar>
              <w:top w:type="dxa" w:w="60"/>
              <w:left w:type="dxa" w:w="100"/>
              <w:bottom w:type="dxa" w:w="60"/>
              <w:right w:type="dxa" w:w="100"/>
            </w:tcMar>
          </w:tcPr>
          <w:p>
            <w:pPr>
              <w:spacing w:after="40"/>
            </w:pPr>
            <w:r>
              <w:rPr>
                <w:b/>
                <w:bCs/>
                <w:color w:val="FFFFFF"/>
                <w:sz w:val="18"/>
                <w:szCs w:val="18"/>
              </w:rPr>
              <w:t xml:space="preserve">Answer</w:t>
            </w:r>
          </w:p>
        </w:tc>
        <w:tc>
          <w:tcPr>
            <w:tcW w:type="dxa" w:w="3512"/>
            <w:shd w:fill="1F4E79" w:color="auto" w:val="clear"/>
            <w:tcMar>
              <w:top w:type="dxa" w:w="60"/>
              <w:left w:type="dxa" w:w="100"/>
              <w:bottom w:type="dxa" w:w="60"/>
              <w:right w:type="dxa" w:w="100"/>
            </w:tcMar>
          </w:tcPr>
          <w:p>
            <w:pPr>
              <w:spacing w:after="40"/>
            </w:pPr>
            <w:r>
              <w:rPr>
                <w:b/>
                <w:bCs/>
                <w:color w:val="FFFFFF"/>
                <w:sz w:val="18"/>
                <w:szCs w:val="18"/>
              </w:rPr>
              <w:t xml:space="preserve">Details / Rationale</w:t>
            </w:r>
          </w:p>
        </w:tc>
      </w:tr>
      <w:tr>
        <w:tc>
          <w:tcPr>
            <w:tcW w:type="dxa" w:w="3810"/>
            <w:tcMar>
              <w:top w:type="dxa" w:w="60"/>
              <w:left w:type="dxa" w:w="100"/>
              <w:bottom w:type="dxa" w:w="60"/>
              <w:right w:type="dxa" w:w="100"/>
            </w:tcMar>
          </w:tcPr>
          <w:p>
            <w:pPr>
              <w:spacing w:after="40"/>
            </w:pPr>
            <w:r>
              <w:rPr>
                <w:sz w:val="18"/>
                <w:szCs w:val="18"/>
              </w:rPr>
              <w:t xml:space="preserve">What was the outcome of the assessment of controls in the design? Include how many existing controls require enhancement, how many new controls need to be introduced, and how many existing controls need to be closed or replaced.</w:t>
            </w:r>
          </w:p>
        </w:tc>
        <w:tc>
          <w:tcPr>
            <w:tcW w:type="dxa" w:w="1704"/>
            <w:tcMar>
              <w:top w:type="dxa" w:w="60"/>
              <w:left w:type="dxa" w:w="100"/>
              <w:bottom w:type="dxa" w:w="60"/>
              <w:right w:type="dxa" w:w="100"/>
            </w:tcMar>
          </w:tcPr>
          <w:p>
            <w:pPr>
              <w:spacing w:after="40"/>
            </w:pPr>
            <w:r>
              <w:rPr>
                <w:sz w:val="18"/>
                <w:szCs w:val="18"/>
              </w:rPr>
              <w:t xml:space="preserve">Existing enhanced: 3</w:t>
            </w:r>
          </w:p>
          <w:p>
            <w:pPr>
              <w:spacing w:after="40"/>
            </w:pPr>
            <w:r>
              <w:rPr>
                <w:sz w:val="18"/>
                <w:szCs w:val="18"/>
              </w:rPr>
              <w:t xml:space="preserve">New: 6</w:t>
            </w:r>
          </w:p>
          <w:p>
            <w:pPr>
              <w:spacing w:after="40"/>
            </w:pPr>
            <w:r>
              <w:rPr>
                <w:sz w:val="18"/>
                <w:szCs w:val="18"/>
              </w:rPr>
              <w:t xml:space="preserve">Closed / replaced: 0</w:t>
            </w:r>
          </w:p>
        </w:tc>
        <w:tc>
          <w:tcPr>
            <w:tcW w:type="dxa" w:w="3512"/>
            <w:tcMar>
              <w:top w:type="dxa" w:w="60"/>
              <w:left w:type="dxa" w:w="100"/>
              <w:bottom w:type="dxa" w:w="60"/>
              <w:right w:type="dxa" w:w="100"/>
            </w:tcMar>
          </w:tcPr>
          <w:p>
            <w:pPr>
              <w:spacing w:after="40"/>
            </w:pPr>
            <w:r>
              <w:rPr>
                <w:sz w:val="18"/>
                <w:szCs w:val="18"/>
              </w:rPr>
              <w:t xml:space="preserve">Enhanced: Looker access management (extended to external users), Apigee access policy (new proxies/quotas), logging &amp; monitoring (new audit events).</w:t>
            </w:r>
          </w:p>
          <w:p>
            <w:pPr>
              <w:spacing w:after="40"/>
            </w:pPr>
            <w:r>
              <w:rPr>
                <w:sz w:val="18"/>
                <w:szCs w:val="18"/>
              </w:rPr>
              <w:t xml:space="preserve">New: tenant isolation (folders + access_filter), signed-URL issuance control, registry change audit, nightly permission reconciliation, write-back authorisation (JWT + user check), quarterly external recertification.</w:t>
            </w:r>
          </w:p>
        </w:tc>
      </w:tr>
      <w:tr>
        <w:tc>
          <w:tcPr>
            <w:tcW w:type="dxa" w:w="3810"/>
            <w:shd w:fill="F7F9FC" w:color="auto" w:val="clear"/>
            <w:tcMar>
              <w:top w:type="dxa" w:w="60"/>
              <w:left w:type="dxa" w:w="100"/>
              <w:bottom w:type="dxa" w:w="60"/>
              <w:right w:type="dxa" w:w="100"/>
            </w:tcMar>
          </w:tcPr>
          <w:p>
            <w:pPr>
              <w:spacing w:after="40"/>
            </w:pPr>
            <w:r>
              <w:rPr>
                <w:sz w:val="18"/>
                <w:szCs w:val="18"/>
              </w:rPr>
              <w:t xml:space="preserve">Have all new or enhanced controls been designed to be automated or semi-automated?</w:t>
            </w:r>
          </w:p>
        </w:tc>
        <w:tc>
          <w:tcPr>
            <w:tcW w:type="dxa" w:w="1704"/>
            <w:shd w:fill="F7F9FC" w:color="auto" w:val="clear"/>
            <w:tcMar>
              <w:top w:type="dxa" w:w="60"/>
              <w:left w:type="dxa" w:w="100"/>
              <w:bottom w:type="dxa" w:w="60"/>
              <w:right w:type="dxa" w:w="100"/>
            </w:tcMar>
          </w:tcPr>
          <w:p>
            <w:pPr>
              <w:spacing w:after="40"/>
            </w:pPr>
            <w:r>
              <w:rPr>
                <w:sz w:val="18"/>
                <w:szCs w:val="18"/>
              </w:rPr>
              <w:t xml:space="preserve">Yes</w:t>
            </w:r>
          </w:p>
        </w:tc>
        <w:tc>
          <w:tcPr>
            <w:tcW w:type="dxa" w:w="3512"/>
            <w:shd w:fill="F7F9FC" w:color="auto" w:val="clear"/>
            <w:tcMar>
              <w:top w:type="dxa" w:w="60"/>
              <w:left w:type="dxa" w:w="100"/>
              <w:bottom w:type="dxa" w:w="60"/>
              <w:right w:type="dxa" w:w="100"/>
            </w:tcMar>
          </w:tcPr>
          <w:p>
            <w:pPr>
              <w:spacing w:after="40"/>
            </w:pPr>
            <w:r>
              <w:rPr>
                <w:sz w:val="18"/>
                <w:szCs w:val="18"/>
              </w:rPr>
              <w:t xml:space="preserve">Automated: JWT/JWKS checks, registry fail-closed checks, signed URL validation, access filters, audit triggers, reconciliation job, alerts. Semi-automated: onboarding job (approval by change ticket) and quarterly recertification report generated from the registry.</w:t>
            </w:r>
          </w:p>
        </w:tc>
      </w:tr>
      <w:tr>
        <w:tc>
          <w:tcPr>
            <w:tcW w:type="dxa" w:w="3810"/>
            <w:tcMar>
              <w:top w:type="dxa" w:w="60"/>
              <w:left w:type="dxa" w:w="100"/>
              <w:bottom w:type="dxa" w:w="60"/>
              <w:right w:type="dxa" w:w="100"/>
            </w:tcMar>
          </w:tcPr>
          <w:p>
            <w:pPr>
              <w:spacing w:after="40"/>
            </w:pPr>
            <w:r>
              <w:rPr>
                <w:sz w:val="18"/>
                <w:szCs w:val="18"/>
              </w:rPr>
              <w:t xml:space="preserve">Have regular reviews been established with the Business Area throughout the cycle of the change, to ensure controls are designed collaboratively with optimisation in mind?</w:t>
            </w:r>
          </w:p>
        </w:tc>
        <w:tc>
          <w:tcPr>
            <w:tcW w:type="dxa" w:w="1704"/>
            <w:tcMar>
              <w:top w:type="dxa" w:w="60"/>
              <w:left w:type="dxa" w:w="100"/>
              <w:bottom w:type="dxa" w:w="60"/>
              <w:right w:type="dxa" w:w="100"/>
            </w:tcMar>
          </w:tcPr>
          <w:p>
            <w:pPr>
              <w:spacing w:after="40"/>
            </w:pPr>
            <w:r>
              <w:rPr>
                <w:sz w:val="18"/>
                <w:szCs w:val="18"/>
              </w:rPr>
              <w:t xml:space="preserve">Yes</w:t>
            </w:r>
          </w:p>
        </w:tc>
        <w:tc>
          <w:tcPr>
            <w:tcW w:type="dxa" w:w="3512"/>
            <w:tcMar>
              <w:top w:type="dxa" w:w="60"/>
              <w:left w:type="dxa" w:w="100"/>
              <w:bottom w:type="dxa" w:w="60"/>
              <w:right w:type="dxa" w:w="100"/>
            </w:tcMar>
          </w:tcPr>
          <w:p>
            <w:pPr>
              <w:spacing w:after="40"/>
            </w:pPr>
            <w:r>
              <w:rPr>
                <w:sz w:val="18"/>
                <w:szCs w:val="18"/>
              </w:rPr>
              <w:t xml:space="preserve">Fortnightly design reviews with GEM Analytics, BIaaS platform, ID&amp;A, Apigee and Security; outcomes recorded in Section 5.</w:t>
            </w:r>
          </w:p>
        </w:tc>
      </w:tr>
      <w:tr>
        <w:tc>
          <w:tcPr>
            <w:tcW w:type="dxa" w:w="3810"/>
            <w:shd w:fill="F7F9FC" w:color="auto" w:val="clear"/>
            <w:tcMar>
              <w:top w:type="dxa" w:w="60"/>
              <w:left w:type="dxa" w:w="100"/>
              <w:bottom w:type="dxa" w:w="60"/>
              <w:right w:type="dxa" w:w="100"/>
            </w:tcMar>
          </w:tcPr>
          <w:p>
            <w:pPr>
              <w:spacing w:after="40"/>
            </w:pPr>
            <w:r>
              <w:rPr>
                <w:sz w:val="18"/>
                <w:szCs w:val="18"/>
              </w:rPr>
              <w:t xml:space="preserve">Confirm how you have captured the controls that relate to the change (existing / new / no longer required).</w:t>
            </w:r>
          </w:p>
        </w:tc>
        <w:tc>
          <w:tcPr>
            <w:tcW w:type="dxa" w:w="1704"/>
            <w:shd w:fill="F7F9FC" w:color="auto" w:val="clear"/>
            <w:tcMar>
              <w:top w:type="dxa" w:w="60"/>
              <w:left w:type="dxa" w:w="100"/>
              <w:bottom w:type="dxa" w:w="60"/>
              <w:right w:type="dxa" w:w="100"/>
            </w:tcMar>
          </w:tcPr>
          <w:p>
            <w:pPr>
              <w:spacing w:after="40"/>
            </w:pPr>
            <w:r>
              <w:rPr>
                <w:sz w:val="18"/>
                <w:szCs w:val="18"/>
              </w:rPr>
              <w:t xml:space="preserve">Control list</w:t>
            </w:r>
          </w:p>
        </w:tc>
        <w:tc>
          <w:tcPr>
            <w:tcW w:type="dxa" w:w="3512"/>
            <w:shd w:fill="F7F9FC" w:color="auto" w:val="clear"/>
            <w:tcMar>
              <w:top w:type="dxa" w:w="60"/>
              <w:left w:type="dxa" w:w="100"/>
              <w:bottom w:type="dxa" w:w="60"/>
              <w:right w:type="dxa" w:w="100"/>
            </w:tcMar>
          </w:tcPr>
          <w:p>
            <w:pPr>
              <w:spacing w:after="40"/>
            </w:pPr>
            <w:r>
              <w:rPr>
                <w:sz w:val="18"/>
                <w:szCs w:val="18"/>
              </w:rPr>
              <w:t xml:space="preserve">Captured in the Security &amp; Threat Assessment control checklist and to be entered in the Control Register; links in Section 3.</w:t>
            </w:r>
          </w:p>
        </w:tc>
      </w:tr>
    </w:tbl>
    <w:p>
      <w:pPr>
        <w:spacing w:after="120"/>
      </w:pPr>
      <w:r>
        <w:rPr>
          <w:b/>
          <w:bCs/>
          <w:color w:val="1F4E79"/>
          <w:sz w:val="16"/>
          <w:szCs w:val="16"/>
        </w:rPr>
        <w:t xml:space="preserve">IF REQUIRED – Section Guidance</w:t>
      </w:r>
    </w:p>
    <w:p>
      <w:pPr>
        <w:pStyle w:val="Heading2"/>
      </w:pPr>
      <w:r>
        <w:t xml:space="preserve">2.10 Operating Considerations</w:t>
      </w:r>
    </w:p>
    <w:p>
      <w:pPr>
        <w:pStyle w:val="Heading3"/>
      </w:pPr>
      <w:r>
        <w:t xml:space="preserve">Availability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2507"/>
        <w:gridCol w:w="3711"/>
      </w:tblGrid>
      <w:tr>
        <w:trPr>
          <w:tblHeader/>
        </w:trPr>
        <w:tc>
          <w:tcPr>
            <w:tcW w:type="dxa" w:w="2808"/>
            <w:shd w:fill="1F4E79" w:color="auto" w:val="clear"/>
            <w:tcMar>
              <w:top w:type="dxa" w:w="60"/>
              <w:left w:type="dxa" w:w="100"/>
              <w:bottom w:type="dxa" w:w="60"/>
              <w:right w:type="dxa" w:w="100"/>
            </w:tcMar>
          </w:tcPr>
          <w:p>
            <w:pPr>
              <w:spacing w:after="40"/>
            </w:pPr>
            <w:r>
              <w:rPr>
                <w:b/>
                <w:bCs/>
                <w:color w:val="FFFFFF"/>
                <w:sz w:val="18"/>
                <w:szCs w:val="18"/>
              </w:rPr>
              <w:t xml:space="preserve">Dependency</w:t>
            </w:r>
          </w:p>
        </w:tc>
        <w:tc>
          <w:tcPr>
            <w:tcW w:type="dxa" w:w="2507"/>
            <w:shd w:fill="1F4E79" w:color="auto" w:val="clear"/>
            <w:tcMar>
              <w:top w:type="dxa" w:w="60"/>
              <w:left w:type="dxa" w:w="100"/>
              <w:bottom w:type="dxa" w:w="60"/>
              <w:right w:type="dxa" w:w="100"/>
            </w:tcMar>
          </w:tcPr>
          <w:p>
            <w:pPr>
              <w:spacing w:after="40"/>
            </w:pPr>
            <w:r>
              <w:rPr>
                <w:b/>
                <w:bCs/>
                <w:color w:val="FFFFFF"/>
                <w:sz w:val="18"/>
                <w:szCs w:val="18"/>
              </w:rPr>
              <w:t xml:space="preserve">Target / SLA</w:t>
            </w:r>
          </w:p>
        </w:tc>
        <w:tc>
          <w:tcPr>
            <w:tcW w:type="dxa" w:w="3711"/>
            <w:shd w:fill="1F4E79" w:color="auto" w:val="clear"/>
            <w:tcMar>
              <w:top w:type="dxa" w:w="60"/>
              <w:left w:type="dxa" w:w="100"/>
              <w:bottom w:type="dxa" w:w="60"/>
              <w:right w:type="dxa" w:w="100"/>
            </w:tcMar>
          </w:tcPr>
          <w:p>
            <w:pPr>
              <w:spacing w:after="40"/>
            </w:pPr>
            <w:r>
              <w:rPr>
                <w:b/>
                <w:bCs/>
                <w:color w:val="FFFFFF"/>
                <w:sz w:val="18"/>
                <w:szCs w:val="18"/>
              </w:rPr>
              <w:t xml:space="preserve">Degraded mode</w:t>
            </w:r>
          </w:p>
        </w:tc>
      </w:tr>
      <w:tr>
        <w:tc>
          <w:tcPr>
            <w:tcW w:type="dxa" w:w="2808"/>
            <w:tcMar>
              <w:top w:type="dxa" w:w="60"/>
              <w:left w:type="dxa" w:w="100"/>
              <w:bottom w:type="dxa" w:w="60"/>
              <w:right w:type="dxa" w:w="100"/>
            </w:tcMar>
          </w:tcPr>
          <w:p>
            <w:pPr>
              <w:spacing w:after="40"/>
            </w:pPr>
            <w:r>
              <w:rPr>
                <w:sz w:val="18"/>
                <w:szCs w:val="18"/>
              </w:rPr>
              <w:t xml:space="preserve">External LB + Reverse Proxy</w:t>
            </w:r>
          </w:p>
        </w:tc>
        <w:tc>
          <w:tcPr>
            <w:tcW w:type="dxa" w:w="2507"/>
            <w:tcMar>
              <w:top w:type="dxa" w:w="60"/>
              <w:left w:type="dxa" w:w="100"/>
              <w:bottom w:type="dxa" w:w="60"/>
              <w:right w:type="dxa" w:w="100"/>
            </w:tcMar>
          </w:tcPr>
          <w:p>
            <w:pPr>
              <w:spacing w:after="40"/>
            </w:pPr>
            <w:r>
              <w:rPr>
                <w:sz w:val="18"/>
                <w:szCs w:val="18"/>
              </w:rPr>
              <w:t xml:space="preserve">99.99% (GCP LB)</w:t>
            </w:r>
          </w:p>
        </w:tc>
        <w:tc>
          <w:tcPr>
            <w:tcW w:type="dxa" w:w="3711"/>
            <w:tcMar>
              <w:top w:type="dxa" w:w="60"/>
              <w:left w:type="dxa" w:w="100"/>
              <w:bottom w:type="dxa" w:w="60"/>
              <w:right w:type="dxa" w:w="100"/>
            </w:tcMar>
          </w:tcPr>
          <w:p>
            <w:pPr>
              <w:spacing w:after="40"/>
            </w:pPr>
            <w:r>
              <w:rPr>
                <w:sz w:val="18"/>
                <w:szCs w:val="18"/>
              </w:rPr>
              <w:t xml:space="preserve">Embed host unavailable → portal shows maintenance message</w:t>
            </w:r>
          </w:p>
        </w:tc>
      </w:tr>
      <w:tr>
        <w:tc>
          <w:tcPr>
            <w:tcW w:type="dxa" w:w="2808"/>
            <w:shd w:fill="F7F9FC" w:color="auto" w:val="clear"/>
            <w:tcMar>
              <w:top w:type="dxa" w:w="60"/>
              <w:left w:type="dxa" w:w="100"/>
              <w:bottom w:type="dxa" w:w="60"/>
              <w:right w:type="dxa" w:w="100"/>
            </w:tcMar>
          </w:tcPr>
          <w:p>
            <w:pPr>
              <w:spacing w:after="40"/>
            </w:pPr>
            <w:r>
              <w:rPr>
                <w:sz w:val="18"/>
                <w:szCs w:val="18"/>
              </w:rPr>
              <w:t xml:space="preserve">Apigee (external / internal)</w:t>
            </w:r>
          </w:p>
        </w:tc>
        <w:tc>
          <w:tcPr>
            <w:tcW w:type="dxa" w:w="2507"/>
            <w:shd w:fill="F7F9FC" w:color="auto" w:val="clear"/>
            <w:tcMar>
              <w:top w:type="dxa" w:w="60"/>
              <w:left w:type="dxa" w:w="100"/>
              <w:bottom w:type="dxa" w:w="60"/>
              <w:right w:type="dxa" w:w="100"/>
            </w:tcMar>
          </w:tcPr>
          <w:p>
            <w:pPr>
              <w:spacing w:after="40"/>
            </w:pPr>
            <w:r>
              <w:rPr>
                <w:sz w:val="18"/>
                <w:szCs w:val="18"/>
              </w:rPr>
              <w:t xml:space="preserve">99.9%+</w:t>
            </w:r>
          </w:p>
        </w:tc>
        <w:tc>
          <w:tcPr>
            <w:tcW w:type="dxa" w:w="3711"/>
            <w:shd w:fill="F7F9FC" w:color="auto" w:val="clear"/>
            <w:tcMar>
              <w:top w:type="dxa" w:w="60"/>
              <w:left w:type="dxa" w:w="100"/>
              <w:bottom w:type="dxa" w:w="60"/>
              <w:right w:type="dxa" w:w="100"/>
            </w:tcMar>
          </w:tcPr>
          <w:p>
            <w:pPr>
              <w:spacing w:after="40"/>
            </w:pPr>
            <w:r>
              <w:rPr>
                <w:sz w:val="18"/>
                <w:szCs w:val="18"/>
              </w:rPr>
              <w:t xml:space="preserve">New logins and write-backs fail; open sessions continue</w:t>
            </w:r>
          </w:p>
        </w:tc>
      </w:tr>
      <w:tr>
        <w:tc>
          <w:tcPr>
            <w:tcW w:type="dxa" w:w="2808"/>
            <w:tcMar>
              <w:top w:type="dxa" w:w="60"/>
              <w:left w:type="dxa" w:w="100"/>
              <w:bottom w:type="dxa" w:w="60"/>
              <w:right w:type="dxa" w:w="100"/>
            </w:tcMar>
          </w:tcPr>
          <w:p>
            <w:pPr>
              <w:spacing w:after="40"/>
            </w:pPr>
            <w:r>
              <w:rPr>
                <w:sz w:val="18"/>
                <w:szCs w:val="18"/>
              </w:rPr>
              <w:t xml:space="preserve">ID&amp;A APIs</w:t>
            </w:r>
          </w:p>
        </w:tc>
        <w:tc>
          <w:tcPr>
            <w:tcW w:type="dxa" w:w="2507"/>
            <w:tcMar>
              <w:top w:type="dxa" w:w="60"/>
              <w:left w:type="dxa" w:w="100"/>
              <w:bottom w:type="dxa" w:w="60"/>
              <w:right w:type="dxa" w:w="100"/>
            </w:tcMar>
          </w:tcPr>
          <w:p>
            <w:pPr>
              <w:spacing w:after="40"/>
            </w:pPr>
            <w:r>
              <w:rPr>
                <w:sz w:val="18"/>
                <w:szCs w:val="18"/>
              </w:rPr>
              <w:t xml:space="preserve">Per ID&amp;A SLA</w:t>
            </w:r>
          </w:p>
        </w:tc>
        <w:tc>
          <w:tcPr>
            <w:tcW w:type="dxa" w:w="3711"/>
            <w:tcMar>
              <w:top w:type="dxa" w:w="60"/>
              <w:left w:type="dxa" w:w="100"/>
              <w:bottom w:type="dxa" w:w="60"/>
              <w:right w:type="dxa" w:w="100"/>
            </w:tcMar>
          </w:tcPr>
          <w:p>
            <w:pPr>
              <w:spacing w:after="40"/>
            </w:pPr>
            <w:r>
              <w:rPr>
                <w:sz w:val="18"/>
                <w:szCs w:val="18"/>
              </w:rPr>
              <w:t xml:space="preserve">Same as Apigee; JWKS cached 5–10 min</w:t>
            </w:r>
          </w:p>
        </w:tc>
      </w:tr>
      <w:tr>
        <w:tc>
          <w:tcPr>
            <w:tcW w:type="dxa" w:w="2808"/>
            <w:shd w:fill="F7F9FC" w:color="auto" w:val="clear"/>
            <w:tcMar>
              <w:top w:type="dxa" w:w="60"/>
              <w:left w:type="dxa" w:w="100"/>
              <w:bottom w:type="dxa" w:w="60"/>
              <w:right w:type="dxa" w:w="100"/>
            </w:tcMar>
          </w:tcPr>
          <w:p>
            <w:pPr>
              <w:spacing w:after="40"/>
            </w:pPr>
            <w:r>
              <w:rPr>
                <w:sz w:val="18"/>
                <w:szCs w:val="18"/>
              </w:rPr>
              <w:t xml:space="preserve">GKE regional APIs</w:t>
            </w:r>
          </w:p>
        </w:tc>
        <w:tc>
          <w:tcPr>
            <w:tcW w:type="dxa" w:w="2507"/>
            <w:shd w:fill="F7F9FC" w:color="auto" w:val="clear"/>
            <w:tcMar>
              <w:top w:type="dxa" w:w="60"/>
              <w:left w:type="dxa" w:w="100"/>
              <w:bottom w:type="dxa" w:w="60"/>
              <w:right w:type="dxa" w:w="100"/>
            </w:tcMar>
          </w:tcPr>
          <w:p>
            <w:pPr>
              <w:spacing w:after="40"/>
            </w:pPr>
            <w:r>
              <w:rPr>
                <w:sz w:val="18"/>
                <w:szCs w:val="18"/>
              </w:rPr>
              <w:t xml:space="preserve">99.95% (regional control plane)</w:t>
            </w:r>
          </w:p>
        </w:tc>
        <w:tc>
          <w:tcPr>
            <w:tcW w:type="dxa" w:w="3711"/>
            <w:shd w:fill="F7F9FC" w:color="auto" w:val="clear"/>
            <w:tcMar>
              <w:top w:type="dxa" w:w="60"/>
              <w:left w:type="dxa" w:w="100"/>
              <w:bottom w:type="dxa" w:w="60"/>
              <w:right w:type="dxa" w:w="100"/>
            </w:tcMar>
          </w:tcPr>
          <w:p>
            <w:pPr>
              <w:spacing w:after="40"/>
            </w:pPr>
            <w:r>
              <w:rPr>
                <w:sz w:val="18"/>
                <w:szCs w:val="18"/>
              </w:rPr>
              <w:t xml:space="preserve">Multi-zone replicas; PDBs</w:t>
            </w:r>
          </w:p>
        </w:tc>
      </w:tr>
      <w:tr>
        <w:tc>
          <w:tcPr>
            <w:tcW w:type="dxa" w:w="2808"/>
            <w:tcMar>
              <w:top w:type="dxa" w:w="60"/>
              <w:left w:type="dxa" w:w="100"/>
              <w:bottom w:type="dxa" w:w="60"/>
              <w:right w:type="dxa" w:w="100"/>
            </w:tcMar>
          </w:tcPr>
          <w:p>
            <w:pPr>
              <w:spacing w:after="40"/>
            </w:pPr>
            <w:r>
              <w:rPr>
                <w:sz w:val="18"/>
                <w:szCs w:val="18"/>
              </w:rPr>
              <w:t xml:space="preserve">Cloud SQL registry (HA)</w:t>
            </w:r>
          </w:p>
        </w:tc>
        <w:tc>
          <w:tcPr>
            <w:tcW w:type="dxa" w:w="2507"/>
            <w:tcMar>
              <w:top w:type="dxa" w:w="60"/>
              <w:left w:type="dxa" w:w="100"/>
              <w:bottom w:type="dxa" w:w="60"/>
              <w:right w:type="dxa" w:w="100"/>
            </w:tcMar>
          </w:tcPr>
          <w:p>
            <w:pPr>
              <w:spacing w:after="40"/>
            </w:pPr>
            <w:r>
              <w:rPr>
                <w:sz w:val="18"/>
                <w:szCs w:val="18"/>
              </w:rPr>
              <w:t xml:space="preserve">99.95%</w:t>
            </w:r>
          </w:p>
        </w:tc>
        <w:tc>
          <w:tcPr>
            <w:tcW w:type="dxa" w:w="3711"/>
            <w:tcMar>
              <w:top w:type="dxa" w:w="60"/>
              <w:left w:type="dxa" w:w="100"/>
              <w:bottom w:type="dxa" w:w="60"/>
              <w:right w:type="dxa" w:w="100"/>
            </w:tcMar>
          </w:tcPr>
          <w:p>
            <w:pPr>
              <w:spacing w:after="40"/>
            </w:pPr>
            <w:r>
              <w:rPr>
                <w:sz w:val="18"/>
                <w:szCs w:val="18"/>
              </w:rPr>
              <w:t xml:space="preserve">60 s cache bridges failover (~60 s)</w:t>
            </w:r>
          </w:p>
        </w:tc>
      </w:tr>
      <w:tr>
        <w:tc>
          <w:tcPr>
            <w:tcW w:type="dxa" w:w="2808"/>
            <w:shd w:fill="F7F9FC" w:color="auto" w:val="clear"/>
            <w:tcMar>
              <w:top w:type="dxa" w:w="60"/>
              <w:left w:type="dxa" w:w="100"/>
              <w:bottom w:type="dxa" w:w="60"/>
              <w:right w:type="dxa" w:w="100"/>
            </w:tcMar>
          </w:tcPr>
          <w:p>
            <w:pPr>
              <w:spacing w:after="40"/>
            </w:pPr>
            <w:r>
              <w:rPr>
                <w:sz w:val="18"/>
                <w:szCs w:val="18"/>
              </w:rPr>
              <w:t xml:space="preserve">Looker</w:t>
            </w:r>
          </w:p>
        </w:tc>
        <w:tc>
          <w:tcPr>
            <w:tcW w:type="dxa" w:w="2507"/>
            <w:shd w:fill="F7F9FC" w:color="auto" w:val="clear"/>
            <w:tcMar>
              <w:top w:type="dxa" w:w="60"/>
              <w:left w:type="dxa" w:w="100"/>
              <w:bottom w:type="dxa" w:w="60"/>
              <w:right w:type="dxa" w:w="100"/>
            </w:tcMar>
          </w:tcPr>
          <w:p>
            <w:pPr>
              <w:spacing w:after="40"/>
            </w:pPr>
            <w:r>
              <w:rPr>
                <w:sz w:val="18"/>
                <w:szCs w:val="18"/>
              </w:rPr>
              <w:t xml:space="preserve">Platform target 99.5%</w:t>
            </w:r>
          </w:p>
        </w:tc>
        <w:tc>
          <w:tcPr>
            <w:tcW w:type="dxa" w:w="3711"/>
            <w:shd w:fill="F7F9FC" w:color="auto" w:val="clear"/>
            <w:tcMar>
              <w:top w:type="dxa" w:w="60"/>
              <w:left w:type="dxa" w:w="100"/>
              <w:bottom w:type="dxa" w:w="60"/>
              <w:right w:type="dxa" w:w="100"/>
            </w:tcMar>
          </w:tcPr>
          <w:p>
            <w:pPr>
              <w:spacing w:after="40"/>
            </w:pPr>
            <w:r>
              <w:rPr>
                <w:sz w:val="18"/>
                <w:szCs w:val="18"/>
              </w:rPr>
              <w:t xml:space="preserve">No dashboards; RTO &lt; 12 h for full restore</w:t>
            </w:r>
          </w:p>
        </w:tc>
      </w:tr>
      <w:tr>
        <w:tc>
          <w:tcPr>
            <w:tcW w:type="dxa" w:w="2808"/>
            <w:tcMar>
              <w:top w:type="dxa" w:w="60"/>
              <w:left w:type="dxa" w:w="100"/>
              <w:bottom w:type="dxa" w:w="60"/>
              <w:right w:type="dxa" w:w="100"/>
            </w:tcMar>
          </w:tcPr>
          <w:p>
            <w:pPr>
              <w:spacing w:after="40"/>
            </w:pPr>
            <w:r>
              <w:rPr>
                <w:sz w:val="18"/>
                <w:szCs w:val="18"/>
              </w:rPr>
              <w:t xml:space="preserve">BigQuery</w:t>
            </w:r>
          </w:p>
        </w:tc>
        <w:tc>
          <w:tcPr>
            <w:tcW w:type="dxa" w:w="2507"/>
            <w:tcMar>
              <w:top w:type="dxa" w:w="60"/>
              <w:left w:type="dxa" w:w="100"/>
              <w:bottom w:type="dxa" w:w="60"/>
              <w:right w:type="dxa" w:w="100"/>
            </w:tcMar>
          </w:tcPr>
          <w:p>
            <w:pPr>
              <w:spacing w:after="40"/>
            </w:pPr>
            <w:r>
              <w:rPr>
                <w:sz w:val="18"/>
                <w:szCs w:val="18"/>
              </w:rPr>
              <w:t xml:space="preserve">99.99%</w:t>
            </w:r>
          </w:p>
        </w:tc>
        <w:tc>
          <w:tcPr>
            <w:tcW w:type="dxa" w:w="3711"/>
            <w:tcMar>
              <w:top w:type="dxa" w:w="60"/>
              <w:left w:type="dxa" w:w="100"/>
              <w:bottom w:type="dxa" w:w="60"/>
              <w:right w:type="dxa" w:w="100"/>
            </w:tcMar>
          </w:tcPr>
          <w:p>
            <w:pPr>
              <w:spacing w:after="40"/>
            </w:pPr>
            <w:r>
              <w:rPr>
                <w:sz w:val="18"/>
                <w:szCs w:val="18"/>
              </w:rPr>
              <w:t xml:space="preserve">Tiles fail; retry</w:t>
            </w:r>
          </w:p>
        </w:tc>
      </w:tr>
    </w:tbl>
    <w:p>
      <w:pPr>
        <w:pStyle w:val="Heading3"/>
      </w:pPr>
      <w:r>
        <w:t xml:space="preserve">Capacity &amp; Scalability</w:t>
      </w:r>
    </w:p>
    <w:p>
      <w:pPr>
        <w:spacing w:after="120"/>
      </w:pPr>
      <w:r>
        <w:t xml:space="preserve">MVD sizing: 20 partners, 2,000 named users, 1,000 concurrent. Signed-URL path ≈ 5 calls per login; at a 10-minute login burst of 1,000 users this is &lt; 10 RPS per API. Stateless APIs scale with HPA; Looker concurrency and BigQuery slots are the constraining factors and are confirmed by load test. Registry growth is negligible (thousands of rows).</w:t>
      </w:r>
    </w:p>
    <w:p>
      <w:pPr>
        <w:pStyle w:val="Heading3"/>
      </w:pPr>
      <w:r>
        <w:t xml:space="preserve">Performance</w:t>
      </w:r>
    </w:p>
    <w:p>
      <w:pPr>
        <w:pStyle w:val="ListParagraph"/>
        <w:numPr>
          <w:ilvl w:val="0"/>
          <w:numId w:val="2"/>
        </w:numPr>
        <w:spacing w:after="60"/>
      </w:pPr>
      <w:r>
        <w:t xml:space="preserve">Login to first dashboard: target &lt; 5 s p95 (TBC in test).</w:t>
      </w:r>
    </w:p>
    <w:p>
      <w:pPr>
        <w:pStyle w:val="ListParagraph"/>
        <w:numPr>
          <w:ilvl w:val="0"/>
          <w:numId w:val="2"/>
        </w:numPr>
        <w:spacing w:after="60"/>
      </w:pPr>
      <w:r>
        <w:t xml:space="preserve">Per-request auth overhead: &lt; 5 ms (local JWT verification, cached keys).</w:t>
      </w:r>
    </w:p>
    <w:p>
      <w:pPr>
        <w:pStyle w:val="ListParagraph"/>
        <w:numPr>
          <w:ilvl w:val="0"/>
          <w:numId w:val="2"/>
        </w:numPr>
        <w:spacing w:after="60"/>
      </w:pPr>
      <w:r>
        <w:t xml:space="preserve">Dashboard switch: no backend call; Looker render only.</w:t>
      </w:r>
    </w:p>
    <w:p>
      <w:pPr>
        <w:pStyle w:val="ListParagraph"/>
        <w:numPr>
          <w:ilvl w:val="0"/>
          <w:numId w:val="2"/>
        </w:numPr>
        <w:spacing w:after="60"/>
      </w:pPr>
      <w:r>
        <w:t xml:space="preserve">Write-back: &lt; 2 s p95 end to end (JWT cached).</w:t>
      </w:r>
    </w:p>
    <w:p>
      <w:pPr>
        <w:pStyle w:val="Heading3"/>
      </w:pPr>
      <w:r>
        <w:t xml:space="preserve">Monitoring and Alerting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7"/>
        <w:gridCol w:w="3409"/>
        <w:gridCol w:w="3010"/>
      </w:tblGrid>
      <w:tr>
        <w:trPr>
          <w:tblHeader/>
        </w:trPr>
        <w:tc>
          <w:tcPr>
            <w:tcW w:type="dxa" w:w="2607"/>
            <w:shd w:fill="1F4E79" w:color="auto" w:val="clear"/>
            <w:tcMar>
              <w:top w:type="dxa" w:w="60"/>
              <w:left w:type="dxa" w:w="100"/>
              <w:bottom w:type="dxa" w:w="60"/>
              <w:right w:type="dxa" w:w="100"/>
            </w:tcMar>
          </w:tcPr>
          <w:p>
            <w:pPr>
              <w:spacing w:after="40"/>
            </w:pPr>
            <w:r>
              <w:rPr>
                <w:b/>
                <w:bCs/>
                <w:color w:val="FFFFFF"/>
                <w:sz w:val="18"/>
                <w:szCs w:val="18"/>
              </w:rPr>
              <w:t xml:space="preserve">Signal</w:t>
            </w:r>
          </w:p>
        </w:tc>
        <w:tc>
          <w:tcPr>
            <w:tcW w:type="dxa" w:w="3409"/>
            <w:shd w:fill="1F4E79" w:color="auto" w:val="clear"/>
            <w:tcMar>
              <w:top w:type="dxa" w:w="60"/>
              <w:left w:type="dxa" w:w="100"/>
              <w:bottom w:type="dxa" w:w="60"/>
              <w:right w:type="dxa" w:w="100"/>
            </w:tcMar>
          </w:tcPr>
          <w:p>
            <w:pPr>
              <w:spacing w:after="40"/>
            </w:pPr>
            <w:r>
              <w:rPr>
                <w:b/>
                <w:bCs/>
                <w:color w:val="FFFFFF"/>
                <w:sz w:val="18"/>
                <w:szCs w:val="18"/>
              </w:rPr>
              <w:t xml:space="preserve">Threshold</w:t>
            </w:r>
          </w:p>
        </w:tc>
        <w:tc>
          <w:tcPr>
            <w:tcW w:type="dxa" w:w="3010"/>
            <w:shd w:fill="1F4E79" w:color="auto" w:val="clear"/>
            <w:tcMar>
              <w:top w:type="dxa" w:w="60"/>
              <w:left w:type="dxa" w:w="100"/>
              <w:bottom w:type="dxa" w:w="60"/>
              <w:right w:type="dxa" w:w="100"/>
            </w:tcMar>
          </w:tcPr>
          <w:p>
            <w:pPr>
              <w:spacing w:after="40"/>
            </w:pPr>
            <w:r>
              <w:rPr>
                <w:b/>
                <w:bCs/>
                <w:color w:val="FFFFFF"/>
                <w:sz w:val="18"/>
                <w:szCs w:val="18"/>
              </w:rPr>
              <w:t xml:space="preserve">Action</w:t>
            </w:r>
          </w:p>
        </w:tc>
      </w:tr>
      <w:tr>
        <w:tc>
          <w:tcPr>
            <w:tcW w:type="dxa" w:w="2607"/>
            <w:tcMar>
              <w:top w:type="dxa" w:w="60"/>
              <w:left w:type="dxa" w:w="100"/>
              <w:bottom w:type="dxa" w:w="60"/>
              <w:right w:type="dxa" w:w="100"/>
            </w:tcMar>
          </w:tcPr>
          <w:p>
            <w:pPr>
              <w:spacing w:after="40"/>
            </w:pPr>
            <w:r>
              <w:rPr>
                <w:sz w:val="18"/>
                <w:szCs w:val="18"/>
              </w:rPr>
              <w:t xml:space="preserve">4xx / 5xx rate per API</w:t>
            </w:r>
          </w:p>
        </w:tc>
        <w:tc>
          <w:tcPr>
            <w:tcW w:type="dxa" w:w="3409"/>
            <w:tcMar>
              <w:top w:type="dxa" w:w="60"/>
              <w:left w:type="dxa" w:w="100"/>
              <w:bottom w:type="dxa" w:w="60"/>
              <w:right w:type="dxa" w:w="100"/>
            </w:tcMar>
          </w:tcPr>
          <w:p>
            <w:pPr>
              <w:spacing w:after="40"/>
            </w:pPr>
            <w:r>
              <w:rPr>
                <w:sz w:val="18"/>
                <w:szCs w:val="18"/>
              </w:rPr>
              <w:t xml:space="preserve">5xx &gt; 2% for 5 min; 401/403 spike &gt; 3× baseline</w:t>
            </w:r>
          </w:p>
        </w:tc>
        <w:tc>
          <w:tcPr>
            <w:tcW w:type="dxa" w:w="3010"/>
            <w:tcMar>
              <w:top w:type="dxa" w:w="60"/>
              <w:left w:type="dxa" w:w="100"/>
              <w:bottom w:type="dxa" w:w="60"/>
              <w:right w:type="dxa" w:w="100"/>
            </w:tcMar>
          </w:tcPr>
          <w:p>
            <w:pPr>
              <w:spacing w:after="40"/>
            </w:pPr>
            <w:r>
              <w:rPr>
                <w:sz w:val="18"/>
                <w:szCs w:val="18"/>
              </w:rPr>
              <w:t xml:space="preserve">Page BIaaS on-call; security review for auth spikes</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Latency p95</w:t>
            </w:r>
          </w:p>
        </w:tc>
        <w:tc>
          <w:tcPr>
            <w:tcW w:type="dxa" w:w="3409"/>
            <w:shd w:fill="F7F9FC" w:color="auto" w:val="clear"/>
            <w:tcMar>
              <w:top w:type="dxa" w:w="60"/>
              <w:left w:type="dxa" w:w="100"/>
              <w:bottom w:type="dxa" w:w="60"/>
              <w:right w:type="dxa" w:w="100"/>
            </w:tcMar>
          </w:tcPr>
          <w:p>
            <w:pPr>
              <w:spacing w:after="40"/>
            </w:pPr>
            <w:r>
              <w:rPr>
                <w:sz w:val="18"/>
                <w:szCs w:val="18"/>
              </w:rPr>
              <w:t xml:space="preserve">Signed URL &gt; 2 s for 10 min</w:t>
            </w:r>
          </w:p>
        </w:tc>
        <w:tc>
          <w:tcPr>
            <w:tcW w:type="dxa" w:w="3010"/>
            <w:shd w:fill="F7F9FC" w:color="auto" w:val="clear"/>
            <w:tcMar>
              <w:top w:type="dxa" w:w="60"/>
              <w:left w:type="dxa" w:w="100"/>
              <w:bottom w:type="dxa" w:w="60"/>
              <w:right w:type="dxa" w:w="100"/>
            </w:tcMar>
          </w:tcPr>
          <w:p>
            <w:pPr>
              <w:spacing w:after="40"/>
            </w:pPr>
            <w:r>
              <w:rPr>
                <w:sz w:val="18"/>
                <w:szCs w:val="18"/>
              </w:rPr>
              <w:t xml:space="preserve">Investigate Looker / Apigee</w:t>
            </w:r>
          </w:p>
        </w:tc>
      </w:tr>
      <w:tr>
        <w:tc>
          <w:tcPr>
            <w:tcW w:type="dxa" w:w="2607"/>
            <w:tcMar>
              <w:top w:type="dxa" w:w="60"/>
              <w:left w:type="dxa" w:w="100"/>
              <w:bottom w:type="dxa" w:w="60"/>
              <w:right w:type="dxa" w:w="100"/>
            </w:tcMar>
          </w:tcPr>
          <w:p>
            <w:pPr>
              <w:spacing w:after="40"/>
            </w:pPr>
            <w:r>
              <w:rPr>
                <w:sz w:val="18"/>
                <w:szCs w:val="18"/>
              </w:rPr>
              <w:t xml:space="preserve">ID&amp;A / Apigee errors</w:t>
            </w:r>
          </w:p>
        </w:tc>
        <w:tc>
          <w:tcPr>
            <w:tcW w:type="dxa" w:w="3409"/>
            <w:tcMar>
              <w:top w:type="dxa" w:w="60"/>
              <w:left w:type="dxa" w:w="100"/>
              <w:bottom w:type="dxa" w:w="60"/>
              <w:right w:type="dxa" w:w="100"/>
            </w:tcMar>
          </w:tcPr>
          <w:p>
            <w:pPr>
              <w:spacing w:after="40"/>
            </w:pPr>
            <w:r>
              <w:rPr>
                <w:sz w:val="18"/>
                <w:szCs w:val="18"/>
              </w:rPr>
              <w:t xml:space="preserve">&gt; 1% failures</w:t>
            </w:r>
          </w:p>
        </w:tc>
        <w:tc>
          <w:tcPr>
            <w:tcW w:type="dxa" w:w="3010"/>
            <w:tcMar>
              <w:top w:type="dxa" w:w="60"/>
              <w:left w:type="dxa" w:w="100"/>
              <w:bottom w:type="dxa" w:w="60"/>
              <w:right w:type="dxa" w:w="100"/>
            </w:tcMar>
          </w:tcPr>
          <w:p>
            <w:pPr>
              <w:spacing w:after="40"/>
            </w:pPr>
            <w:r>
              <w:rPr>
                <w:sz w:val="18"/>
                <w:szCs w:val="18"/>
              </w:rPr>
              <w:t xml:space="preserve">Escalate to ID&amp;A / Apigee teams</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Registry reconciliation</w:t>
            </w:r>
          </w:p>
        </w:tc>
        <w:tc>
          <w:tcPr>
            <w:tcW w:type="dxa" w:w="3409"/>
            <w:shd w:fill="F7F9FC" w:color="auto" w:val="clear"/>
            <w:tcMar>
              <w:top w:type="dxa" w:w="60"/>
              <w:left w:type="dxa" w:w="100"/>
              <w:bottom w:type="dxa" w:w="60"/>
              <w:right w:type="dxa" w:w="100"/>
            </w:tcMar>
          </w:tcPr>
          <w:p>
            <w:pPr>
              <w:spacing w:after="40"/>
            </w:pPr>
            <w:r>
              <w:rPr>
                <w:sz w:val="18"/>
                <w:szCs w:val="18"/>
              </w:rPr>
              <w:t xml:space="preserve">Any difference</w:t>
            </w:r>
          </w:p>
        </w:tc>
        <w:tc>
          <w:tcPr>
            <w:tcW w:type="dxa" w:w="3010"/>
            <w:shd w:fill="F7F9FC" w:color="auto" w:val="clear"/>
            <w:tcMar>
              <w:top w:type="dxa" w:w="60"/>
              <w:left w:type="dxa" w:w="100"/>
              <w:bottom w:type="dxa" w:w="60"/>
              <w:right w:type="dxa" w:w="100"/>
            </w:tcMar>
          </w:tcPr>
          <w:p>
            <w:pPr>
              <w:spacing w:after="40"/>
            </w:pPr>
            <w:r>
              <w:rPr>
                <w:sz w:val="18"/>
                <w:szCs w:val="18"/>
              </w:rPr>
              <w:t xml:space="preserve">Ticket to BIaaS ops</w:t>
            </w:r>
          </w:p>
        </w:tc>
      </w:tr>
      <w:tr>
        <w:tc>
          <w:tcPr>
            <w:tcW w:type="dxa" w:w="2607"/>
            <w:tcMar>
              <w:top w:type="dxa" w:w="60"/>
              <w:left w:type="dxa" w:w="100"/>
              <w:bottom w:type="dxa" w:w="60"/>
              <w:right w:type="dxa" w:w="100"/>
            </w:tcMar>
          </w:tcPr>
          <w:p>
            <w:pPr>
              <w:spacing w:after="40"/>
            </w:pPr>
            <w:r>
              <w:rPr>
                <w:sz w:val="18"/>
                <w:szCs w:val="18"/>
              </w:rPr>
              <w:t xml:space="preserve">Cloud SQL / GKE health</w:t>
            </w:r>
          </w:p>
        </w:tc>
        <w:tc>
          <w:tcPr>
            <w:tcW w:type="dxa" w:w="3409"/>
            <w:tcMar>
              <w:top w:type="dxa" w:w="60"/>
              <w:left w:type="dxa" w:w="100"/>
              <w:bottom w:type="dxa" w:w="60"/>
              <w:right w:type="dxa" w:w="100"/>
            </w:tcMar>
          </w:tcPr>
          <w:p>
            <w:pPr>
              <w:spacing w:after="40"/>
            </w:pPr>
            <w:r>
              <w:rPr>
                <w:sz w:val="18"/>
                <w:szCs w:val="18"/>
              </w:rPr>
              <w:t xml:space="preserve">Failover, pod restarts, CPU &gt; 80%</w:t>
            </w:r>
          </w:p>
        </w:tc>
        <w:tc>
          <w:tcPr>
            <w:tcW w:type="dxa" w:w="3010"/>
            <w:tcMar>
              <w:top w:type="dxa" w:w="60"/>
              <w:left w:type="dxa" w:w="100"/>
              <w:bottom w:type="dxa" w:w="60"/>
              <w:right w:type="dxa" w:w="100"/>
            </w:tcMar>
          </w:tcPr>
          <w:p>
            <w:pPr>
              <w:spacing w:after="40"/>
            </w:pPr>
            <w:r>
              <w:rPr>
                <w:sz w:val="18"/>
                <w:szCs w:val="18"/>
              </w:rPr>
              <w:t xml:space="preserve">Auto-heal; notify</w:t>
            </w:r>
          </w:p>
        </w:tc>
      </w:tr>
      <w:tr>
        <w:tc>
          <w:tcPr>
            <w:tcW w:type="dxa" w:w="2607"/>
            <w:shd w:fill="F7F9FC" w:color="auto" w:val="clear"/>
            <w:tcMar>
              <w:top w:type="dxa" w:w="60"/>
              <w:left w:type="dxa" w:w="100"/>
              <w:bottom w:type="dxa" w:w="60"/>
              <w:right w:type="dxa" w:w="100"/>
            </w:tcMar>
          </w:tcPr>
          <w:p>
            <w:pPr>
              <w:spacing w:after="40"/>
            </w:pPr>
            <w:r>
              <w:rPr>
                <w:sz w:val="18"/>
                <w:szCs w:val="18"/>
              </w:rPr>
              <w:t xml:space="preserve">Write-back failures</w:t>
            </w:r>
          </w:p>
        </w:tc>
        <w:tc>
          <w:tcPr>
            <w:tcW w:type="dxa" w:w="3409"/>
            <w:shd w:fill="F7F9FC" w:color="auto" w:val="clear"/>
            <w:tcMar>
              <w:top w:type="dxa" w:w="60"/>
              <w:left w:type="dxa" w:w="100"/>
              <w:bottom w:type="dxa" w:w="60"/>
              <w:right w:type="dxa" w:w="100"/>
            </w:tcMar>
          </w:tcPr>
          <w:p>
            <w:pPr>
              <w:spacing w:after="40"/>
            </w:pPr>
            <w:r>
              <w:rPr>
                <w:sz w:val="18"/>
                <w:szCs w:val="18"/>
              </w:rPr>
              <w:t xml:space="preserve">&gt; 0 in 15 min (403/5xx)</w:t>
            </w:r>
          </w:p>
        </w:tc>
        <w:tc>
          <w:tcPr>
            <w:tcW w:type="dxa" w:w="3010"/>
            <w:shd w:fill="F7F9FC" w:color="auto" w:val="clear"/>
            <w:tcMar>
              <w:top w:type="dxa" w:w="60"/>
              <w:left w:type="dxa" w:w="100"/>
              <w:bottom w:type="dxa" w:w="60"/>
              <w:right w:type="dxa" w:w="100"/>
            </w:tcMar>
          </w:tcPr>
          <w:p>
            <w:pPr>
              <w:spacing w:after="40"/>
            </w:pPr>
            <w:r>
              <w:rPr>
                <w:sz w:val="18"/>
                <w:szCs w:val="18"/>
              </w:rPr>
              <w:t xml:space="preserve">Notify product owner</w:t>
            </w:r>
          </w:p>
        </w:tc>
      </w:tr>
    </w:tbl>
    <w:p>
      <w:pPr>
        <w:pStyle w:val="Heading3"/>
      </w:pPr>
      <w:r>
        <w:t xml:space="preserve">Disaster Recovery</w:t>
      </w:r>
    </w:p>
    <w:p>
      <w:pPr>
        <w:spacing w:after="120"/>
      </w:pPr>
      <w:r>
        <w:t xml:space="preserve">Primary region europe-west2. Looker: restore from backup (internal DB + configuration) to the standby environment, RTO &lt; 12 h, RPO 24 h. APIs: redeploy from CI/CD artefacts and GitOps manifests (RTO &lt; 4 h). Cloud SQL: cross-region backup and PITR (RPO ≤ 15 min). BigQuery: dataset snapshots / time travel. Secrets: Secret Manager replication policy. Runbook owner: BIaaS platform; restore test every 6 months.</w:t>
      </w:r>
    </w:p>
    <w:p>
      <w:pPr>
        <w:pStyle w:val="Heading3"/>
      </w:pPr>
      <w:r>
        <w:t xml:space="preserve">Resilience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306"/>
        <w:gridCol w:w="3008"/>
        <w:gridCol w:w="3712"/>
      </w:tblGrid>
      <w:tr>
        <w:trPr>
          <w:tblHeader/>
        </w:trPr>
        <w:tc>
          <w:tcPr>
            <w:tcW w:type="dxa" w:w="2306"/>
            <w:shd w:fill="1F4E79" w:color="auto" w:val="clear"/>
            <w:tcMar>
              <w:top w:type="dxa" w:w="60"/>
              <w:left w:type="dxa" w:w="100"/>
              <w:bottom w:type="dxa" w:w="60"/>
              <w:right w:type="dxa" w:w="100"/>
            </w:tcMar>
          </w:tcPr>
          <w:p>
            <w:pPr>
              <w:spacing w:after="40"/>
            </w:pPr>
            <w:r>
              <w:rPr>
                <w:b/>
                <w:bCs/>
                <w:color w:val="FFFFFF"/>
                <w:sz w:val="18"/>
                <w:szCs w:val="18"/>
              </w:rPr>
              <w:t xml:space="preserve">Resilience by Design principle / outcome</w:t>
            </w:r>
          </w:p>
        </w:tc>
        <w:tc>
          <w:tcPr>
            <w:tcW w:type="dxa" w:w="3008"/>
            <w:shd w:fill="1F4E79" w:color="auto" w:val="clear"/>
            <w:tcMar>
              <w:top w:type="dxa" w:w="60"/>
              <w:left w:type="dxa" w:w="100"/>
              <w:bottom w:type="dxa" w:w="60"/>
              <w:right w:type="dxa" w:w="100"/>
            </w:tcMar>
          </w:tcPr>
          <w:p>
            <w:pPr>
              <w:spacing w:after="40"/>
            </w:pPr>
            <w:r>
              <w:rPr>
                <w:b/>
                <w:bCs/>
                <w:color w:val="FFFFFF"/>
                <w:sz w:val="18"/>
                <w:szCs w:val="18"/>
              </w:rPr>
              <w:t xml:space="preserve">Description</w:t>
            </w:r>
          </w:p>
        </w:tc>
        <w:tc>
          <w:tcPr>
            <w:tcW w:type="dxa" w:w="3712"/>
            <w:shd w:fill="1F4E79" w:color="auto" w:val="clear"/>
            <w:tcMar>
              <w:top w:type="dxa" w:w="60"/>
              <w:left w:type="dxa" w:w="100"/>
              <w:bottom w:type="dxa" w:w="60"/>
              <w:right w:type="dxa" w:w="100"/>
            </w:tcMar>
          </w:tcPr>
          <w:p>
            <w:pPr>
              <w:spacing w:after="40"/>
            </w:pPr>
            <w:r>
              <w:rPr>
                <w:b/>
                <w:bCs/>
                <w:color w:val="FFFFFF"/>
                <w:sz w:val="18"/>
                <w:szCs w:val="18"/>
              </w:rPr>
              <w:t xml:space="preserve">How the solution adheres to the principle</w:t>
            </w:r>
          </w:p>
        </w:tc>
      </w:tr>
      <w:tr>
        <w:tc>
          <w:tcPr>
            <w:tcW w:type="dxa" w:w="2306"/>
            <w:tcMar>
              <w:top w:type="dxa" w:w="60"/>
              <w:left w:type="dxa" w:w="100"/>
              <w:bottom w:type="dxa" w:w="60"/>
              <w:right w:type="dxa" w:w="100"/>
            </w:tcMar>
          </w:tcPr>
          <w:p>
            <w:pPr>
              <w:spacing w:after="40"/>
            </w:pPr>
            <w:r>
              <w:rPr>
                <w:sz w:val="18"/>
                <w:szCs w:val="18"/>
              </w:rPr>
              <w:t xml:space="preserve">Confidentiality</w:t>
            </w:r>
          </w:p>
        </w:tc>
        <w:tc>
          <w:tcPr>
            <w:tcW w:type="dxa" w:w="3008"/>
            <w:tcMar>
              <w:top w:type="dxa" w:w="60"/>
              <w:left w:type="dxa" w:w="100"/>
              <w:bottom w:type="dxa" w:w="60"/>
              <w:right w:type="dxa" w:w="100"/>
            </w:tcMar>
          </w:tcPr>
          <w:p>
            <w:pPr>
              <w:spacing w:after="40"/>
            </w:pPr>
            <w:r>
              <w:rPr>
                <w:sz w:val="18"/>
                <w:szCs w:val="18"/>
              </w:rPr>
              <w:t xml:space="preserve">Ensure data classified correctly and processed with correct protection and access.</w:t>
            </w:r>
          </w:p>
        </w:tc>
        <w:tc>
          <w:tcPr>
            <w:tcW w:type="dxa" w:w="3712"/>
            <w:tcMar>
              <w:top w:type="dxa" w:w="60"/>
              <w:left w:type="dxa" w:w="100"/>
              <w:bottom w:type="dxa" w:w="60"/>
              <w:right w:type="dxa" w:w="100"/>
            </w:tcMar>
          </w:tcPr>
          <w:p>
            <w:pPr>
              <w:spacing w:after="40"/>
            </w:pPr>
            <w:r>
              <w:rPr>
                <w:sz w:val="18"/>
                <w:szCs w:val="18"/>
              </w:rPr>
              <w:t xml:space="preserve">Data classified Confidential; tenant isolation (folders + access_filter); TLS on all hops; private IP; least-privilege IAM.</w:t>
            </w:r>
          </w:p>
        </w:tc>
      </w:tr>
      <w:tr>
        <w:tc>
          <w:tcPr>
            <w:tcW w:type="dxa" w:w="2306"/>
            <w:shd w:fill="F7F9FC" w:color="auto" w:val="clear"/>
            <w:tcMar>
              <w:top w:type="dxa" w:w="60"/>
              <w:left w:type="dxa" w:w="100"/>
              <w:bottom w:type="dxa" w:w="60"/>
              <w:right w:type="dxa" w:w="100"/>
            </w:tcMar>
          </w:tcPr>
          <w:p>
            <w:pPr>
              <w:spacing w:after="40"/>
            </w:pPr>
            <w:r>
              <w:rPr>
                <w:sz w:val="18"/>
                <w:szCs w:val="18"/>
              </w:rPr>
              <w:t xml:space="preserve">Integrity</w:t>
            </w:r>
          </w:p>
        </w:tc>
        <w:tc>
          <w:tcPr>
            <w:tcW w:type="dxa" w:w="3008"/>
            <w:shd w:fill="F7F9FC" w:color="auto" w:val="clear"/>
            <w:tcMar>
              <w:top w:type="dxa" w:w="60"/>
              <w:left w:type="dxa" w:w="100"/>
              <w:bottom w:type="dxa" w:w="60"/>
              <w:right w:type="dxa" w:w="100"/>
            </w:tcMar>
          </w:tcPr>
          <w:p>
            <w:pPr>
              <w:spacing w:after="40"/>
            </w:pPr>
            <w:r>
              <w:rPr>
                <w:sz w:val="18"/>
                <w:szCs w:val="18"/>
              </w:rPr>
              <w:t xml:space="preserve">Ensure checks in place to assure the accuracy and consistency of all data.</w:t>
            </w:r>
          </w:p>
        </w:tc>
        <w:tc>
          <w:tcPr>
            <w:tcW w:type="dxa" w:w="3712"/>
            <w:shd w:fill="F7F9FC" w:color="auto" w:val="clear"/>
            <w:tcMar>
              <w:top w:type="dxa" w:w="60"/>
              <w:left w:type="dxa" w:w="100"/>
              <w:bottom w:type="dxa" w:w="60"/>
              <w:right w:type="dxa" w:w="100"/>
            </w:tcMar>
          </w:tcPr>
          <w:p>
            <w:pPr>
              <w:spacing w:after="40"/>
            </w:pPr>
            <w:r>
              <w:rPr>
                <w:sz w:val="18"/>
                <w:szCs w:val="18"/>
              </w:rPr>
              <w:t xml:space="preserve">Signed JWTs and URLs; server-side validation; idempotent write-back (insertId); append-only logs; registry FKs prevent cross-tenant mapping.</w:t>
            </w:r>
          </w:p>
        </w:tc>
      </w:tr>
      <w:tr>
        <w:tc>
          <w:tcPr>
            <w:tcW w:type="dxa" w:w="2306"/>
            <w:tcMar>
              <w:top w:type="dxa" w:w="60"/>
              <w:left w:type="dxa" w:w="100"/>
              <w:bottom w:type="dxa" w:w="60"/>
              <w:right w:type="dxa" w:w="100"/>
            </w:tcMar>
          </w:tcPr>
          <w:p>
            <w:pPr>
              <w:spacing w:after="40"/>
            </w:pPr>
            <w:r>
              <w:rPr>
                <w:sz w:val="18"/>
                <w:szCs w:val="18"/>
              </w:rPr>
              <w:t xml:space="preserve">Monitoring and Alerting</w:t>
            </w:r>
          </w:p>
        </w:tc>
        <w:tc>
          <w:tcPr>
            <w:tcW w:type="dxa" w:w="3008"/>
            <w:tcMar>
              <w:top w:type="dxa" w:w="60"/>
              <w:left w:type="dxa" w:w="100"/>
              <w:bottom w:type="dxa" w:w="60"/>
              <w:right w:type="dxa" w:w="100"/>
            </w:tcMar>
          </w:tcPr>
          <w:p>
            <w:pPr>
              <w:spacing w:after="40"/>
            </w:pPr>
            <w:r>
              <w:rPr>
                <w:sz w:val="18"/>
                <w:szCs w:val="18"/>
              </w:rPr>
              <w:t xml:space="preserve">Monitoring required for all IBS components and data and for key components and services in other workloads.</w:t>
            </w:r>
          </w:p>
        </w:tc>
        <w:tc>
          <w:tcPr>
            <w:tcW w:type="dxa" w:w="3712"/>
            <w:tcMar>
              <w:top w:type="dxa" w:w="60"/>
              <w:left w:type="dxa" w:w="100"/>
              <w:bottom w:type="dxa" w:w="60"/>
              <w:right w:type="dxa" w:w="100"/>
            </w:tcMar>
          </w:tcPr>
          <w:p>
            <w:pPr>
              <w:spacing w:after="40"/>
            </w:pPr>
            <w:r>
              <w:rPr>
                <w:sz w:val="18"/>
                <w:szCs w:val="18"/>
              </w:rPr>
              <w:t xml:space="preserve">Cloud Monitoring SLOs and alerts for every component in the path (see table above).</w:t>
            </w:r>
          </w:p>
        </w:tc>
      </w:tr>
      <w:tr>
        <w:tc>
          <w:tcPr>
            <w:tcW w:type="dxa" w:w="2306"/>
            <w:shd w:fill="F7F9FC" w:color="auto" w:val="clear"/>
            <w:tcMar>
              <w:top w:type="dxa" w:w="60"/>
              <w:left w:type="dxa" w:w="100"/>
              <w:bottom w:type="dxa" w:w="60"/>
              <w:right w:type="dxa" w:w="100"/>
            </w:tcMar>
          </w:tcPr>
          <w:p>
            <w:pPr>
              <w:spacing w:after="40"/>
            </w:pPr>
            <w:r>
              <w:rPr>
                <w:sz w:val="18"/>
                <w:szCs w:val="18"/>
              </w:rPr>
              <w:t xml:space="preserve">Automation and Simplification</w:t>
            </w:r>
          </w:p>
        </w:tc>
        <w:tc>
          <w:tcPr>
            <w:tcW w:type="dxa" w:w="3008"/>
            <w:shd w:fill="F7F9FC" w:color="auto" w:val="clear"/>
            <w:tcMar>
              <w:top w:type="dxa" w:w="60"/>
              <w:left w:type="dxa" w:w="100"/>
              <w:bottom w:type="dxa" w:w="60"/>
              <w:right w:type="dxa" w:w="100"/>
            </w:tcMar>
          </w:tcPr>
          <w:p>
            <w:pPr>
              <w:spacing w:after="40"/>
            </w:pPr>
            <w:r>
              <w:rPr>
                <w:sz w:val="18"/>
                <w:szCs w:val="18"/>
              </w:rPr>
              <w:t xml:space="preserve">Ensure services automated wherever possible and include an alternative means of service provision.</w:t>
            </w:r>
          </w:p>
        </w:tc>
        <w:tc>
          <w:tcPr>
            <w:tcW w:type="dxa" w:w="3712"/>
            <w:shd w:fill="F7F9FC" w:color="auto" w:val="clear"/>
            <w:tcMar>
              <w:top w:type="dxa" w:w="60"/>
              <w:left w:type="dxa" w:w="100"/>
              <w:bottom w:type="dxa" w:w="60"/>
              <w:right w:type="dxa" w:w="100"/>
            </w:tcMar>
          </w:tcPr>
          <w:p>
            <w:pPr>
              <w:spacing w:after="40"/>
            </w:pPr>
            <w:r>
              <w:rPr>
                <w:sz w:val="18"/>
                <w:szCs w:val="18"/>
              </w:rPr>
              <w:t xml:space="preserve">IaC (Terraform) and CI/CD; scripted onboarding; fallback: existing reporting extracts until Tableau decommission.</w:t>
            </w:r>
          </w:p>
        </w:tc>
      </w:tr>
      <w:tr>
        <w:tc>
          <w:tcPr>
            <w:tcW w:type="dxa" w:w="2306"/>
            <w:tcMar>
              <w:top w:type="dxa" w:w="60"/>
              <w:left w:type="dxa" w:w="100"/>
              <w:bottom w:type="dxa" w:w="60"/>
              <w:right w:type="dxa" w:w="100"/>
            </w:tcMar>
          </w:tcPr>
          <w:p>
            <w:pPr>
              <w:spacing w:after="40"/>
            </w:pPr>
            <w:r>
              <w:rPr>
                <w:sz w:val="18"/>
                <w:szCs w:val="18"/>
              </w:rPr>
              <w:t xml:space="preserve">Availability and Currency</w:t>
            </w:r>
          </w:p>
        </w:tc>
        <w:tc>
          <w:tcPr>
            <w:tcW w:type="dxa" w:w="3008"/>
            <w:tcMar>
              <w:top w:type="dxa" w:w="60"/>
              <w:left w:type="dxa" w:w="100"/>
              <w:bottom w:type="dxa" w:w="60"/>
              <w:right w:type="dxa" w:w="100"/>
            </w:tcMar>
          </w:tcPr>
          <w:p>
            <w:pPr>
              <w:spacing w:after="40"/>
            </w:pPr>
            <w:r>
              <w:rPr>
                <w:sz w:val="18"/>
                <w:szCs w:val="18"/>
              </w:rPr>
              <w:t xml:space="preserve">Ensure systems have no single points of failure and are recoverable within defined impact tolerances.</w:t>
            </w:r>
          </w:p>
        </w:tc>
        <w:tc>
          <w:tcPr>
            <w:tcW w:type="dxa" w:w="3712"/>
            <w:tcMar>
              <w:top w:type="dxa" w:w="60"/>
              <w:left w:type="dxa" w:w="100"/>
              <w:bottom w:type="dxa" w:w="60"/>
              <w:right w:type="dxa" w:w="100"/>
            </w:tcMar>
          </w:tcPr>
          <w:p>
            <w:pPr>
              <w:spacing w:after="40"/>
            </w:pPr>
            <w:r>
              <w:rPr>
                <w:sz w:val="18"/>
                <w:szCs w:val="18"/>
              </w:rPr>
              <w:t xml:space="preserve">Multi-zone GKE, Cloud SQL HA, HA VPN, managed Apigee; RTO/RPO defined; supported versions via release channels.</w:t>
            </w:r>
          </w:p>
        </w:tc>
      </w:tr>
      <w:tr>
        <w:tc>
          <w:tcPr>
            <w:tcW w:type="dxa" w:w="2306"/>
            <w:shd w:fill="F7F9FC" w:color="auto" w:val="clear"/>
            <w:tcMar>
              <w:top w:type="dxa" w:w="60"/>
              <w:left w:type="dxa" w:w="100"/>
              <w:bottom w:type="dxa" w:w="60"/>
              <w:right w:type="dxa" w:w="100"/>
            </w:tcMar>
          </w:tcPr>
          <w:p>
            <w:pPr>
              <w:spacing w:after="40"/>
            </w:pPr>
            <w:r>
              <w:rPr>
                <w:sz w:val="18"/>
                <w:szCs w:val="18"/>
              </w:rPr>
              <w:t xml:space="preserve">Supply Chain Management</w:t>
            </w:r>
          </w:p>
        </w:tc>
        <w:tc>
          <w:tcPr>
            <w:tcW w:type="dxa" w:w="3008"/>
            <w:shd w:fill="F7F9FC" w:color="auto" w:val="clear"/>
            <w:tcMar>
              <w:top w:type="dxa" w:w="60"/>
              <w:left w:type="dxa" w:w="100"/>
              <w:bottom w:type="dxa" w:w="60"/>
              <w:right w:type="dxa" w:w="100"/>
            </w:tcMar>
          </w:tcPr>
          <w:p>
            <w:pPr>
              <w:spacing w:after="40"/>
            </w:pPr>
            <w:r>
              <w:rPr>
                <w:sz w:val="18"/>
                <w:szCs w:val="18"/>
              </w:rPr>
              <w:t xml:space="preserve">All IBS components and data with third-party dependencies must map their network of dependencies and ensure third-party services are managed within impact tolerances.</w:t>
            </w:r>
          </w:p>
        </w:tc>
        <w:tc>
          <w:tcPr>
            <w:tcW w:type="dxa" w:w="3712"/>
            <w:shd w:fill="F7F9FC" w:color="auto" w:val="clear"/>
            <w:tcMar>
              <w:top w:type="dxa" w:w="60"/>
              <w:left w:type="dxa" w:w="100"/>
              <w:bottom w:type="dxa" w:w="60"/>
              <w:right w:type="dxa" w:w="100"/>
            </w:tcMar>
          </w:tcPr>
          <w:p>
            <w:pPr>
              <w:spacing w:after="40"/>
            </w:pPr>
            <w:r>
              <w:rPr>
                <w:sz w:val="18"/>
                <w:szCs w:val="18"/>
              </w:rPr>
              <w:t xml:space="preserve">Third parties: Google Cloud (Looker, GKE, BigQuery, Cloud SQL, Apigee), Microsoft (Entra ID). Covered by existing LBG supplier agreements.</w:t>
            </w:r>
          </w:p>
        </w:tc>
      </w:tr>
      <w:tr>
        <w:tc>
          <w:tcPr>
            <w:tcW w:type="dxa" w:w="2306"/>
            <w:tcMar>
              <w:top w:type="dxa" w:w="60"/>
              <w:left w:type="dxa" w:w="100"/>
              <w:bottom w:type="dxa" w:w="60"/>
              <w:right w:type="dxa" w:w="100"/>
            </w:tcMar>
          </w:tcPr>
          <w:p>
            <w:pPr>
              <w:spacing w:after="40"/>
            </w:pPr>
            <w:r>
              <w:rPr>
                <w:sz w:val="18"/>
                <w:szCs w:val="18"/>
              </w:rPr>
              <w:t xml:space="preserve">Identifiable and Locatable</w:t>
            </w:r>
          </w:p>
        </w:tc>
        <w:tc>
          <w:tcPr>
            <w:tcW w:type="dxa" w:w="3008"/>
            <w:tcMar>
              <w:top w:type="dxa" w:w="60"/>
              <w:left w:type="dxa" w:w="100"/>
              <w:bottom w:type="dxa" w:w="60"/>
              <w:right w:type="dxa" w:w="100"/>
            </w:tcMar>
          </w:tcPr>
          <w:p>
            <w:pPr>
              <w:spacing w:after="40"/>
            </w:pPr>
            <w:r>
              <w:rPr>
                <w:sz w:val="18"/>
                <w:szCs w:val="18"/>
              </w:rPr>
              <w:t xml:space="preserve">Components and data must be identifiable through a unique identifier, mapped and stored within LBG systems (ServiceNow).</w:t>
            </w:r>
          </w:p>
        </w:tc>
        <w:tc>
          <w:tcPr>
            <w:tcW w:type="dxa" w:w="3712"/>
            <w:tcMar>
              <w:top w:type="dxa" w:w="60"/>
              <w:left w:type="dxa" w:w="100"/>
              <w:bottom w:type="dxa" w:w="60"/>
              <w:right w:type="dxa" w:w="100"/>
            </w:tcMar>
          </w:tcPr>
          <w:p>
            <w:pPr>
              <w:spacing w:after="40"/>
            </w:pPr>
            <w:r>
              <w:rPr>
                <w:sz w:val="18"/>
                <w:szCs w:val="18"/>
              </w:rPr>
              <w:t xml:space="preserve">All components registered as CIs in ServiceNow under the BIaaS service; resources labelled.</w:t>
            </w:r>
          </w:p>
        </w:tc>
      </w:tr>
      <w:tr>
        <w:tc>
          <w:tcPr>
            <w:tcW w:type="dxa" w:w="2306"/>
            <w:shd w:fill="F7F9FC" w:color="auto" w:val="clear"/>
            <w:tcMar>
              <w:top w:type="dxa" w:w="60"/>
              <w:left w:type="dxa" w:w="100"/>
              <w:bottom w:type="dxa" w:w="60"/>
              <w:right w:type="dxa" w:w="100"/>
            </w:tcMar>
          </w:tcPr>
          <w:p>
            <w:pPr>
              <w:spacing w:after="40"/>
            </w:pPr>
            <w:r>
              <w:rPr>
                <w:sz w:val="18"/>
                <w:szCs w:val="18"/>
              </w:rPr>
              <w:t xml:space="preserve">Testable and Measurable</w:t>
            </w:r>
          </w:p>
        </w:tc>
        <w:tc>
          <w:tcPr>
            <w:tcW w:type="dxa" w:w="3008"/>
            <w:shd w:fill="F7F9FC" w:color="auto" w:val="clear"/>
            <w:tcMar>
              <w:top w:type="dxa" w:w="60"/>
              <w:left w:type="dxa" w:w="100"/>
              <w:bottom w:type="dxa" w:w="60"/>
              <w:right w:type="dxa" w:w="100"/>
            </w:tcMar>
          </w:tcPr>
          <w:p>
            <w:pPr>
              <w:spacing w:after="40"/>
            </w:pPr>
            <w:r>
              <w:rPr>
                <w:sz w:val="18"/>
                <w:szCs w:val="18"/>
              </w:rPr>
              <w:t xml:space="preserve">Functional and non-functional testing completed before implementing changes; IBS subject to regular recovery testing.</w:t>
            </w:r>
          </w:p>
        </w:tc>
        <w:tc>
          <w:tcPr>
            <w:tcW w:type="dxa" w:w="3712"/>
            <w:shd w:fill="F7F9FC" w:color="auto" w:val="clear"/>
            <w:tcMar>
              <w:top w:type="dxa" w:w="60"/>
              <w:left w:type="dxa" w:w="100"/>
              <w:bottom w:type="dxa" w:w="60"/>
              <w:right w:type="dxa" w:w="100"/>
            </w:tcMar>
          </w:tcPr>
          <w:p>
            <w:pPr>
              <w:spacing w:after="40"/>
            </w:pPr>
            <w:r>
              <w:rPr>
                <w:sz w:val="18"/>
                <w:szCs w:val="18"/>
              </w:rPr>
              <w:t xml:space="preserve">Functional, security (ST-1..7), performance (1,000 users) and DR tests in PRE before PRD; DR test every 6 months.</w:t>
            </w:r>
          </w:p>
        </w:tc>
      </w:tr>
      <w:tr>
        <w:tc>
          <w:tcPr>
            <w:tcW w:type="dxa" w:w="2306"/>
            <w:tcMar>
              <w:top w:type="dxa" w:w="60"/>
              <w:left w:type="dxa" w:w="100"/>
              <w:bottom w:type="dxa" w:w="60"/>
              <w:right w:type="dxa" w:w="100"/>
            </w:tcMar>
          </w:tcPr>
          <w:p>
            <w:pPr>
              <w:spacing w:after="40"/>
            </w:pPr>
            <w:r>
              <w:rPr>
                <w:sz w:val="18"/>
                <w:szCs w:val="18"/>
              </w:rPr>
              <w:t xml:space="preserve">Governance</w:t>
            </w:r>
          </w:p>
        </w:tc>
        <w:tc>
          <w:tcPr>
            <w:tcW w:type="dxa" w:w="3008"/>
            <w:tcMar>
              <w:top w:type="dxa" w:w="60"/>
              <w:left w:type="dxa" w:w="100"/>
              <w:bottom w:type="dxa" w:w="60"/>
              <w:right w:type="dxa" w:w="100"/>
            </w:tcMar>
          </w:tcPr>
          <w:p>
            <w:pPr>
              <w:spacing w:after="40"/>
            </w:pPr>
            <w:r>
              <w:rPr>
                <w:sz w:val="18"/>
                <w:szCs w:val="18"/>
              </w:rPr>
              <w:t xml:space="preserve">All appropriate LBG governance must be followed in design and operation.</w:t>
            </w:r>
          </w:p>
        </w:tc>
        <w:tc>
          <w:tcPr>
            <w:tcW w:type="dxa" w:w="3712"/>
            <w:tcMar>
              <w:top w:type="dxa" w:w="60"/>
              <w:left w:type="dxa" w:w="100"/>
              <w:bottom w:type="dxa" w:w="60"/>
              <w:right w:type="dxa" w:w="100"/>
            </w:tcMar>
          </w:tcPr>
          <w:p>
            <w:pPr>
              <w:spacing w:after="40"/>
            </w:pPr>
            <w:r>
              <w:rPr>
                <w:sz w:val="18"/>
                <w:szCs w:val="18"/>
              </w:rPr>
              <w:t xml:space="preserve">Architecture review (this MVD), security review, CAB for releases, data-sharing approvals per tenant.</w:t>
            </w:r>
          </w:p>
        </w:tc>
      </w:tr>
      <w:tr>
        <w:tc>
          <w:tcPr>
            <w:tcW w:type="dxa" w:w="2306"/>
            <w:shd w:fill="F7F9FC" w:color="auto" w:val="clear"/>
            <w:tcMar>
              <w:top w:type="dxa" w:w="60"/>
              <w:left w:type="dxa" w:w="100"/>
              <w:bottom w:type="dxa" w:w="60"/>
              <w:right w:type="dxa" w:w="100"/>
            </w:tcMar>
          </w:tcPr>
          <w:p>
            <w:pPr>
              <w:spacing w:after="40"/>
            </w:pPr>
            <w:r>
              <w:rPr>
                <w:sz w:val="18"/>
                <w:szCs w:val="18"/>
              </w:rPr>
              <w:t xml:space="preserve">Interconnection / Interdependency</w:t>
            </w:r>
          </w:p>
        </w:tc>
        <w:tc>
          <w:tcPr>
            <w:tcW w:type="dxa" w:w="3008"/>
            <w:shd w:fill="F7F9FC" w:color="auto" w:val="clear"/>
            <w:tcMar>
              <w:top w:type="dxa" w:w="60"/>
              <w:left w:type="dxa" w:w="100"/>
              <w:bottom w:type="dxa" w:w="60"/>
              <w:right w:type="dxa" w:w="100"/>
            </w:tcMar>
          </w:tcPr>
          <w:p>
            <w:pPr>
              <w:spacing w:after="40"/>
            </w:pPr>
            <w:r>
              <w:rPr>
                <w:sz w:val="18"/>
                <w:szCs w:val="18"/>
              </w:rPr>
              <w:t xml:space="preserve">Interdependencies of all service components must be understood.</w:t>
            </w:r>
          </w:p>
        </w:tc>
        <w:tc>
          <w:tcPr>
            <w:tcW w:type="dxa" w:w="3712"/>
            <w:shd w:fill="F7F9FC" w:color="auto" w:val="clear"/>
            <w:tcMar>
              <w:top w:type="dxa" w:w="60"/>
              <w:left w:type="dxa" w:w="100"/>
              <w:bottom w:type="dxa" w:w="60"/>
              <w:right w:type="dxa" w:w="100"/>
            </w:tcMar>
          </w:tcPr>
          <w:p>
            <w:pPr>
              <w:spacing w:after="40"/>
            </w:pPr>
            <w:r>
              <w:rPr>
                <w:sz w:val="18"/>
                <w:szCs w:val="18"/>
              </w:rPr>
              <w:t xml:space="preserve">Dependency map in Figure 1 and availability table; FMEA below.</w:t>
            </w:r>
          </w:p>
        </w:tc>
      </w:tr>
      <w:tr>
        <w:tc>
          <w:tcPr>
            <w:tcW w:type="dxa" w:w="2306"/>
            <w:tcMar>
              <w:top w:type="dxa" w:w="60"/>
              <w:left w:type="dxa" w:w="100"/>
              <w:bottom w:type="dxa" w:w="60"/>
              <w:right w:type="dxa" w:w="100"/>
            </w:tcMar>
          </w:tcPr>
          <w:p>
            <w:pPr>
              <w:spacing w:after="40"/>
            </w:pPr>
            <w:r>
              <w:rPr>
                <w:sz w:val="18"/>
                <w:szCs w:val="18"/>
              </w:rPr>
              <w:t xml:space="preserve">Incident Response and Recovery</w:t>
            </w:r>
          </w:p>
        </w:tc>
        <w:tc>
          <w:tcPr>
            <w:tcW w:type="dxa" w:w="3008"/>
            <w:tcMar>
              <w:top w:type="dxa" w:w="60"/>
              <w:left w:type="dxa" w:w="100"/>
              <w:bottom w:type="dxa" w:w="60"/>
              <w:right w:type="dxa" w:w="100"/>
            </w:tcMar>
          </w:tcPr>
          <w:p>
            <w:pPr>
              <w:spacing w:after="40"/>
            </w:pPr>
            <w:r>
              <w:rPr>
                <w:sz w:val="18"/>
                <w:szCs w:val="18"/>
              </w:rPr>
              <w:t xml:space="preserve">Incident response and recovery plans must be in place to restore any service.</w:t>
            </w:r>
          </w:p>
        </w:tc>
        <w:tc>
          <w:tcPr>
            <w:tcW w:type="dxa" w:w="3712"/>
            <w:tcMar>
              <w:top w:type="dxa" w:w="60"/>
              <w:left w:type="dxa" w:w="100"/>
              <w:bottom w:type="dxa" w:w="60"/>
              <w:right w:type="dxa" w:w="100"/>
            </w:tcMar>
          </w:tcPr>
          <w:p>
            <w:pPr>
              <w:spacing w:after="40"/>
            </w:pPr>
            <w:r>
              <w:rPr>
                <w:sz w:val="18"/>
                <w:szCs w:val="18"/>
              </w:rPr>
              <w:t xml:space="preserve">Runbooks for login failure, ID&amp;A outage, Looker restore, secret compromise (rotate + revoke), tenant suspension.</w:t>
            </w:r>
          </w:p>
        </w:tc>
      </w:tr>
      <w:tr>
        <w:tc>
          <w:tcPr>
            <w:tcW w:type="dxa" w:w="2306"/>
            <w:shd w:fill="F7F9FC" w:color="auto" w:val="clear"/>
            <w:tcMar>
              <w:top w:type="dxa" w:w="60"/>
              <w:left w:type="dxa" w:w="100"/>
              <w:bottom w:type="dxa" w:w="60"/>
              <w:right w:type="dxa" w:w="100"/>
            </w:tcMar>
          </w:tcPr>
          <w:p>
            <w:pPr>
              <w:spacing w:after="40"/>
            </w:pPr>
            <w:r>
              <w:rPr>
                <w:sz w:val="18"/>
                <w:szCs w:val="18"/>
              </w:rPr>
              <w:t xml:space="preserve">Performance and Capacity Management</w:t>
            </w:r>
          </w:p>
        </w:tc>
        <w:tc>
          <w:tcPr>
            <w:tcW w:type="dxa" w:w="3008"/>
            <w:shd w:fill="F7F9FC" w:color="auto" w:val="clear"/>
            <w:tcMar>
              <w:top w:type="dxa" w:w="60"/>
              <w:left w:type="dxa" w:w="100"/>
              <w:bottom w:type="dxa" w:w="60"/>
              <w:right w:type="dxa" w:w="100"/>
            </w:tcMar>
          </w:tcPr>
          <w:p>
            <w:pPr>
              <w:spacing w:after="40"/>
            </w:pPr>
            <w:r>
              <w:rPr>
                <w:sz w:val="18"/>
                <w:szCs w:val="18"/>
              </w:rPr>
              <w:t xml:space="preserve">An adequate capacity plan including a suitable support model with the correct resources and skill sets must be in place.</w:t>
            </w:r>
          </w:p>
        </w:tc>
        <w:tc>
          <w:tcPr>
            <w:tcW w:type="dxa" w:w="3712"/>
            <w:shd w:fill="F7F9FC" w:color="auto" w:val="clear"/>
            <w:tcMar>
              <w:top w:type="dxa" w:w="60"/>
              <w:left w:type="dxa" w:w="100"/>
              <w:bottom w:type="dxa" w:w="60"/>
              <w:right w:type="dxa" w:w="100"/>
            </w:tcMar>
          </w:tcPr>
          <w:p>
            <w:pPr>
              <w:spacing w:after="40"/>
            </w:pPr>
            <w:r>
              <w:rPr>
                <w:sz w:val="18"/>
                <w:szCs w:val="18"/>
              </w:rPr>
              <w:t xml:space="preserve">Capacity assumptions above; quarterly capacity review; BIaaS platform team skilled in Looker/GKE.</w:t>
            </w:r>
          </w:p>
        </w:tc>
      </w:tr>
    </w:tbl>
    <w:p>
      <w:pPr>
        <w:pStyle w:val="Heading3"/>
      </w:pPr>
      <w:r>
        <w:t xml:space="preserve">Failure Mode &amp; Effects Analysis (FMEA)</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1905"/>
        <w:gridCol w:w="1504"/>
        <w:gridCol w:w="2908"/>
        <w:gridCol w:w="704"/>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Failure mode</w:t>
            </w:r>
          </w:p>
        </w:tc>
        <w:tc>
          <w:tcPr>
            <w:tcW w:type="dxa" w:w="1905"/>
            <w:shd w:fill="1F4E79" w:color="auto" w:val="clear"/>
            <w:tcMar>
              <w:top w:type="dxa" w:w="60"/>
              <w:left w:type="dxa" w:w="100"/>
              <w:bottom w:type="dxa" w:w="60"/>
              <w:right w:type="dxa" w:w="100"/>
            </w:tcMar>
          </w:tcPr>
          <w:p>
            <w:pPr>
              <w:spacing w:after="40"/>
            </w:pPr>
            <w:r>
              <w:rPr>
                <w:b/>
                <w:bCs/>
                <w:color w:val="FFFFFF"/>
                <w:sz w:val="18"/>
                <w:szCs w:val="18"/>
              </w:rPr>
              <w:t xml:space="preserve">Effect</w:t>
            </w:r>
          </w:p>
        </w:tc>
        <w:tc>
          <w:tcPr>
            <w:tcW w:type="dxa" w:w="1504"/>
            <w:shd w:fill="1F4E79" w:color="auto" w:val="clear"/>
            <w:tcMar>
              <w:top w:type="dxa" w:w="60"/>
              <w:left w:type="dxa" w:w="100"/>
              <w:bottom w:type="dxa" w:w="60"/>
              <w:right w:type="dxa" w:w="100"/>
            </w:tcMar>
          </w:tcPr>
          <w:p>
            <w:pPr>
              <w:spacing w:after="40"/>
            </w:pPr>
            <w:r>
              <w:rPr>
                <w:b/>
                <w:bCs/>
                <w:color w:val="FFFFFF"/>
                <w:sz w:val="18"/>
                <w:szCs w:val="18"/>
              </w:rPr>
              <w:t xml:space="preserve">Detection</w:t>
            </w:r>
          </w:p>
        </w:tc>
        <w:tc>
          <w:tcPr>
            <w:tcW w:type="dxa" w:w="2908"/>
            <w:shd w:fill="1F4E79" w:color="auto" w:val="clear"/>
            <w:tcMar>
              <w:top w:type="dxa" w:w="60"/>
              <w:left w:type="dxa" w:w="100"/>
              <w:bottom w:type="dxa" w:w="60"/>
              <w:right w:type="dxa" w:w="100"/>
            </w:tcMar>
          </w:tcPr>
          <w:p>
            <w:pPr>
              <w:spacing w:after="40"/>
            </w:pPr>
            <w:r>
              <w:rPr>
                <w:b/>
                <w:bCs/>
                <w:color w:val="FFFFFF"/>
                <w:sz w:val="18"/>
                <w:szCs w:val="18"/>
              </w:rPr>
              <w:t xml:space="preserve">Mitigation</w:t>
            </w:r>
          </w:p>
        </w:tc>
        <w:tc>
          <w:tcPr>
            <w:tcW w:type="dxa" w:w="704"/>
            <w:shd w:fill="1F4E79" w:color="auto" w:val="clear"/>
            <w:tcMar>
              <w:top w:type="dxa" w:w="60"/>
              <w:left w:type="dxa" w:w="100"/>
              <w:bottom w:type="dxa" w:w="60"/>
              <w:right w:type="dxa" w:w="100"/>
            </w:tcMar>
          </w:tcPr>
          <w:p>
            <w:pPr>
              <w:spacing w:after="40"/>
            </w:pPr>
            <w:r>
              <w:rPr>
                <w:b/>
                <w:bCs/>
                <w:color w:val="FFFFFF"/>
                <w:sz w:val="18"/>
                <w:szCs w:val="18"/>
              </w:rPr>
              <w:t xml:space="preserve">Sev</w:t>
            </w:r>
          </w:p>
        </w:tc>
      </w:tr>
      <w:tr>
        <w:tc>
          <w:tcPr>
            <w:tcW w:type="dxa" w:w="2005"/>
            <w:tcMar>
              <w:top w:type="dxa" w:w="60"/>
              <w:left w:type="dxa" w:w="100"/>
              <w:bottom w:type="dxa" w:w="60"/>
              <w:right w:type="dxa" w:w="100"/>
            </w:tcMar>
          </w:tcPr>
          <w:p>
            <w:pPr>
              <w:spacing w:after="40"/>
            </w:pPr>
            <w:r>
              <w:rPr>
                <w:sz w:val="18"/>
                <w:szCs w:val="18"/>
              </w:rPr>
              <w:t xml:space="preserve">ID&amp;A / Apigee unavailable</w:t>
            </w:r>
          </w:p>
        </w:tc>
        <w:tc>
          <w:tcPr>
            <w:tcW w:type="dxa" w:w="1905"/>
            <w:tcMar>
              <w:top w:type="dxa" w:w="60"/>
              <w:left w:type="dxa" w:w="100"/>
              <w:bottom w:type="dxa" w:w="60"/>
              <w:right w:type="dxa" w:w="100"/>
            </w:tcMar>
          </w:tcPr>
          <w:p>
            <w:pPr>
              <w:spacing w:after="40"/>
            </w:pPr>
            <w:r>
              <w:rPr>
                <w:sz w:val="18"/>
                <w:szCs w:val="18"/>
              </w:rPr>
              <w:t xml:space="preserve">No new logins / write-backs</w:t>
            </w:r>
          </w:p>
        </w:tc>
        <w:tc>
          <w:tcPr>
            <w:tcW w:type="dxa" w:w="1504"/>
            <w:tcMar>
              <w:top w:type="dxa" w:w="60"/>
              <w:left w:type="dxa" w:w="100"/>
              <w:bottom w:type="dxa" w:w="60"/>
              <w:right w:type="dxa" w:w="100"/>
            </w:tcMar>
          </w:tcPr>
          <w:p>
            <w:pPr>
              <w:spacing w:after="40"/>
            </w:pPr>
            <w:r>
              <w:rPr>
                <w:sz w:val="18"/>
                <w:szCs w:val="18"/>
              </w:rPr>
              <w:t xml:space="preserve">Apigee errors alert</w:t>
            </w:r>
          </w:p>
        </w:tc>
        <w:tc>
          <w:tcPr>
            <w:tcW w:type="dxa" w:w="2908"/>
            <w:tcMar>
              <w:top w:type="dxa" w:w="60"/>
              <w:left w:type="dxa" w:w="100"/>
              <w:bottom w:type="dxa" w:w="60"/>
              <w:right w:type="dxa" w:w="100"/>
            </w:tcMar>
          </w:tcPr>
          <w:p>
            <w:pPr>
              <w:spacing w:after="40"/>
            </w:pPr>
            <w:r>
              <w:rPr>
                <w:sz w:val="18"/>
                <w:szCs w:val="18"/>
              </w:rPr>
              <w:t xml:space="preserve">Retry, cached JWKS, friendly message; open sessions unaffected</w:t>
            </w:r>
          </w:p>
        </w:tc>
        <w:tc>
          <w:tcPr>
            <w:tcW w:type="dxa" w:w="704"/>
            <w:tcMar>
              <w:top w:type="dxa" w:w="60"/>
              <w:left w:type="dxa" w:w="100"/>
              <w:bottom w:type="dxa" w:w="60"/>
              <w:right w:type="dxa" w:w="100"/>
            </w:tcMar>
          </w:tcPr>
          <w:p>
            <w:pPr>
              <w:spacing w:after="40"/>
            </w:pPr>
            <w:r>
              <w:rPr>
                <w:sz w:val="18"/>
                <w:szCs w:val="18"/>
              </w:rPr>
              <w:t xml:space="preserve">High</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Cloud SQL failover</w:t>
            </w:r>
          </w:p>
        </w:tc>
        <w:tc>
          <w:tcPr>
            <w:tcW w:type="dxa" w:w="1905"/>
            <w:shd w:fill="F7F9FC" w:color="auto" w:val="clear"/>
            <w:tcMar>
              <w:top w:type="dxa" w:w="60"/>
              <w:left w:type="dxa" w:w="100"/>
              <w:bottom w:type="dxa" w:w="60"/>
              <w:right w:type="dxa" w:w="100"/>
            </w:tcMar>
          </w:tcPr>
          <w:p>
            <w:pPr>
              <w:spacing w:after="40"/>
            </w:pPr>
            <w:r>
              <w:rPr>
                <w:sz w:val="18"/>
                <w:szCs w:val="18"/>
              </w:rPr>
              <w:t xml:space="preserve">Brief registry unavailability</w:t>
            </w:r>
          </w:p>
        </w:tc>
        <w:tc>
          <w:tcPr>
            <w:tcW w:type="dxa" w:w="1504"/>
            <w:shd w:fill="F7F9FC" w:color="auto" w:val="clear"/>
            <w:tcMar>
              <w:top w:type="dxa" w:w="60"/>
              <w:left w:type="dxa" w:w="100"/>
              <w:bottom w:type="dxa" w:w="60"/>
              <w:right w:type="dxa" w:w="100"/>
            </w:tcMar>
          </w:tcPr>
          <w:p>
            <w:pPr>
              <w:spacing w:after="40"/>
            </w:pPr>
            <w:r>
              <w:rPr>
                <w:sz w:val="18"/>
                <w:szCs w:val="18"/>
              </w:rPr>
              <w:t xml:space="preserve">Health check</w:t>
            </w:r>
          </w:p>
        </w:tc>
        <w:tc>
          <w:tcPr>
            <w:tcW w:type="dxa" w:w="2908"/>
            <w:shd w:fill="F7F9FC" w:color="auto" w:val="clear"/>
            <w:tcMar>
              <w:top w:type="dxa" w:w="60"/>
              <w:left w:type="dxa" w:w="100"/>
              <w:bottom w:type="dxa" w:w="60"/>
              <w:right w:type="dxa" w:w="100"/>
            </w:tcMar>
          </w:tcPr>
          <w:p>
            <w:pPr>
              <w:spacing w:after="40"/>
            </w:pPr>
            <w:r>
              <w:rPr>
                <w:sz w:val="18"/>
                <w:szCs w:val="18"/>
              </w:rPr>
              <w:t xml:space="preserve">HA instance, 60 s cache</w:t>
            </w:r>
          </w:p>
        </w:tc>
        <w:tc>
          <w:tcPr>
            <w:tcW w:type="dxa" w:w="704"/>
            <w:shd w:fill="F7F9FC" w:color="auto" w:val="clear"/>
            <w:tcMar>
              <w:top w:type="dxa" w:w="60"/>
              <w:left w:type="dxa" w:w="100"/>
              <w:bottom w:type="dxa" w:w="60"/>
              <w:right w:type="dxa" w:w="100"/>
            </w:tcMar>
          </w:tcPr>
          <w:p>
            <w:pPr>
              <w:spacing w:after="40"/>
            </w:pPr>
            <w:r>
              <w:rPr>
                <w:sz w:val="18"/>
                <w:szCs w:val="18"/>
              </w:rPr>
              <w:t xml:space="preserve">Low</w:t>
            </w:r>
          </w:p>
        </w:tc>
      </w:tr>
      <w:tr>
        <w:tc>
          <w:tcPr>
            <w:tcW w:type="dxa" w:w="2005"/>
            <w:tcMar>
              <w:top w:type="dxa" w:w="60"/>
              <w:left w:type="dxa" w:w="100"/>
              <w:bottom w:type="dxa" w:w="60"/>
              <w:right w:type="dxa" w:w="100"/>
            </w:tcMar>
          </w:tcPr>
          <w:p>
            <w:pPr>
              <w:spacing w:after="40"/>
            </w:pPr>
            <w:r>
              <w:rPr>
                <w:sz w:val="18"/>
                <w:szCs w:val="18"/>
              </w:rPr>
              <w:t xml:space="preserve">Wrong group/folder mapping</w:t>
            </w:r>
          </w:p>
        </w:tc>
        <w:tc>
          <w:tcPr>
            <w:tcW w:type="dxa" w:w="1905"/>
            <w:tcMar>
              <w:top w:type="dxa" w:w="60"/>
              <w:left w:type="dxa" w:w="100"/>
              <w:bottom w:type="dxa" w:w="60"/>
              <w:right w:type="dxa" w:w="100"/>
            </w:tcMar>
          </w:tcPr>
          <w:p>
            <w:pPr>
              <w:spacing w:after="40"/>
            </w:pPr>
            <w:r>
              <w:rPr>
                <w:sz w:val="18"/>
                <w:szCs w:val="18"/>
              </w:rPr>
              <w:t xml:space="preserve">Partner sees another tenant’s dashboard list</w:t>
            </w:r>
          </w:p>
        </w:tc>
        <w:tc>
          <w:tcPr>
            <w:tcW w:type="dxa" w:w="1504"/>
            <w:tcMar>
              <w:top w:type="dxa" w:w="60"/>
              <w:left w:type="dxa" w:w="100"/>
              <w:bottom w:type="dxa" w:w="60"/>
              <w:right w:type="dxa" w:w="100"/>
            </w:tcMar>
          </w:tcPr>
          <w:p>
            <w:pPr>
              <w:spacing w:after="40"/>
            </w:pPr>
            <w:r>
              <w:rPr>
                <w:sz w:val="18"/>
                <w:szCs w:val="18"/>
              </w:rPr>
              <w:t xml:space="preserve">Reconciliation job, audit</w:t>
            </w:r>
          </w:p>
        </w:tc>
        <w:tc>
          <w:tcPr>
            <w:tcW w:type="dxa" w:w="2908"/>
            <w:tcMar>
              <w:top w:type="dxa" w:w="60"/>
              <w:left w:type="dxa" w:w="100"/>
              <w:bottom w:type="dxa" w:w="60"/>
              <w:right w:type="dxa" w:w="100"/>
            </w:tcMar>
          </w:tcPr>
          <w:p>
            <w:pPr>
              <w:spacing w:after="40"/>
            </w:pPr>
            <w:r>
              <w:rPr>
                <w:sz w:val="18"/>
                <w:szCs w:val="18"/>
              </w:rPr>
              <w:t xml:space="preserve">FK constraints, access_filter still limits rows, change approval</w:t>
            </w:r>
          </w:p>
        </w:tc>
        <w:tc>
          <w:tcPr>
            <w:tcW w:type="dxa" w:w="704"/>
            <w:tcMar>
              <w:top w:type="dxa" w:w="60"/>
              <w:left w:type="dxa" w:w="100"/>
              <w:bottom w:type="dxa" w:w="60"/>
              <w:right w:type="dxa" w:w="100"/>
            </w:tcMar>
          </w:tcPr>
          <w:p>
            <w:pPr>
              <w:spacing w:after="40"/>
            </w:pPr>
            <w:r>
              <w:rPr>
                <w:sz w:val="18"/>
                <w:szCs w:val="18"/>
              </w:rPr>
              <w:t xml:space="preserve">High</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Missing tenant_id on data</w:t>
            </w:r>
          </w:p>
        </w:tc>
        <w:tc>
          <w:tcPr>
            <w:tcW w:type="dxa" w:w="1905"/>
            <w:shd w:fill="F7F9FC" w:color="auto" w:val="clear"/>
            <w:tcMar>
              <w:top w:type="dxa" w:w="60"/>
              <w:left w:type="dxa" w:w="100"/>
              <w:bottom w:type="dxa" w:w="60"/>
              <w:right w:type="dxa" w:w="100"/>
            </w:tcMar>
          </w:tcPr>
          <w:p>
            <w:pPr>
              <w:spacing w:after="40"/>
            </w:pPr>
            <w:r>
              <w:rPr>
                <w:sz w:val="18"/>
                <w:szCs w:val="18"/>
              </w:rPr>
              <w:t xml:space="preserve">Rows hidden or exposed</w:t>
            </w:r>
          </w:p>
        </w:tc>
        <w:tc>
          <w:tcPr>
            <w:tcW w:type="dxa" w:w="1504"/>
            <w:shd w:fill="F7F9FC" w:color="auto" w:val="clear"/>
            <w:tcMar>
              <w:top w:type="dxa" w:w="60"/>
              <w:left w:type="dxa" w:w="100"/>
              <w:bottom w:type="dxa" w:w="60"/>
              <w:right w:type="dxa" w:w="100"/>
            </w:tcMar>
          </w:tcPr>
          <w:p>
            <w:pPr>
              <w:spacing w:after="40"/>
            </w:pPr>
            <w:r>
              <w:rPr>
                <w:sz w:val="18"/>
                <w:szCs w:val="18"/>
              </w:rPr>
              <w:t xml:space="preserve">Data quality checks</w:t>
            </w:r>
          </w:p>
        </w:tc>
        <w:tc>
          <w:tcPr>
            <w:tcW w:type="dxa" w:w="2908"/>
            <w:shd w:fill="F7F9FC" w:color="auto" w:val="clear"/>
            <w:tcMar>
              <w:top w:type="dxa" w:w="60"/>
              <w:left w:type="dxa" w:w="100"/>
              <w:bottom w:type="dxa" w:w="60"/>
              <w:right w:type="dxa" w:w="100"/>
            </w:tcMar>
          </w:tcPr>
          <w:p>
            <w:pPr>
              <w:spacing w:after="40"/>
            </w:pPr>
            <w:r>
              <w:rPr>
                <w:sz w:val="18"/>
                <w:szCs w:val="18"/>
              </w:rPr>
              <w:t xml:space="preserve">No default user attribute (no value = no rows); DQ tests</w:t>
            </w:r>
          </w:p>
        </w:tc>
        <w:tc>
          <w:tcPr>
            <w:tcW w:type="dxa" w:w="704"/>
            <w:shd w:fill="F7F9FC" w:color="auto" w:val="clear"/>
            <w:tcMar>
              <w:top w:type="dxa" w:w="60"/>
              <w:left w:type="dxa" w:w="100"/>
              <w:bottom w:type="dxa" w:w="60"/>
              <w:right w:type="dxa" w:w="100"/>
            </w:tcMar>
          </w:tcPr>
          <w:p>
            <w:pPr>
              <w:spacing w:after="40"/>
            </w:pPr>
            <w:r>
              <w:rPr>
                <w:sz w:val="18"/>
                <w:szCs w:val="18"/>
              </w:rPr>
              <w:t xml:space="preserve">High</w:t>
            </w:r>
          </w:p>
        </w:tc>
      </w:tr>
      <w:tr>
        <w:tc>
          <w:tcPr>
            <w:tcW w:type="dxa" w:w="2005"/>
            <w:tcMar>
              <w:top w:type="dxa" w:w="60"/>
              <w:left w:type="dxa" w:w="100"/>
              <w:bottom w:type="dxa" w:w="60"/>
              <w:right w:type="dxa" w:w="100"/>
            </w:tcMar>
          </w:tcPr>
          <w:p>
            <w:pPr>
              <w:spacing w:after="40"/>
            </w:pPr>
            <w:r>
              <w:rPr>
                <w:sz w:val="18"/>
                <w:szCs w:val="18"/>
              </w:rPr>
              <w:t xml:space="preserve">Embed secret compromise</w:t>
            </w:r>
          </w:p>
        </w:tc>
        <w:tc>
          <w:tcPr>
            <w:tcW w:type="dxa" w:w="1905"/>
            <w:tcMar>
              <w:top w:type="dxa" w:w="60"/>
              <w:left w:type="dxa" w:w="100"/>
              <w:bottom w:type="dxa" w:w="60"/>
              <w:right w:type="dxa" w:w="100"/>
            </w:tcMar>
          </w:tcPr>
          <w:p>
            <w:pPr>
              <w:spacing w:after="40"/>
            </w:pPr>
            <w:r>
              <w:rPr>
                <w:sz w:val="18"/>
                <w:szCs w:val="18"/>
              </w:rPr>
              <w:t xml:space="preserve">Forged sessions</w:t>
            </w:r>
          </w:p>
        </w:tc>
        <w:tc>
          <w:tcPr>
            <w:tcW w:type="dxa" w:w="1504"/>
            <w:tcMar>
              <w:top w:type="dxa" w:w="60"/>
              <w:left w:type="dxa" w:w="100"/>
              <w:bottom w:type="dxa" w:w="60"/>
              <w:right w:type="dxa" w:w="100"/>
            </w:tcMar>
          </w:tcPr>
          <w:p>
            <w:pPr>
              <w:spacing w:after="40"/>
            </w:pPr>
            <w:r>
              <w:rPr>
                <w:sz w:val="18"/>
                <w:szCs w:val="18"/>
              </w:rPr>
              <w:t xml:space="preserve">Looker audit anomalies</w:t>
            </w:r>
          </w:p>
        </w:tc>
        <w:tc>
          <w:tcPr>
            <w:tcW w:type="dxa" w:w="2908"/>
            <w:tcMar>
              <w:top w:type="dxa" w:w="60"/>
              <w:left w:type="dxa" w:w="100"/>
              <w:bottom w:type="dxa" w:w="60"/>
              <w:right w:type="dxa" w:w="100"/>
            </w:tcMar>
          </w:tcPr>
          <w:p>
            <w:pPr>
              <w:spacing w:after="40"/>
            </w:pPr>
            <w:r>
              <w:rPr>
                <w:sz w:val="18"/>
                <w:szCs w:val="18"/>
              </w:rPr>
              <w:t xml:space="preserve">Rotate embed secret; domain allowlist; short URLs</w:t>
            </w:r>
          </w:p>
        </w:tc>
        <w:tc>
          <w:tcPr>
            <w:tcW w:type="dxa" w:w="704"/>
            <w:tcMar>
              <w:top w:type="dxa" w:w="60"/>
              <w:left w:type="dxa" w:w="100"/>
              <w:bottom w:type="dxa" w:w="60"/>
              <w:right w:type="dxa" w:w="100"/>
            </w:tcMar>
          </w:tcPr>
          <w:p>
            <w:pPr>
              <w:spacing w:after="40"/>
            </w:pPr>
            <w:r>
              <w:rPr>
                <w:sz w:val="18"/>
                <w:szCs w:val="18"/>
              </w:rPr>
              <w:t xml:space="preserve">High</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Looker outage</w:t>
            </w:r>
          </w:p>
        </w:tc>
        <w:tc>
          <w:tcPr>
            <w:tcW w:type="dxa" w:w="1905"/>
            <w:shd w:fill="F7F9FC" w:color="auto" w:val="clear"/>
            <w:tcMar>
              <w:top w:type="dxa" w:w="60"/>
              <w:left w:type="dxa" w:w="100"/>
              <w:bottom w:type="dxa" w:w="60"/>
              <w:right w:type="dxa" w:w="100"/>
            </w:tcMar>
          </w:tcPr>
          <w:p>
            <w:pPr>
              <w:spacing w:after="40"/>
            </w:pPr>
            <w:r>
              <w:rPr>
                <w:sz w:val="18"/>
                <w:szCs w:val="18"/>
              </w:rPr>
              <w:t xml:space="preserve">No dashboards</w:t>
            </w:r>
          </w:p>
        </w:tc>
        <w:tc>
          <w:tcPr>
            <w:tcW w:type="dxa" w:w="1504"/>
            <w:shd w:fill="F7F9FC" w:color="auto" w:val="clear"/>
            <w:tcMar>
              <w:top w:type="dxa" w:w="60"/>
              <w:left w:type="dxa" w:w="100"/>
              <w:bottom w:type="dxa" w:w="60"/>
              <w:right w:type="dxa" w:w="100"/>
            </w:tcMar>
          </w:tcPr>
          <w:p>
            <w:pPr>
              <w:spacing w:after="40"/>
            </w:pPr>
            <w:r>
              <w:rPr>
                <w:sz w:val="18"/>
                <w:szCs w:val="18"/>
              </w:rPr>
              <w:t xml:space="preserve">Uptime check</w:t>
            </w:r>
          </w:p>
        </w:tc>
        <w:tc>
          <w:tcPr>
            <w:tcW w:type="dxa" w:w="2908"/>
            <w:shd w:fill="F7F9FC" w:color="auto" w:val="clear"/>
            <w:tcMar>
              <w:top w:type="dxa" w:w="60"/>
              <w:left w:type="dxa" w:w="100"/>
              <w:bottom w:type="dxa" w:w="60"/>
              <w:right w:type="dxa" w:w="100"/>
            </w:tcMar>
          </w:tcPr>
          <w:p>
            <w:pPr>
              <w:spacing w:after="40"/>
            </w:pPr>
            <w:r>
              <w:rPr>
                <w:sz w:val="18"/>
                <w:szCs w:val="18"/>
              </w:rPr>
              <w:t xml:space="preserve">Restore runbook, RTO &lt; 12 h</w:t>
            </w:r>
          </w:p>
        </w:tc>
        <w:tc>
          <w:tcPr>
            <w:tcW w:type="dxa" w:w="704"/>
            <w:shd w:fill="F7F9FC" w:color="auto" w:val="clear"/>
            <w:tcMar>
              <w:top w:type="dxa" w:w="60"/>
              <w:left w:type="dxa" w:w="100"/>
              <w:bottom w:type="dxa" w:w="60"/>
              <w:right w:type="dxa" w:w="100"/>
            </w:tcMar>
          </w:tcPr>
          <w:p>
            <w:pPr>
              <w:spacing w:after="40"/>
            </w:pPr>
            <w:r>
              <w:rPr>
                <w:sz w:val="18"/>
                <w:szCs w:val="18"/>
              </w:rPr>
              <w:t xml:space="preserve">Medium</w:t>
            </w:r>
          </w:p>
        </w:tc>
      </w:tr>
      <w:tr>
        <w:tc>
          <w:tcPr>
            <w:tcW w:type="dxa" w:w="2005"/>
            <w:tcMar>
              <w:top w:type="dxa" w:w="60"/>
              <w:left w:type="dxa" w:w="100"/>
              <w:bottom w:type="dxa" w:w="60"/>
              <w:right w:type="dxa" w:w="100"/>
            </w:tcMar>
          </w:tcPr>
          <w:p>
            <w:pPr>
              <w:spacing w:after="40"/>
            </w:pPr>
            <w:r>
              <w:rPr>
                <w:sz w:val="18"/>
                <w:szCs w:val="18"/>
              </w:rPr>
              <w:t xml:space="preserve">Write-back duplicate / partial</w:t>
            </w:r>
          </w:p>
        </w:tc>
        <w:tc>
          <w:tcPr>
            <w:tcW w:type="dxa" w:w="1905"/>
            <w:tcMar>
              <w:top w:type="dxa" w:w="60"/>
              <w:left w:type="dxa" w:w="100"/>
              <w:bottom w:type="dxa" w:w="60"/>
              <w:right w:type="dxa" w:w="100"/>
            </w:tcMar>
          </w:tcPr>
          <w:p>
            <w:pPr>
              <w:spacing w:after="40"/>
            </w:pPr>
            <w:r>
              <w:rPr>
                <w:sz w:val="18"/>
                <w:szCs w:val="18"/>
              </w:rPr>
              <w:t xml:space="preserve">Wrong value shown</w:t>
            </w:r>
          </w:p>
        </w:tc>
        <w:tc>
          <w:tcPr>
            <w:tcW w:type="dxa" w:w="1504"/>
            <w:tcMar>
              <w:top w:type="dxa" w:w="60"/>
              <w:left w:type="dxa" w:w="100"/>
              <w:bottom w:type="dxa" w:w="60"/>
              <w:right w:type="dxa" w:w="100"/>
            </w:tcMar>
          </w:tcPr>
          <w:p>
            <w:pPr>
              <w:spacing w:after="40"/>
            </w:pPr>
            <w:r>
              <w:rPr>
                <w:sz w:val="18"/>
                <w:szCs w:val="18"/>
              </w:rPr>
              <w:t xml:space="preserve">request_id logs</w:t>
            </w:r>
          </w:p>
        </w:tc>
        <w:tc>
          <w:tcPr>
            <w:tcW w:type="dxa" w:w="2908"/>
            <w:tcMar>
              <w:top w:type="dxa" w:w="60"/>
              <w:left w:type="dxa" w:w="100"/>
              <w:bottom w:type="dxa" w:w="60"/>
              <w:right w:type="dxa" w:w="100"/>
            </w:tcMar>
          </w:tcPr>
          <w:p>
            <w:pPr>
              <w:spacing w:after="40"/>
            </w:pPr>
            <w:r>
              <w:rPr>
                <w:sz w:val="18"/>
                <w:szCs w:val="18"/>
              </w:rPr>
              <w:t xml:space="preserve">insertId idempotency, append-only + view</w:t>
            </w:r>
          </w:p>
        </w:tc>
        <w:tc>
          <w:tcPr>
            <w:tcW w:type="dxa" w:w="704"/>
            <w:tcMar>
              <w:top w:type="dxa" w:w="60"/>
              <w:left w:type="dxa" w:w="100"/>
              <w:bottom w:type="dxa" w:w="60"/>
              <w:right w:type="dxa" w:w="100"/>
            </w:tcMar>
          </w:tcPr>
          <w:p>
            <w:pPr>
              <w:spacing w:after="40"/>
            </w:pPr>
            <w:r>
              <w:rPr>
                <w:sz w:val="18"/>
                <w:szCs w:val="18"/>
              </w:rPr>
              <w:t xml:space="preserve">Low</w:t>
            </w:r>
          </w:p>
        </w:tc>
      </w:tr>
    </w:tbl>
    <w:p>
      <w:pPr>
        <w:pStyle w:val="Heading3"/>
      </w:pPr>
      <w:r>
        <w:t xml:space="preserve">Deployment Approach</w:t>
      </w:r>
    </w:p>
    <w:p>
      <w:pPr>
        <w:pStyle w:val="ListParagraph"/>
        <w:numPr>
          <w:ilvl w:val="0"/>
          <w:numId w:val="2"/>
        </w:numPr>
        <w:spacing w:after="60"/>
      </w:pPr>
      <w:r>
        <w:t xml:space="preserve">Infrastructure via Terraform through GCP 2.0 IDP pipelines; application images built and scanned in CI, deployed by GitOps to GKE.</w:t>
      </w:r>
    </w:p>
    <w:p>
      <w:pPr>
        <w:pStyle w:val="ListParagraph"/>
        <w:numPr>
          <w:ilvl w:val="0"/>
          <w:numId w:val="2"/>
        </w:numPr>
        <w:spacing w:after="60"/>
      </w:pPr>
      <w:r>
        <w:t xml:space="preserve">Promotion INT → PRE → PRD with automated tests and CAB approval for PRD.</w:t>
      </w:r>
    </w:p>
    <w:p>
      <w:pPr>
        <w:pStyle w:val="ListParagraph"/>
        <w:numPr>
          <w:ilvl w:val="0"/>
          <w:numId w:val="2"/>
        </w:numPr>
        <w:spacing w:after="60"/>
      </w:pPr>
      <w:r>
        <w:t xml:space="preserve">Blue/green or rolling updates with readiness probes; feature flag for write-back.</w:t>
      </w:r>
    </w:p>
    <w:p>
      <w:pPr>
        <w:pStyle w:val="ListParagraph"/>
        <w:numPr>
          <w:ilvl w:val="0"/>
          <w:numId w:val="2"/>
        </w:numPr>
        <w:spacing w:after="60"/>
      </w:pPr>
      <w:r>
        <w:t xml:space="preserve">Phased rollout: GEM Analytics pilot tenant first, then further partners.</w:t>
      </w:r>
    </w:p>
    <w:p>
      <w:pPr>
        <w:pStyle w:val="Heading3"/>
      </w:pPr>
      <w:r>
        <w:t xml:space="preserve">Environments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5"/>
        <w:gridCol w:w="4011"/>
        <w:gridCol w:w="3010"/>
      </w:tblGrid>
      <w:tr>
        <w:trPr>
          <w:tblHeader/>
        </w:trPr>
        <w:tc>
          <w:tcPr>
            <w:tcW w:type="dxa" w:w="2005"/>
            <w:shd w:fill="1F4E79" w:color="auto" w:val="clear"/>
            <w:tcMar>
              <w:top w:type="dxa" w:w="60"/>
              <w:left w:type="dxa" w:w="100"/>
              <w:bottom w:type="dxa" w:w="60"/>
              <w:right w:type="dxa" w:w="100"/>
            </w:tcMar>
          </w:tcPr>
          <w:p>
            <w:pPr>
              <w:spacing w:after="40"/>
            </w:pPr>
            <w:r>
              <w:rPr>
                <w:b/>
                <w:bCs/>
                <w:color w:val="FFFFFF"/>
                <w:sz w:val="18"/>
                <w:szCs w:val="18"/>
              </w:rPr>
              <w:t xml:space="preserve">Environment</w:t>
            </w:r>
          </w:p>
        </w:tc>
        <w:tc>
          <w:tcPr>
            <w:tcW w:type="dxa" w:w="4011"/>
            <w:shd w:fill="1F4E79" w:color="auto" w:val="clear"/>
            <w:tcMar>
              <w:top w:type="dxa" w:w="60"/>
              <w:left w:type="dxa" w:w="100"/>
              <w:bottom w:type="dxa" w:w="60"/>
              <w:right w:type="dxa" w:w="100"/>
            </w:tcMar>
          </w:tcPr>
          <w:p>
            <w:pPr>
              <w:spacing w:after="40"/>
            </w:pPr>
            <w:r>
              <w:rPr>
                <w:b/>
                <w:bCs/>
                <w:color w:val="FFFFFF"/>
                <w:sz w:val="18"/>
                <w:szCs w:val="18"/>
              </w:rPr>
              <w:t xml:space="preserve">Purpose</w:t>
            </w:r>
          </w:p>
        </w:tc>
        <w:tc>
          <w:tcPr>
            <w:tcW w:type="dxa" w:w="3010"/>
            <w:shd w:fill="1F4E79" w:color="auto" w:val="clear"/>
            <w:tcMar>
              <w:top w:type="dxa" w:w="60"/>
              <w:left w:type="dxa" w:w="100"/>
              <w:bottom w:type="dxa" w:w="60"/>
              <w:right w:type="dxa" w:w="100"/>
            </w:tcMar>
          </w:tcPr>
          <w:p>
            <w:pPr>
              <w:spacing w:after="40"/>
            </w:pPr>
            <w:r>
              <w:rPr>
                <w:b/>
                <w:bCs/>
                <w:color w:val="FFFFFF"/>
                <w:sz w:val="18"/>
                <w:szCs w:val="18"/>
              </w:rPr>
              <w:t xml:space="preserve">Data</w:t>
            </w:r>
          </w:p>
        </w:tc>
      </w:tr>
      <w:tr>
        <w:tc>
          <w:tcPr>
            <w:tcW w:type="dxa" w:w="2005"/>
            <w:tcMar>
              <w:top w:type="dxa" w:w="60"/>
              <w:left w:type="dxa" w:w="100"/>
              <w:bottom w:type="dxa" w:w="60"/>
              <w:right w:type="dxa" w:w="100"/>
            </w:tcMar>
          </w:tcPr>
          <w:p>
            <w:pPr>
              <w:spacing w:after="40"/>
            </w:pPr>
            <w:r>
              <w:rPr>
                <w:sz w:val="18"/>
                <w:szCs w:val="18"/>
              </w:rPr>
              <w:t xml:space="preserve">INT</w:t>
            </w:r>
          </w:p>
        </w:tc>
        <w:tc>
          <w:tcPr>
            <w:tcW w:type="dxa" w:w="4011"/>
            <w:tcMar>
              <w:top w:type="dxa" w:w="60"/>
              <w:left w:type="dxa" w:w="100"/>
              <w:bottom w:type="dxa" w:w="60"/>
              <w:right w:type="dxa" w:w="100"/>
            </w:tcMar>
          </w:tcPr>
          <w:p>
            <w:pPr>
              <w:spacing w:after="40"/>
            </w:pPr>
            <w:r>
              <w:rPr>
                <w:sz w:val="18"/>
                <w:szCs w:val="18"/>
              </w:rPr>
              <w:t xml:space="preserve">Integration and functional testing</w:t>
            </w:r>
          </w:p>
        </w:tc>
        <w:tc>
          <w:tcPr>
            <w:tcW w:type="dxa" w:w="3010"/>
            <w:tcMar>
              <w:top w:type="dxa" w:w="60"/>
              <w:left w:type="dxa" w:w="100"/>
              <w:bottom w:type="dxa" w:w="60"/>
              <w:right w:type="dxa" w:w="100"/>
            </w:tcMar>
          </w:tcPr>
          <w:p>
            <w:pPr>
              <w:spacing w:after="40"/>
            </w:pPr>
            <w:r>
              <w:rPr>
                <w:sz w:val="18"/>
                <w:szCs w:val="18"/>
              </w:rPr>
              <w:t xml:space="preserve">Synthetic / masked</w:t>
            </w:r>
          </w:p>
        </w:tc>
      </w:tr>
      <w:tr>
        <w:tc>
          <w:tcPr>
            <w:tcW w:type="dxa" w:w="2005"/>
            <w:shd w:fill="F7F9FC" w:color="auto" w:val="clear"/>
            <w:tcMar>
              <w:top w:type="dxa" w:w="60"/>
              <w:left w:type="dxa" w:w="100"/>
              <w:bottom w:type="dxa" w:w="60"/>
              <w:right w:type="dxa" w:w="100"/>
            </w:tcMar>
          </w:tcPr>
          <w:p>
            <w:pPr>
              <w:spacing w:after="40"/>
            </w:pPr>
            <w:r>
              <w:rPr>
                <w:sz w:val="18"/>
                <w:szCs w:val="18"/>
              </w:rPr>
              <w:t xml:space="preserve">PRE</w:t>
            </w:r>
          </w:p>
        </w:tc>
        <w:tc>
          <w:tcPr>
            <w:tcW w:type="dxa" w:w="4011"/>
            <w:shd w:fill="F7F9FC" w:color="auto" w:val="clear"/>
            <w:tcMar>
              <w:top w:type="dxa" w:w="60"/>
              <w:left w:type="dxa" w:w="100"/>
              <w:bottom w:type="dxa" w:w="60"/>
              <w:right w:type="dxa" w:w="100"/>
            </w:tcMar>
          </w:tcPr>
          <w:p>
            <w:pPr>
              <w:spacing w:after="40"/>
            </w:pPr>
            <w:r>
              <w:rPr>
                <w:sz w:val="18"/>
                <w:szCs w:val="18"/>
              </w:rPr>
              <w:t xml:space="preserve">Performance, security, DR and UAT</w:t>
            </w:r>
          </w:p>
        </w:tc>
        <w:tc>
          <w:tcPr>
            <w:tcW w:type="dxa" w:w="3010"/>
            <w:shd w:fill="F7F9FC" w:color="auto" w:val="clear"/>
            <w:tcMar>
              <w:top w:type="dxa" w:w="60"/>
              <w:left w:type="dxa" w:w="100"/>
              <w:bottom w:type="dxa" w:w="60"/>
              <w:right w:type="dxa" w:w="100"/>
            </w:tcMar>
          </w:tcPr>
          <w:p>
            <w:pPr>
              <w:spacing w:after="40"/>
            </w:pPr>
            <w:r>
              <w:rPr>
                <w:sz w:val="18"/>
                <w:szCs w:val="18"/>
              </w:rPr>
              <w:t xml:space="preserve">Masked production-like</w:t>
            </w:r>
          </w:p>
        </w:tc>
      </w:tr>
      <w:tr>
        <w:tc>
          <w:tcPr>
            <w:tcW w:type="dxa" w:w="2005"/>
            <w:tcMar>
              <w:top w:type="dxa" w:w="60"/>
              <w:left w:type="dxa" w:w="100"/>
              <w:bottom w:type="dxa" w:w="60"/>
              <w:right w:type="dxa" w:w="100"/>
            </w:tcMar>
          </w:tcPr>
          <w:p>
            <w:pPr>
              <w:spacing w:after="40"/>
            </w:pPr>
            <w:r>
              <w:rPr>
                <w:sz w:val="18"/>
                <w:szCs w:val="18"/>
              </w:rPr>
              <w:t xml:space="preserve">PRD</w:t>
            </w:r>
          </w:p>
        </w:tc>
        <w:tc>
          <w:tcPr>
            <w:tcW w:type="dxa" w:w="4011"/>
            <w:tcMar>
              <w:top w:type="dxa" w:w="60"/>
              <w:left w:type="dxa" w:w="100"/>
              <w:bottom w:type="dxa" w:w="60"/>
              <w:right w:type="dxa" w:w="100"/>
            </w:tcMar>
          </w:tcPr>
          <w:p>
            <w:pPr>
              <w:spacing w:after="40"/>
            </w:pPr>
            <w:r>
              <w:rPr>
                <w:sz w:val="18"/>
                <w:szCs w:val="18"/>
              </w:rPr>
              <w:t xml:space="preserve">Live partner and internal use</w:t>
            </w:r>
          </w:p>
        </w:tc>
        <w:tc>
          <w:tcPr>
            <w:tcW w:type="dxa" w:w="3010"/>
            <w:tcMar>
              <w:top w:type="dxa" w:w="60"/>
              <w:left w:type="dxa" w:w="100"/>
              <w:bottom w:type="dxa" w:w="60"/>
              <w:right w:type="dxa" w:w="100"/>
            </w:tcMar>
          </w:tcPr>
          <w:p>
            <w:pPr>
              <w:spacing w:after="40"/>
            </w:pPr>
            <w:r>
              <w:rPr>
                <w:sz w:val="18"/>
                <w:szCs w:val="18"/>
              </w:rPr>
              <w:t xml:space="preserve">Production</w:t>
            </w:r>
          </w:p>
        </w:tc>
      </w:tr>
    </w:tbl>
    <w:p>
      <w:pPr>
        <w:pStyle w:val="Heading3"/>
      </w:pPr>
      <w:r>
        <w:t xml:space="preserve">Third Parties</w:t>
      </w:r>
    </w:p>
    <w:p>
      <w:pPr>
        <w:spacing w:after="120"/>
      </w:pPr>
      <w:r>
        <w:t xml:space="preserve">Google Cloud (Looker, GKE, BigQuery, Cloud SQL, Apigee, Secret Manager, Logging) and Microsoft (Entra ID). External partner organisations consume the service under data-sharing agreements; they host no LBG components.</w:t>
      </w:r>
    </w:p>
    <w:p>
      <w:pPr>
        <w:pStyle w:val="Heading3"/>
      </w:pPr>
      <w:r>
        <w:t xml:space="preserve">Stressed Exit Approach</w:t>
      </w:r>
    </w:p>
    <w:p>
      <w:pPr>
        <w:spacing w:after="120"/>
      </w:pPr>
      <w:r>
        <w:t xml:space="preserve">Dashboards are LookML/content-as-code in Git; data remains in BigQuery; the registry is standard PostgreSQL; APIs are containerised and portable. In a stressed exit from Looker, partner data can be served by an alternative BI tool reading the same BigQuery datasets with the same tenant mapping; partners can be suspended centrally through the registry within minutes.</w:t>
      </w:r>
    </w:p>
    <w:p>
      <w:r>
        <w:br w:type="page"/>
      </w:r>
    </w:p>
    <w:p>
      <w:pPr>
        <w:pStyle w:val="Heading1"/>
      </w:pPr>
      <w:r>
        <w:t xml:space="preserve">Section 3 – Additional Design Detail</w:t>
      </w:r>
    </w:p>
    <w:p>
      <w:pPr>
        <w:spacing w:after="120"/>
      </w:pPr>
      <w:r>
        <w:rPr>
          <w:b/>
          <w:bCs/>
          <w:color w:val="1F4E79"/>
          <w:sz w:val="16"/>
          <w:szCs w:val="16"/>
        </w:rPr>
        <w:t xml:space="preserve">IF REQUIRED – Section Guidance</w:t>
      </w:r>
    </w:p>
    <w:p>
      <w:pPr>
        <w:pStyle w:val="Heading2"/>
      </w:pPr>
      <w:r>
        <w:t xml:space="preserve">3.1 Links to other information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rPr>
          <w:tblHeader/>
        </w:trPr>
        <w:tc>
          <w:tcPr>
            <w:tcW w:type="dxa" w:w="4513"/>
            <w:shd w:fill="1F4E79" w:color="auto" w:val="clear"/>
            <w:tcMar>
              <w:top w:type="dxa" w:w="60"/>
              <w:left w:type="dxa" w:w="100"/>
              <w:bottom w:type="dxa" w:w="60"/>
              <w:right w:type="dxa" w:w="100"/>
            </w:tcMar>
          </w:tcPr>
          <w:p>
            <w:pPr>
              <w:spacing w:after="40"/>
            </w:pPr>
            <w:r>
              <w:rPr>
                <w:b/>
                <w:bCs/>
                <w:color w:val="FFFFFF"/>
                <w:sz w:val="18"/>
                <w:szCs w:val="18"/>
              </w:rPr>
              <w:t xml:space="preserve">Reference</w:t>
            </w:r>
          </w:p>
        </w:tc>
        <w:tc>
          <w:tcPr>
            <w:tcW w:type="dxa" w:w="4513"/>
            <w:shd w:fill="1F4E79" w:color="auto" w:val="clear"/>
            <w:tcMar>
              <w:top w:type="dxa" w:w="60"/>
              <w:left w:type="dxa" w:w="100"/>
              <w:bottom w:type="dxa" w:w="60"/>
              <w:right w:type="dxa" w:w="100"/>
            </w:tcMar>
          </w:tcPr>
          <w:p>
            <w:pPr>
              <w:spacing w:after="40"/>
            </w:pPr>
            <w:r>
              <w:rPr>
                <w:b/>
                <w:bCs/>
                <w:color w:val="FFFFFF"/>
                <w:sz w:val="18"/>
                <w:szCs w:val="18"/>
              </w:rPr>
              <w:t xml:space="preserve">Link</w:t>
            </w:r>
          </w:p>
        </w:tc>
      </w:tr>
      <w:tr>
        <w:tc>
          <w:tcPr>
            <w:tcW w:type="dxa" w:w="4513"/>
            <w:tcMar>
              <w:top w:type="dxa" w:w="60"/>
              <w:left w:type="dxa" w:w="100"/>
              <w:bottom w:type="dxa" w:w="60"/>
              <w:right w:type="dxa" w:w="100"/>
            </w:tcMar>
          </w:tcPr>
          <w:p>
            <w:pPr>
              <w:spacing w:after="40"/>
            </w:pPr>
            <w:r>
              <w:rPr>
                <w:sz w:val="18"/>
                <w:szCs w:val="18"/>
              </w:rPr>
              <w:t xml:space="preserve">Partner access architecture (HUB / spokes, Stage 5 expanded)</w:t>
            </w:r>
          </w:p>
        </w:tc>
        <w:tc>
          <w:tcPr>
            <w:tcW w:type="dxa" w:w="4513"/>
            <w:tcMar>
              <w:top w:type="dxa" w:w="60"/>
              <w:left w:type="dxa" w:w="100"/>
              <w:bottom w:type="dxa" w:w="60"/>
              <w:right w:type="dxa" w:w="100"/>
            </w:tcMar>
          </w:tcPr>
          <w:p>
            <w:pPr>
              <w:spacing w:after="40"/>
            </w:pPr>
            <w:r>
              <w:rPr>
                <w:sz w:val="18"/>
                <w:szCs w:val="18"/>
              </w:rPr>
              <w:t xml:space="preserve">partner-dashboard-flow-v5-spacious-stage5-expanded-v3.drawio</w:t>
            </w:r>
          </w:p>
        </w:tc>
      </w:tr>
      <w:tr>
        <w:tc>
          <w:tcPr>
            <w:tcW w:type="dxa" w:w="4513"/>
            <w:shd w:fill="F7F9FC" w:color="auto" w:val="clear"/>
            <w:tcMar>
              <w:top w:type="dxa" w:w="60"/>
              <w:left w:type="dxa" w:w="100"/>
              <w:bottom w:type="dxa" w:w="60"/>
              <w:right w:type="dxa" w:w="100"/>
            </w:tcMar>
          </w:tcPr>
          <w:p>
            <w:pPr>
              <w:spacing w:after="40"/>
            </w:pPr>
            <w:r>
              <w:rPr>
                <w:sz w:val="18"/>
                <w:szCs w:val="18"/>
              </w:rPr>
              <w:t xml:space="preserve">Looker API to dashboard (Stage 5–6)</w:t>
            </w:r>
          </w:p>
        </w:tc>
        <w:tc>
          <w:tcPr>
            <w:tcW w:type="dxa" w:w="4513"/>
            <w:shd w:fill="F7F9FC" w:color="auto" w:val="clear"/>
            <w:tcMar>
              <w:top w:type="dxa" w:w="60"/>
              <w:left w:type="dxa" w:w="100"/>
              <w:bottom w:type="dxa" w:w="60"/>
              <w:right w:type="dxa" w:w="100"/>
            </w:tcMar>
          </w:tcPr>
          <w:p>
            <w:pPr>
              <w:spacing w:after="40"/>
            </w:pPr>
            <w:r>
              <w:rPr>
                <w:sz w:val="18"/>
                <w:szCs w:val="18"/>
              </w:rPr>
              <w:t xml:space="preserve">partner-dashboard-stage5-6-looker-api-to-dashboard.drawio</w:t>
            </w:r>
          </w:p>
        </w:tc>
      </w:tr>
      <w:tr>
        <w:tc>
          <w:tcPr>
            <w:tcW w:type="dxa" w:w="4513"/>
            <w:tcMar>
              <w:top w:type="dxa" w:w="60"/>
              <w:left w:type="dxa" w:w="100"/>
              <w:bottom w:type="dxa" w:w="60"/>
              <w:right w:type="dxa" w:w="100"/>
            </w:tcMar>
          </w:tcPr>
          <w:p>
            <w:pPr>
              <w:spacing w:after="40"/>
            </w:pPr>
            <w:r>
              <w:rPr>
                <w:sz w:val="18"/>
                <w:szCs w:val="18"/>
              </w:rPr>
              <w:t xml:space="preserve">GKE to Cloud SQL Tenant Registry</w:t>
            </w:r>
          </w:p>
        </w:tc>
        <w:tc>
          <w:tcPr>
            <w:tcW w:type="dxa" w:w="4513"/>
            <w:tcMar>
              <w:top w:type="dxa" w:w="60"/>
              <w:left w:type="dxa" w:w="100"/>
              <w:bottom w:type="dxa" w:w="60"/>
              <w:right w:type="dxa" w:w="100"/>
            </w:tcMar>
          </w:tcPr>
          <w:p>
            <w:pPr>
              <w:spacing w:after="40"/>
            </w:pPr>
            <w:r>
              <w:rPr>
                <w:sz w:val="18"/>
                <w:szCs w:val="18"/>
              </w:rPr>
              <w:t xml:space="preserve">gke-to-cloudsql-registry.drawio</w:t>
            </w:r>
          </w:p>
        </w:tc>
      </w:tr>
      <w:tr>
        <w:tc>
          <w:tcPr>
            <w:tcW w:type="dxa" w:w="4513"/>
            <w:shd w:fill="F7F9FC" w:color="auto" w:val="clear"/>
            <w:tcMar>
              <w:top w:type="dxa" w:w="60"/>
              <w:left w:type="dxa" w:w="100"/>
              <w:bottom w:type="dxa" w:w="60"/>
              <w:right w:type="dxa" w:w="100"/>
            </w:tcMar>
          </w:tcPr>
          <w:p>
            <w:pPr>
              <w:spacing w:after="40"/>
            </w:pPr>
            <w:r>
              <w:rPr>
                <w:sz w:val="18"/>
                <w:szCs w:val="18"/>
              </w:rPr>
              <w:t xml:space="preserve">Tenant Registry schema</w:t>
            </w:r>
          </w:p>
        </w:tc>
        <w:tc>
          <w:tcPr>
            <w:tcW w:type="dxa" w:w="4513"/>
            <w:shd w:fill="F7F9FC" w:color="auto" w:val="clear"/>
            <w:tcMar>
              <w:top w:type="dxa" w:w="60"/>
              <w:left w:type="dxa" w:w="100"/>
              <w:bottom w:type="dxa" w:w="60"/>
              <w:right w:type="dxa" w:w="100"/>
            </w:tcMar>
          </w:tcPr>
          <w:p>
            <w:pPr>
              <w:spacing w:after="40"/>
            </w:pPr>
            <w:r>
              <w:rPr>
                <w:sz w:val="18"/>
                <w:szCs w:val="18"/>
              </w:rPr>
              <w:t xml:space="preserve">tenant_registry_schema.sql</w:t>
            </w:r>
          </w:p>
        </w:tc>
      </w:tr>
      <w:tr>
        <w:tc>
          <w:tcPr>
            <w:tcW w:type="dxa" w:w="4513"/>
            <w:tcMar>
              <w:top w:type="dxa" w:w="60"/>
              <w:left w:type="dxa" w:w="100"/>
              <w:bottom w:type="dxa" w:w="60"/>
              <w:right w:type="dxa" w:w="100"/>
            </w:tcMar>
          </w:tcPr>
          <w:p>
            <w:pPr>
              <w:spacing w:after="40"/>
            </w:pPr>
            <w:r>
              <w:rPr>
                <w:sz w:val="18"/>
                <w:szCs w:val="18"/>
              </w:rPr>
              <w:t xml:space="preserve">Partner access end-to-end steps</w:t>
            </w:r>
          </w:p>
        </w:tc>
        <w:tc>
          <w:tcPr>
            <w:tcW w:type="dxa" w:w="4513"/>
            <w:tcMar>
              <w:top w:type="dxa" w:w="60"/>
              <w:left w:type="dxa" w:w="100"/>
              <w:bottom w:type="dxa" w:w="60"/>
              <w:right w:type="dxa" w:w="100"/>
            </w:tcMar>
          </w:tcPr>
          <w:p>
            <w:pPr>
              <w:spacing w:after="40"/>
            </w:pPr>
            <w:r>
              <w:rPr>
                <w:sz w:val="18"/>
                <w:szCs w:val="18"/>
              </w:rPr>
              <w:t xml:space="preserve">partner-dashboard-end-to-end-steps-v3.txt</w:t>
            </w:r>
          </w:p>
        </w:tc>
      </w:tr>
      <w:tr>
        <w:tc>
          <w:tcPr>
            <w:tcW w:type="dxa" w:w="4513"/>
            <w:shd w:fill="F7F9FC" w:color="auto" w:val="clear"/>
            <w:tcMar>
              <w:top w:type="dxa" w:w="60"/>
              <w:left w:type="dxa" w:w="100"/>
              <w:bottom w:type="dxa" w:w="60"/>
              <w:right w:type="dxa" w:w="100"/>
            </w:tcMar>
          </w:tcPr>
          <w:p>
            <w:pPr>
              <w:spacing w:after="40"/>
            </w:pPr>
            <w:r>
              <w:rPr>
                <w:sz w:val="18"/>
                <w:szCs w:val="18"/>
              </w:rPr>
              <w:t xml:space="preserve">Partner folder access and signed URL guide</w:t>
            </w:r>
          </w:p>
        </w:tc>
        <w:tc>
          <w:tcPr>
            <w:tcW w:type="dxa" w:w="4513"/>
            <w:shd w:fill="F7F9FC" w:color="auto" w:val="clear"/>
            <w:tcMar>
              <w:top w:type="dxa" w:w="60"/>
              <w:left w:type="dxa" w:w="100"/>
              <w:bottom w:type="dxa" w:w="60"/>
              <w:right w:type="dxa" w:w="100"/>
            </w:tcMar>
          </w:tcPr>
          <w:p>
            <w:pPr>
              <w:spacing w:after="40"/>
            </w:pPr>
            <w:r>
              <w:rPr>
                <w:sz w:val="18"/>
                <w:szCs w:val="18"/>
              </w:rPr>
              <w:t xml:space="preserve">partner-folder-access.html · signed-url-signature.html</w:t>
            </w:r>
          </w:p>
        </w:tc>
      </w:tr>
      <w:tr>
        <w:tc>
          <w:tcPr>
            <w:tcW w:type="dxa" w:w="4513"/>
            <w:tcMar>
              <w:top w:type="dxa" w:w="60"/>
              <w:left w:type="dxa" w:w="100"/>
              <w:bottom w:type="dxa" w:w="60"/>
              <w:right w:type="dxa" w:w="100"/>
            </w:tcMar>
          </w:tcPr>
          <w:p>
            <w:pPr>
              <w:spacing w:after="40"/>
            </w:pPr>
            <w:r>
              <w:rPr>
                <w:sz w:val="18"/>
                <w:szCs w:val="18"/>
              </w:rPr>
              <w:t xml:space="preserve">GKE API catalogue</w:t>
            </w:r>
          </w:p>
        </w:tc>
        <w:tc>
          <w:tcPr>
            <w:tcW w:type="dxa" w:w="4513"/>
            <w:tcMar>
              <w:top w:type="dxa" w:w="60"/>
              <w:left w:type="dxa" w:w="100"/>
              <w:bottom w:type="dxa" w:w="60"/>
              <w:right w:type="dxa" w:w="100"/>
            </w:tcMar>
          </w:tcPr>
          <w:p>
            <w:pPr>
              <w:spacing w:after="40"/>
            </w:pPr>
            <w:r>
              <w:rPr>
                <w:sz w:val="18"/>
                <w:szCs w:val="18"/>
              </w:rPr>
              <w:t xml:space="preserve">gke-api-catalogue.html</w:t>
            </w:r>
          </w:p>
        </w:tc>
      </w:tr>
      <w:tr>
        <w:tc>
          <w:tcPr>
            <w:tcW w:type="dxa" w:w="4513"/>
            <w:shd w:fill="F7F9FC" w:color="auto" w:val="clear"/>
            <w:tcMar>
              <w:top w:type="dxa" w:w="60"/>
              <w:left w:type="dxa" w:w="100"/>
              <w:bottom w:type="dxa" w:w="60"/>
              <w:right w:type="dxa" w:w="100"/>
            </w:tcMar>
          </w:tcPr>
          <w:p>
            <w:pPr>
              <w:spacing w:after="40"/>
            </w:pPr>
            <w:r>
              <w:rPr>
                <w:sz w:val="18"/>
                <w:szCs w:val="18"/>
              </w:rPr>
              <w:t xml:space="preserve">Write-back architecture</w:t>
            </w:r>
          </w:p>
        </w:tc>
        <w:tc>
          <w:tcPr>
            <w:tcW w:type="dxa" w:w="4513"/>
            <w:shd w:fill="F7F9FC" w:color="auto" w:val="clear"/>
            <w:tcMar>
              <w:top w:type="dxa" w:w="60"/>
              <w:left w:type="dxa" w:w="100"/>
              <w:bottom w:type="dxa" w:w="60"/>
              <w:right w:type="dxa" w:w="100"/>
            </w:tcMar>
          </w:tcPr>
          <w:p>
            <w:pPr>
              <w:spacing w:after="40"/>
            </w:pPr>
            <w:r>
              <w:rPr>
                <w:sz w:val="18"/>
                <w:szCs w:val="18"/>
              </w:rPr>
              <w:t xml:space="preserve">looker-writeback-oauth2-entra-v4.drawio</w:t>
            </w:r>
          </w:p>
        </w:tc>
      </w:tr>
      <w:tr>
        <w:tc>
          <w:tcPr>
            <w:tcW w:type="dxa" w:w="4513"/>
            <w:tcMar>
              <w:top w:type="dxa" w:w="60"/>
              <w:left w:type="dxa" w:w="100"/>
              <w:bottom w:type="dxa" w:w="60"/>
              <w:right w:type="dxa" w:w="100"/>
            </w:tcMar>
          </w:tcPr>
          <w:p>
            <w:pPr>
              <w:spacing w:after="40"/>
            </w:pPr>
            <w:r>
              <w:rPr>
                <w:sz w:val="18"/>
                <w:szCs w:val="18"/>
              </w:rPr>
              <w:t xml:space="preserve">Write-back Solution Architecture Document</w:t>
            </w:r>
          </w:p>
        </w:tc>
        <w:tc>
          <w:tcPr>
            <w:tcW w:type="dxa" w:w="4513"/>
            <w:tcMar>
              <w:top w:type="dxa" w:w="60"/>
              <w:left w:type="dxa" w:w="100"/>
              <w:bottom w:type="dxa" w:w="60"/>
              <w:right w:type="dxa" w:w="100"/>
            </w:tcMar>
          </w:tcPr>
          <w:p>
            <w:pPr>
              <w:spacing w:after="40"/>
            </w:pPr>
            <w:r>
              <w:rPr>
                <w:sz w:val="18"/>
                <w:szCs w:val="18"/>
              </w:rPr>
              <w:t xml:space="preserve">01-Writeback-Solution-Architecture-Document.docx</w:t>
            </w:r>
          </w:p>
        </w:tc>
      </w:tr>
      <w:tr>
        <w:tc>
          <w:tcPr>
            <w:tcW w:type="dxa" w:w="4513"/>
            <w:shd w:fill="F7F9FC" w:color="auto" w:val="clear"/>
            <w:tcMar>
              <w:top w:type="dxa" w:w="60"/>
              <w:left w:type="dxa" w:w="100"/>
              <w:bottom w:type="dxa" w:w="60"/>
              <w:right w:type="dxa" w:w="100"/>
            </w:tcMar>
          </w:tcPr>
          <w:p>
            <w:pPr>
              <w:spacing w:after="40"/>
            </w:pPr>
            <w:r>
              <w:rPr>
                <w:sz w:val="18"/>
                <w:szCs w:val="18"/>
              </w:rPr>
              <w:t xml:space="preserve">Write-back Security &amp; Threat Assessment</w:t>
            </w:r>
          </w:p>
        </w:tc>
        <w:tc>
          <w:tcPr>
            <w:tcW w:type="dxa" w:w="4513"/>
            <w:shd w:fill="F7F9FC" w:color="auto" w:val="clear"/>
            <w:tcMar>
              <w:top w:type="dxa" w:w="60"/>
              <w:left w:type="dxa" w:w="100"/>
              <w:bottom w:type="dxa" w:w="60"/>
              <w:right w:type="dxa" w:w="100"/>
            </w:tcMar>
          </w:tcPr>
          <w:p>
            <w:pPr>
              <w:spacing w:after="40"/>
            </w:pPr>
            <w:r>
              <w:rPr>
                <w:sz w:val="18"/>
                <w:szCs w:val="18"/>
              </w:rPr>
              <w:t xml:space="preserve">02-Writeback-Security-Threat-Assessment.docx</w:t>
            </w:r>
          </w:p>
        </w:tc>
      </w:tr>
      <w:tr>
        <w:tc>
          <w:tcPr>
            <w:tcW w:type="dxa" w:w="4513"/>
            <w:tcMar>
              <w:top w:type="dxa" w:w="60"/>
              <w:left w:type="dxa" w:w="100"/>
              <w:bottom w:type="dxa" w:w="60"/>
              <w:right w:type="dxa" w:w="100"/>
            </w:tcMar>
          </w:tcPr>
          <w:p>
            <w:pPr>
              <w:spacing w:after="40"/>
            </w:pPr>
            <w:r>
              <w:rPr>
                <w:sz w:val="18"/>
                <w:szCs w:val="18"/>
              </w:rPr>
              <w:t xml:space="preserve">Write-back End-to-End Steps</w:t>
            </w:r>
          </w:p>
        </w:tc>
        <w:tc>
          <w:tcPr>
            <w:tcW w:type="dxa" w:w="4513"/>
            <w:tcMar>
              <w:top w:type="dxa" w:w="60"/>
              <w:left w:type="dxa" w:w="100"/>
              <w:bottom w:type="dxa" w:w="60"/>
              <w:right w:type="dxa" w:w="100"/>
            </w:tcMar>
          </w:tcPr>
          <w:p>
            <w:pPr>
              <w:spacing w:after="40"/>
            </w:pPr>
            <w:r>
              <w:rPr>
                <w:sz w:val="18"/>
                <w:szCs w:val="18"/>
              </w:rPr>
              <w:t xml:space="preserve">03-Writeback-End-to-End-Steps.docx</w:t>
            </w:r>
          </w:p>
        </w:tc>
      </w:tr>
      <w:tr>
        <w:tc>
          <w:tcPr>
            <w:tcW w:type="dxa" w:w="4513"/>
            <w:shd w:fill="F7F9FC" w:color="auto" w:val="clear"/>
            <w:tcMar>
              <w:top w:type="dxa" w:w="60"/>
              <w:left w:type="dxa" w:w="100"/>
              <w:bottom w:type="dxa" w:w="60"/>
              <w:right w:type="dxa" w:w="100"/>
            </w:tcMar>
          </w:tcPr>
          <w:p>
            <w:pPr>
              <w:spacing w:after="40"/>
            </w:pPr>
            <w:r>
              <w:rPr>
                <w:sz w:val="18"/>
                <w:szCs w:val="18"/>
              </w:rPr>
              <w:t xml:space="preserve">Write-back API &amp; Endpoint Specification</w:t>
            </w:r>
          </w:p>
        </w:tc>
        <w:tc>
          <w:tcPr>
            <w:tcW w:type="dxa" w:w="4513"/>
            <w:shd w:fill="F7F9FC" w:color="auto" w:val="clear"/>
            <w:tcMar>
              <w:top w:type="dxa" w:w="60"/>
              <w:left w:type="dxa" w:w="100"/>
              <w:bottom w:type="dxa" w:w="60"/>
              <w:right w:type="dxa" w:w="100"/>
            </w:tcMar>
          </w:tcPr>
          <w:p>
            <w:pPr>
              <w:spacing w:after="40"/>
            </w:pPr>
            <w:r>
              <w:rPr>
                <w:sz w:val="18"/>
                <w:szCs w:val="18"/>
              </w:rPr>
              <w:t xml:space="preserve">04-Writeback-API-Endpoint-Specification.docx</w:t>
            </w:r>
          </w:p>
        </w:tc>
      </w:tr>
      <w:tr>
        <w:tc>
          <w:tcPr>
            <w:tcW w:type="dxa" w:w="4513"/>
            <w:tcMar>
              <w:top w:type="dxa" w:w="60"/>
              <w:left w:type="dxa" w:w="100"/>
              <w:bottom w:type="dxa" w:w="60"/>
              <w:right w:type="dxa" w:w="100"/>
            </w:tcMar>
          </w:tcPr>
          <w:p>
            <w:pPr>
              <w:spacing w:after="40"/>
            </w:pPr>
            <w:r>
              <w:rPr>
                <w:sz w:val="18"/>
                <w:szCs w:val="18"/>
              </w:rPr>
              <w:t xml:space="preserve">CODA / Control Register</w:t>
            </w:r>
          </w:p>
        </w:tc>
        <w:tc>
          <w:tcPr>
            <w:tcW w:type="dxa" w:w="4513"/>
            <w:tcMar>
              <w:top w:type="dxa" w:w="60"/>
              <w:left w:type="dxa" w:w="100"/>
              <w:bottom w:type="dxa" w:w="60"/>
              <w:right w:type="dxa" w:w="100"/>
            </w:tcMar>
          </w:tcPr>
          <w:p>
            <w:pPr>
              <w:spacing w:after="40"/>
            </w:pPr>
            <w:r>
              <w:rPr>
                <w:sz w:val="18"/>
                <w:szCs w:val="18"/>
              </w:rPr>
              <w:t xml:space="preserve">TBC – to be linked on Confluence</w:t>
            </w:r>
          </w:p>
        </w:tc>
      </w:tr>
    </w:tbl>
    <w:p>
      <w:pPr>
        <w:pStyle w:val="Heading2"/>
      </w:pPr>
      <w:r>
        <w:t xml:space="preserve">3.2 Low Level Designs – Design Space</w:t>
      </w:r>
    </w:p>
    <w:p>
      <w:pPr>
        <w:spacing w:after="120"/>
      </w:pPr>
      <w:r>
        <w:t xml:space="preserve">Hierarchy of design artefacts below this MVD:</w:t>
      </w:r>
    </w:p>
    <w:p>
      <w:pPr>
        <w:pStyle w:val="ListParagraph"/>
        <w:numPr>
          <w:ilvl w:val="0"/>
          <w:numId w:val="2"/>
        </w:numPr>
        <w:spacing w:after="60"/>
      </w:pPr>
      <w:r>
        <w:t xml:space="preserve">LLD-01 Network: HUB/spoke routing, PSC, DNS peering, External LB and Reverse Proxy</w:t>
      </w:r>
    </w:p>
    <w:p>
      <w:pPr>
        <w:pStyle w:val="ListParagraph"/>
        <w:numPr>
          <w:ilvl w:val="0"/>
          <w:numId w:val="2"/>
        </w:numPr>
        <w:spacing w:after="60"/>
      </w:pPr>
      <w:r>
        <w:t xml:space="preserve">LLD-02 Identity: ID&amp;A / Apigee integration, JWT and JWKS, Entra federation for write-back</w:t>
      </w:r>
    </w:p>
    <w:p>
      <w:pPr>
        <w:pStyle w:val="ListParagraph"/>
        <w:numPr>
          <w:ilvl w:val="0"/>
          <w:numId w:val="2"/>
        </w:numPr>
        <w:spacing w:after="60"/>
      </w:pPr>
      <w:r>
        <w:t xml:space="preserve">LLD-03 Tenant Registry: schema, roles, onboarding and reconciliation jobs</w:t>
      </w:r>
    </w:p>
    <w:p>
      <w:pPr>
        <w:pStyle w:val="ListParagraph"/>
        <w:numPr>
          <w:ilvl w:val="0"/>
          <w:numId w:val="2"/>
        </w:numPr>
        <w:spacing w:after="60"/>
      </w:pPr>
      <w:r>
        <w:t xml:space="preserve">LLD-04 Looker: signed embedding, groups/folders, user attributes, access filters, Action Hub</w:t>
      </w:r>
    </w:p>
    <w:p>
      <w:pPr>
        <w:pStyle w:val="ListParagraph"/>
        <w:numPr>
          <w:ilvl w:val="0"/>
          <w:numId w:val="2"/>
        </w:numPr>
        <w:spacing w:after="60"/>
      </w:pPr>
      <w:r>
        <w:t xml:space="preserve">LLD-05 APIs: Looker API, Partner Details API, Embed URL API, Write-back API, Writer (OpenAPI specs)</w:t>
      </w:r>
    </w:p>
    <w:p>
      <w:pPr>
        <w:pStyle w:val="ListParagraph"/>
        <w:numPr>
          <w:ilvl w:val="0"/>
          <w:numId w:val="2"/>
        </w:numPr>
        <w:spacing w:after="60"/>
      </w:pPr>
      <w:r>
        <w:t xml:space="preserve">LLD-06 Observability and operations: logging schema, alerts, runbooks</w:t>
      </w:r>
    </w:p>
    <w:p>
      <w:pPr>
        <w:pStyle w:val="Heading1"/>
      </w:pPr>
      <w:r>
        <w:t xml:space="preserve">Section 4 – Design Time Considerations</w:t>
      </w:r>
    </w:p>
    <w:p>
      <w:pPr>
        <w:spacing w:after="120"/>
      </w:pPr>
      <w:r>
        <w:rPr>
          <w:b/>
          <w:bCs/>
          <w:color w:val="1F4E79"/>
          <w:sz w:val="16"/>
          <w:szCs w:val="16"/>
        </w:rPr>
        <w:t xml:space="preserve">IF REQUIRED – Section Guidance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911"/>
        <w:gridCol w:w="1303"/>
        <w:gridCol w:w="2607"/>
        <w:gridCol w:w="1205"/>
      </w:tblGrid>
      <w:tr>
        <w:trPr>
          <w:tblHeader/>
        </w:trPr>
        <w:tc>
          <w:tcPr>
            <w:tcW w:type="dxa" w:w="3911"/>
            <w:shd w:fill="1F4E79" w:color="auto" w:val="clear"/>
            <w:tcMar>
              <w:top w:type="dxa" w:w="60"/>
              <w:left w:type="dxa" w:w="100"/>
              <w:bottom w:type="dxa" w:w="60"/>
              <w:right w:type="dxa" w:w="100"/>
            </w:tcMar>
          </w:tcPr>
          <w:p>
            <w:pPr>
              <w:spacing w:after="40"/>
            </w:pPr>
            <w:r>
              <w:rPr>
                <w:b/>
                <w:bCs/>
                <w:color w:val="FFFFFF"/>
                <w:sz w:val="18"/>
                <w:szCs w:val="18"/>
              </w:rPr>
              <w:t xml:space="preserve">Action</w:t>
            </w:r>
          </w:p>
        </w:tc>
        <w:tc>
          <w:tcPr>
            <w:tcW w:type="dxa" w:w="1303"/>
            <w:shd w:fill="1F4E79" w:color="auto" w:val="clear"/>
            <w:tcMar>
              <w:top w:type="dxa" w:w="60"/>
              <w:left w:type="dxa" w:w="100"/>
              <w:bottom w:type="dxa" w:w="60"/>
              <w:right w:type="dxa" w:w="100"/>
            </w:tcMar>
          </w:tcPr>
          <w:p>
            <w:pPr>
              <w:spacing w:after="40"/>
            </w:pPr>
            <w:r>
              <w:rPr>
                <w:b/>
                <w:bCs/>
                <w:color w:val="FFFFFF"/>
                <w:sz w:val="18"/>
                <w:szCs w:val="18"/>
              </w:rPr>
              <w:t xml:space="preserve">Type</w:t>
            </w:r>
          </w:p>
        </w:tc>
        <w:tc>
          <w:tcPr>
            <w:tcW w:type="dxa" w:w="2607"/>
            <w:shd w:fill="1F4E79" w:color="auto" w:val="clear"/>
            <w:tcMar>
              <w:top w:type="dxa" w:w="60"/>
              <w:left w:type="dxa" w:w="100"/>
              <w:bottom w:type="dxa" w:w="60"/>
              <w:right w:type="dxa" w:w="100"/>
            </w:tcMar>
          </w:tcPr>
          <w:p>
            <w:pPr>
              <w:spacing w:after="40"/>
            </w:pPr>
            <w:r>
              <w:rPr>
                <w:b/>
                <w:bCs/>
                <w:color w:val="FFFFFF"/>
                <w:sz w:val="18"/>
                <w:szCs w:val="18"/>
              </w:rPr>
              <w:t xml:space="preserve">Comments</w:t>
            </w:r>
          </w:p>
        </w:tc>
        <w:tc>
          <w:tcPr>
            <w:tcW w:type="dxa" w:w="1205"/>
            <w:shd w:fill="1F4E79" w:color="auto" w:val="clear"/>
            <w:tcMar>
              <w:top w:type="dxa" w:w="60"/>
              <w:left w:type="dxa" w:w="100"/>
              <w:bottom w:type="dxa" w:w="60"/>
              <w:right w:type="dxa" w:w="100"/>
            </w:tcMar>
          </w:tcPr>
          <w:p>
            <w:pPr>
              <w:spacing w:after="40"/>
            </w:pPr>
            <w:r>
              <w:rPr>
                <w:b/>
                <w:bCs/>
                <w:color w:val="FFFFFF"/>
                <w:sz w:val="18"/>
                <w:szCs w:val="18"/>
              </w:rPr>
              <w:t xml:space="preserve">Status (Open / Closed)</w:t>
            </w:r>
          </w:p>
        </w:tc>
      </w:tr>
      <w:tr>
        <w:tc>
          <w:tcPr>
            <w:tcW w:type="dxa" w:w="3911"/>
            <w:tcMar>
              <w:top w:type="dxa" w:w="60"/>
              <w:left w:type="dxa" w:w="100"/>
              <w:bottom w:type="dxa" w:w="60"/>
              <w:right w:type="dxa" w:w="100"/>
            </w:tcMar>
          </w:tcPr>
          <w:p>
            <w:pPr>
              <w:spacing w:after="40"/>
            </w:pPr>
            <w:r>
              <w:rPr>
                <w:sz w:val="18"/>
                <w:szCs w:val="18"/>
              </w:rPr>
              <w:t xml:space="preserve">OD-1 Write-back user authorisation: Entra group via Microsoft Graph or Looker group / user attribute</w:t>
            </w:r>
          </w:p>
        </w:tc>
        <w:tc>
          <w:tcPr>
            <w:tcW w:type="dxa" w:w="1303"/>
            <w:tcMar>
              <w:top w:type="dxa" w:w="60"/>
              <w:left w:type="dxa" w:w="100"/>
              <w:bottom w:type="dxa" w:w="60"/>
              <w:right w:type="dxa" w:w="100"/>
            </w:tcMar>
          </w:tcPr>
          <w:p>
            <w:pPr>
              <w:spacing w:after="40"/>
            </w:pPr>
            <w:r>
              <w:rPr>
                <w:sz w:val="18"/>
                <w:szCs w:val="18"/>
              </w:rPr>
              <w:t xml:space="preserve">Decision</w:t>
            </w:r>
          </w:p>
        </w:tc>
        <w:tc>
          <w:tcPr>
            <w:tcW w:type="dxa" w:w="2607"/>
            <w:tcMar>
              <w:top w:type="dxa" w:w="60"/>
              <w:left w:type="dxa" w:w="100"/>
              <w:bottom w:type="dxa" w:w="60"/>
              <w:right w:type="dxa" w:w="100"/>
            </w:tcMar>
          </w:tcPr>
          <w:p>
            <w:pPr>
              <w:spacing w:after="40"/>
            </w:pPr>
            <w:r>
              <w:rPr>
                <w:sz w:val="18"/>
                <w:szCs w:val="18"/>
              </w:rPr>
              <w:t xml:space="preserve">Looker-group option removes the Graph client secret and a dependency</w:t>
            </w:r>
          </w:p>
        </w:tc>
        <w:tc>
          <w:tcPr>
            <w:tcW w:type="dxa" w:w="1205"/>
            <w:tcMar>
              <w:top w:type="dxa" w:w="60"/>
              <w:left w:type="dxa" w:w="100"/>
              <w:bottom w:type="dxa" w:w="60"/>
              <w:right w:type="dxa" w:w="100"/>
            </w:tcMar>
          </w:tcPr>
          <w:p>
            <w:pPr>
              <w:spacing w:after="40"/>
            </w:pPr>
            <w:r>
              <w:rPr>
                <w:sz w:val="18"/>
                <w:szCs w:val="18"/>
              </w:rPr>
              <w:t xml:space="preserve">Open</w:t>
            </w:r>
          </w:p>
        </w:tc>
      </w:tr>
      <w:tr>
        <w:tc>
          <w:tcPr>
            <w:tcW w:type="dxa" w:w="3911"/>
            <w:shd w:fill="F7F9FC" w:color="auto" w:val="clear"/>
            <w:tcMar>
              <w:top w:type="dxa" w:w="60"/>
              <w:left w:type="dxa" w:w="100"/>
              <w:bottom w:type="dxa" w:w="60"/>
              <w:right w:type="dxa" w:w="100"/>
            </w:tcMar>
          </w:tcPr>
          <w:p>
            <w:pPr>
              <w:spacing w:after="40"/>
            </w:pPr>
            <w:r>
              <w:rPr>
                <w:sz w:val="18"/>
                <w:szCs w:val="18"/>
              </w:rPr>
              <w:t xml:space="preserve">OD-2 Confirm ID&amp;A token-exchange contract (Entra → ID&amp;A JWT), claims and JWKS path</w:t>
            </w:r>
          </w:p>
        </w:tc>
        <w:tc>
          <w:tcPr>
            <w:tcW w:type="dxa" w:w="1303"/>
            <w:shd w:fill="F7F9FC" w:color="auto" w:val="clear"/>
            <w:tcMar>
              <w:top w:type="dxa" w:w="60"/>
              <w:left w:type="dxa" w:w="100"/>
              <w:bottom w:type="dxa" w:w="60"/>
              <w:right w:type="dxa" w:w="100"/>
            </w:tcMar>
          </w:tcPr>
          <w:p>
            <w:pPr>
              <w:spacing w:after="40"/>
            </w:pPr>
            <w:r>
              <w:rPr>
                <w:sz w:val="18"/>
                <w:szCs w:val="18"/>
              </w:rPr>
              <w:t xml:space="preserve">Dependency</w:t>
            </w:r>
          </w:p>
        </w:tc>
        <w:tc>
          <w:tcPr>
            <w:tcW w:type="dxa" w:w="2607"/>
            <w:shd w:fill="F7F9FC" w:color="auto" w:val="clear"/>
            <w:tcMar>
              <w:top w:type="dxa" w:w="60"/>
              <w:left w:type="dxa" w:w="100"/>
              <w:bottom w:type="dxa" w:w="60"/>
              <w:right w:type="dxa" w:w="100"/>
            </w:tcMar>
          </w:tcPr>
          <w:p>
            <w:pPr>
              <w:spacing w:after="40"/>
            </w:pPr>
            <w:r>
              <w:rPr>
                <w:sz w:val="18"/>
                <w:szCs w:val="18"/>
              </w:rPr>
              <w:t xml:space="preserve">ID&amp;A / Apigee teams</w:t>
            </w:r>
          </w:p>
        </w:tc>
        <w:tc>
          <w:tcPr>
            <w:tcW w:type="dxa" w:w="1205"/>
            <w:shd w:fill="F7F9FC" w:color="auto" w:val="clear"/>
            <w:tcMar>
              <w:top w:type="dxa" w:w="60"/>
              <w:left w:type="dxa" w:w="100"/>
              <w:bottom w:type="dxa" w:w="60"/>
              <w:right w:type="dxa" w:w="100"/>
            </w:tcMar>
          </w:tcPr>
          <w:p>
            <w:pPr>
              <w:spacing w:after="40"/>
            </w:pPr>
            <w:r>
              <w:rPr>
                <w:sz w:val="18"/>
                <w:szCs w:val="18"/>
              </w:rPr>
              <w:t xml:space="preserve">Open</w:t>
            </w:r>
          </w:p>
        </w:tc>
      </w:tr>
      <w:tr>
        <w:tc>
          <w:tcPr>
            <w:tcW w:type="dxa" w:w="3911"/>
            <w:tcMar>
              <w:top w:type="dxa" w:w="60"/>
              <w:left w:type="dxa" w:w="100"/>
              <w:bottom w:type="dxa" w:w="60"/>
              <w:right w:type="dxa" w:w="100"/>
            </w:tcMar>
          </w:tcPr>
          <w:p>
            <w:pPr>
              <w:spacing w:after="40"/>
            </w:pPr>
            <w:r>
              <w:rPr>
                <w:sz w:val="18"/>
                <w:szCs w:val="18"/>
              </w:rPr>
              <w:t xml:space="preserve">OD-3 Action Hub hosting (Spoke 2 looker-actions namespace vs Spoke 1)</w:t>
            </w:r>
          </w:p>
        </w:tc>
        <w:tc>
          <w:tcPr>
            <w:tcW w:type="dxa" w:w="1303"/>
            <w:tcMar>
              <w:top w:type="dxa" w:w="60"/>
              <w:left w:type="dxa" w:w="100"/>
              <w:bottom w:type="dxa" w:w="60"/>
              <w:right w:type="dxa" w:w="100"/>
            </w:tcMar>
          </w:tcPr>
          <w:p>
            <w:pPr>
              <w:spacing w:after="40"/>
            </w:pPr>
            <w:r>
              <w:rPr>
                <w:sz w:val="18"/>
                <w:szCs w:val="18"/>
              </w:rPr>
              <w:t xml:space="preserve">Decision</w:t>
            </w:r>
          </w:p>
        </w:tc>
        <w:tc>
          <w:tcPr>
            <w:tcW w:type="dxa" w:w="2607"/>
            <w:tcMar>
              <w:top w:type="dxa" w:w="60"/>
              <w:left w:type="dxa" w:w="100"/>
              <w:bottom w:type="dxa" w:w="60"/>
              <w:right w:type="dxa" w:w="100"/>
            </w:tcMar>
          </w:tcPr>
          <w:p>
            <w:pPr>
              <w:spacing w:after="40"/>
            </w:pPr>
            <w:r>
              <w:rPr>
                <w:sz w:val="18"/>
                <w:szCs w:val="18"/>
              </w:rPr>
              <w:t xml:space="preserve">Proposed: Spoke 2 next to Looker</w:t>
            </w:r>
          </w:p>
        </w:tc>
        <w:tc>
          <w:tcPr>
            <w:tcW w:type="dxa" w:w="1205"/>
            <w:tcMar>
              <w:top w:type="dxa" w:w="60"/>
              <w:left w:type="dxa" w:w="100"/>
              <w:bottom w:type="dxa" w:w="60"/>
              <w:right w:type="dxa" w:w="100"/>
            </w:tcMar>
          </w:tcPr>
          <w:p>
            <w:pPr>
              <w:spacing w:after="40"/>
            </w:pPr>
            <w:r>
              <w:rPr>
                <w:sz w:val="18"/>
                <w:szCs w:val="18"/>
              </w:rPr>
              <w:t xml:space="preserve">Open</w:t>
            </w:r>
          </w:p>
        </w:tc>
      </w:tr>
      <w:tr>
        <w:tc>
          <w:tcPr>
            <w:tcW w:type="dxa" w:w="3911"/>
            <w:shd w:fill="F7F9FC" w:color="auto" w:val="clear"/>
            <w:tcMar>
              <w:top w:type="dxa" w:w="60"/>
              <w:left w:type="dxa" w:w="100"/>
              <w:bottom w:type="dxa" w:w="60"/>
              <w:right w:type="dxa" w:w="100"/>
            </w:tcMar>
          </w:tcPr>
          <w:p>
            <w:pPr>
              <w:spacing w:after="40"/>
            </w:pPr>
            <w:r>
              <w:rPr>
                <w:sz w:val="18"/>
                <w:szCs w:val="18"/>
              </w:rPr>
              <w:t xml:space="preserve">OD-4 Write-back JWT lifetime (15 min proposed, max 1 h)</w:t>
            </w:r>
          </w:p>
        </w:tc>
        <w:tc>
          <w:tcPr>
            <w:tcW w:type="dxa" w:w="1303"/>
            <w:shd w:fill="F7F9FC" w:color="auto" w:val="clear"/>
            <w:tcMar>
              <w:top w:type="dxa" w:w="60"/>
              <w:left w:type="dxa" w:w="100"/>
              <w:bottom w:type="dxa" w:w="60"/>
              <w:right w:type="dxa" w:w="100"/>
            </w:tcMar>
          </w:tcPr>
          <w:p>
            <w:pPr>
              <w:spacing w:after="40"/>
            </w:pPr>
            <w:r>
              <w:rPr>
                <w:sz w:val="18"/>
                <w:szCs w:val="18"/>
              </w:rPr>
              <w:t xml:space="preserve">Decision</w:t>
            </w:r>
          </w:p>
        </w:tc>
        <w:tc>
          <w:tcPr>
            <w:tcW w:type="dxa" w:w="2607"/>
            <w:shd w:fill="F7F9FC" w:color="auto" w:val="clear"/>
            <w:tcMar>
              <w:top w:type="dxa" w:w="60"/>
              <w:left w:type="dxa" w:w="100"/>
              <w:bottom w:type="dxa" w:w="60"/>
              <w:right w:type="dxa" w:w="100"/>
            </w:tcMar>
          </w:tcPr>
          <w:p>
            <w:pPr>
              <w:spacing w:after="40"/>
            </w:pPr>
            <w:r>
              <w:rPr>
                <w:sz w:val="18"/>
                <w:szCs w:val="18"/>
              </w:rPr>
              <w:t xml:space="preserve">Within 1 h token NFR</w:t>
            </w:r>
          </w:p>
        </w:tc>
        <w:tc>
          <w:tcPr>
            <w:tcW w:type="dxa" w:w="1205"/>
            <w:shd w:fill="F7F9FC" w:color="auto" w:val="clear"/>
            <w:tcMar>
              <w:top w:type="dxa" w:w="60"/>
              <w:left w:type="dxa" w:w="100"/>
              <w:bottom w:type="dxa" w:w="60"/>
              <w:right w:type="dxa" w:w="100"/>
            </w:tcMar>
          </w:tcPr>
          <w:p>
            <w:pPr>
              <w:spacing w:after="40"/>
            </w:pPr>
            <w:r>
              <w:rPr>
                <w:sz w:val="18"/>
                <w:szCs w:val="18"/>
              </w:rPr>
              <w:t xml:space="preserve">Open</w:t>
            </w:r>
          </w:p>
        </w:tc>
      </w:tr>
      <w:tr>
        <w:tc>
          <w:tcPr>
            <w:tcW w:type="dxa" w:w="3911"/>
            <w:tcMar>
              <w:top w:type="dxa" w:w="60"/>
              <w:left w:type="dxa" w:w="100"/>
              <w:bottom w:type="dxa" w:w="60"/>
              <w:right w:type="dxa" w:w="100"/>
            </w:tcMar>
          </w:tcPr>
          <w:p>
            <w:pPr>
              <w:spacing w:after="40"/>
            </w:pPr>
            <w:r>
              <w:rPr>
                <w:sz w:val="18"/>
                <w:szCs w:val="18"/>
              </w:rPr>
              <w:t xml:space="preserve">Fix external_user_id format partner_id::tenant_id before go-live</w:t>
            </w:r>
          </w:p>
        </w:tc>
        <w:tc>
          <w:tcPr>
            <w:tcW w:type="dxa" w:w="1303"/>
            <w:tcMar>
              <w:top w:type="dxa" w:w="60"/>
              <w:left w:type="dxa" w:w="100"/>
              <w:bottom w:type="dxa" w:w="60"/>
              <w:right w:type="dxa" w:w="100"/>
            </w:tcMar>
          </w:tcPr>
          <w:p>
            <w:pPr>
              <w:spacing w:after="40"/>
            </w:pPr>
            <w:r>
              <w:rPr>
                <w:sz w:val="18"/>
                <w:szCs w:val="18"/>
              </w:rPr>
              <w:t xml:space="preserve">Decision</w:t>
            </w:r>
          </w:p>
        </w:tc>
        <w:tc>
          <w:tcPr>
            <w:tcW w:type="dxa" w:w="2607"/>
            <w:tcMar>
              <w:top w:type="dxa" w:w="60"/>
              <w:left w:type="dxa" w:w="100"/>
              <w:bottom w:type="dxa" w:w="60"/>
              <w:right w:type="dxa" w:w="100"/>
            </w:tcMar>
          </w:tcPr>
          <w:p>
            <w:pPr>
              <w:spacing w:after="40"/>
            </w:pPr>
            <w:r>
              <w:rPr>
                <w:sz w:val="18"/>
                <w:szCs w:val="18"/>
              </w:rPr>
              <w:t xml:space="preserve">Changing it later creates new Looker users</w:t>
            </w:r>
          </w:p>
        </w:tc>
        <w:tc>
          <w:tcPr>
            <w:tcW w:type="dxa" w:w="1205"/>
            <w:tcMar>
              <w:top w:type="dxa" w:w="60"/>
              <w:left w:type="dxa" w:w="100"/>
              <w:bottom w:type="dxa" w:w="60"/>
              <w:right w:type="dxa" w:w="100"/>
            </w:tcMar>
          </w:tcPr>
          <w:p>
            <w:pPr>
              <w:spacing w:after="40"/>
            </w:pPr>
            <w:r>
              <w:rPr>
                <w:sz w:val="18"/>
                <w:szCs w:val="18"/>
              </w:rPr>
              <w:t xml:space="preserve">Closed (agreed)</w:t>
            </w:r>
          </w:p>
        </w:tc>
      </w:tr>
      <w:tr>
        <w:tc>
          <w:tcPr>
            <w:tcW w:type="dxa" w:w="3911"/>
            <w:shd w:fill="F7F9FC" w:color="auto" w:val="clear"/>
            <w:tcMar>
              <w:top w:type="dxa" w:w="60"/>
              <w:left w:type="dxa" w:w="100"/>
              <w:bottom w:type="dxa" w:w="60"/>
              <w:right w:type="dxa" w:w="100"/>
            </w:tcMar>
          </w:tcPr>
          <w:p>
            <w:pPr>
              <w:spacing w:after="40"/>
            </w:pPr>
            <w:r>
              <w:rPr>
                <w:sz w:val="18"/>
                <w:szCs w:val="18"/>
              </w:rPr>
              <w:t xml:space="preserve">Looker embed-user licensing volumes and cost</w:t>
            </w:r>
          </w:p>
        </w:tc>
        <w:tc>
          <w:tcPr>
            <w:tcW w:type="dxa" w:w="1303"/>
            <w:shd w:fill="F7F9FC" w:color="auto" w:val="clear"/>
            <w:tcMar>
              <w:top w:type="dxa" w:w="60"/>
              <w:left w:type="dxa" w:w="100"/>
              <w:bottom w:type="dxa" w:w="60"/>
              <w:right w:type="dxa" w:w="100"/>
            </w:tcMar>
          </w:tcPr>
          <w:p>
            <w:pPr>
              <w:spacing w:after="40"/>
            </w:pPr>
            <w:r>
              <w:rPr>
                <w:sz w:val="18"/>
                <w:szCs w:val="18"/>
              </w:rPr>
              <w:t xml:space="preserve">Risk</w:t>
            </w:r>
          </w:p>
        </w:tc>
        <w:tc>
          <w:tcPr>
            <w:tcW w:type="dxa" w:w="2607"/>
            <w:shd w:fill="F7F9FC" w:color="auto" w:val="clear"/>
            <w:tcMar>
              <w:top w:type="dxa" w:w="60"/>
              <w:left w:type="dxa" w:w="100"/>
              <w:bottom w:type="dxa" w:w="60"/>
              <w:right w:type="dxa" w:w="100"/>
            </w:tcMar>
          </w:tcPr>
          <w:p>
            <w:pPr>
              <w:spacing w:after="40"/>
            </w:pPr>
            <w:r>
              <w:rPr>
                <w:sz w:val="18"/>
                <w:szCs w:val="18"/>
              </w:rPr>
              <w:t xml:space="preserve">Google account team / GEM Analytics</w:t>
            </w:r>
          </w:p>
        </w:tc>
        <w:tc>
          <w:tcPr>
            <w:tcW w:type="dxa" w:w="1205"/>
            <w:shd w:fill="F7F9FC" w:color="auto" w:val="clear"/>
            <w:tcMar>
              <w:top w:type="dxa" w:w="60"/>
              <w:left w:type="dxa" w:w="100"/>
              <w:bottom w:type="dxa" w:w="60"/>
              <w:right w:type="dxa" w:w="100"/>
            </w:tcMar>
          </w:tcPr>
          <w:p>
            <w:pPr>
              <w:spacing w:after="40"/>
            </w:pPr>
            <w:r>
              <w:rPr>
                <w:sz w:val="18"/>
                <w:szCs w:val="18"/>
              </w:rPr>
              <w:t xml:space="preserve">Open</w:t>
            </w:r>
          </w:p>
        </w:tc>
      </w:tr>
      <w:tr>
        <w:tc>
          <w:tcPr>
            <w:tcW w:type="dxa" w:w="3911"/>
            <w:tcMar>
              <w:top w:type="dxa" w:w="60"/>
              <w:left w:type="dxa" w:w="100"/>
              <w:bottom w:type="dxa" w:w="60"/>
              <w:right w:type="dxa" w:w="100"/>
            </w:tcMar>
          </w:tcPr>
          <w:p>
            <w:pPr>
              <w:spacing w:after="40"/>
            </w:pPr>
            <w:r>
              <w:rPr>
                <w:sz w:val="18"/>
                <w:szCs w:val="18"/>
              </w:rPr>
              <w:t xml:space="preserve">Performance test at 1,000 concurrent users; confirm 5 ms auth overhead</w:t>
            </w:r>
          </w:p>
        </w:tc>
        <w:tc>
          <w:tcPr>
            <w:tcW w:type="dxa" w:w="1303"/>
            <w:tcMar>
              <w:top w:type="dxa" w:w="60"/>
              <w:left w:type="dxa" w:w="100"/>
              <w:bottom w:type="dxa" w:w="60"/>
              <w:right w:type="dxa" w:w="100"/>
            </w:tcMar>
          </w:tcPr>
          <w:p>
            <w:pPr>
              <w:spacing w:after="40"/>
            </w:pPr>
            <w:r>
              <w:rPr>
                <w:sz w:val="18"/>
                <w:szCs w:val="18"/>
              </w:rPr>
              <w:t xml:space="preserve">Action</w:t>
            </w:r>
          </w:p>
        </w:tc>
        <w:tc>
          <w:tcPr>
            <w:tcW w:type="dxa" w:w="2607"/>
            <w:tcMar>
              <w:top w:type="dxa" w:w="60"/>
              <w:left w:type="dxa" w:w="100"/>
              <w:bottom w:type="dxa" w:w="60"/>
              <w:right w:type="dxa" w:w="100"/>
            </w:tcMar>
          </w:tcPr>
          <w:p>
            <w:pPr>
              <w:spacing w:after="40"/>
            </w:pPr>
            <w:r>
              <w:rPr>
                <w:sz w:val="18"/>
                <w:szCs w:val="18"/>
              </w:rPr>
              <w:t xml:space="preserve">PRE environment</w:t>
            </w:r>
          </w:p>
        </w:tc>
        <w:tc>
          <w:tcPr>
            <w:tcW w:type="dxa" w:w="1205"/>
            <w:tcMar>
              <w:top w:type="dxa" w:w="60"/>
              <w:left w:type="dxa" w:w="100"/>
              <w:bottom w:type="dxa" w:w="60"/>
              <w:right w:type="dxa" w:w="100"/>
            </w:tcMar>
          </w:tcPr>
          <w:p>
            <w:pPr>
              <w:spacing w:after="40"/>
            </w:pPr>
            <w:r>
              <w:rPr>
                <w:sz w:val="18"/>
                <w:szCs w:val="18"/>
              </w:rPr>
              <w:t xml:space="preserve">Open</w:t>
            </w:r>
          </w:p>
        </w:tc>
      </w:tr>
      <w:tr>
        <w:tc>
          <w:tcPr>
            <w:tcW w:type="dxa" w:w="3911"/>
            <w:shd w:fill="F7F9FC" w:color="auto" w:val="clear"/>
            <w:tcMar>
              <w:top w:type="dxa" w:w="60"/>
              <w:left w:type="dxa" w:w="100"/>
              <w:bottom w:type="dxa" w:w="60"/>
              <w:right w:type="dxa" w:w="100"/>
            </w:tcMar>
          </w:tcPr>
          <w:p>
            <w:pPr>
              <w:spacing w:after="40"/>
            </w:pPr>
            <w:r>
              <w:rPr>
                <w:sz w:val="18"/>
                <w:szCs w:val="18"/>
              </w:rPr>
              <w:t xml:space="preserve">Data-sharing agreement for GEM Analytics partners</w:t>
            </w:r>
          </w:p>
        </w:tc>
        <w:tc>
          <w:tcPr>
            <w:tcW w:type="dxa" w:w="1303"/>
            <w:shd w:fill="F7F9FC" w:color="auto" w:val="clear"/>
            <w:tcMar>
              <w:top w:type="dxa" w:w="60"/>
              <w:left w:type="dxa" w:w="100"/>
              <w:bottom w:type="dxa" w:w="60"/>
              <w:right w:type="dxa" w:w="100"/>
            </w:tcMar>
          </w:tcPr>
          <w:p>
            <w:pPr>
              <w:spacing w:after="40"/>
            </w:pPr>
            <w:r>
              <w:rPr>
                <w:sz w:val="18"/>
                <w:szCs w:val="18"/>
              </w:rPr>
              <w:t xml:space="preserve">Dependency</w:t>
            </w:r>
          </w:p>
        </w:tc>
        <w:tc>
          <w:tcPr>
            <w:tcW w:type="dxa" w:w="2607"/>
            <w:shd w:fill="F7F9FC" w:color="auto" w:val="clear"/>
            <w:tcMar>
              <w:top w:type="dxa" w:w="60"/>
              <w:left w:type="dxa" w:w="100"/>
              <w:bottom w:type="dxa" w:w="60"/>
              <w:right w:type="dxa" w:w="100"/>
            </w:tcMar>
          </w:tcPr>
          <w:p>
            <w:pPr>
              <w:spacing w:after="40"/>
            </w:pPr>
            <w:r>
              <w:rPr>
                <w:sz w:val="18"/>
                <w:szCs w:val="18"/>
              </w:rPr>
              <w:t xml:space="preserve">Legal / Data owner</w:t>
            </w:r>
          </w:p>
        </w:tc>
        <w:tc>
          <w:tcPr>
            <w:tcW w:type="dxa" w:w="1205"/>
            <w:shd w:fill="F7F9FC" w:color="auto" w:val="clear"/>
            <w:tcMar>
              <w:top w:type="dxa" w:w="60"/>
              <w:left w:type="dxa" w:w="100"/>
              <w:bottom w:type="dxa" w:w="60"/>
              <w:right w:type="dxa" w:w="100"/>
            </w:tcMar>
          </w:tcPr>
          <w:p>
            <w:pPr>
              <w:spacing w:after="40"/>
            </w:pPr>
            <w:r>
              <w:rPr>
                <w:sz w:val="18"/>
                <w:szCs w:val="18"/>
              </w:rPr>
              <w:t xml:space="preserve">Open</w:t>
            </w:r>
          </w:p>
        </w:tc>
      </w:tr>
      <w:tr>
        <w:tc>
          <w:tcPr>
            <w:tcW w:type="dxa" w:w="3911"/>
            <w:tcMar>
              <w:top w:type="dxa" w:w="60"/>
              <w:left w:type="dxa" w:w="100"/>
              <w:bottom w:type="dxa" w:w="60"/>
              <w:right w:type="dxa" w:w="100"/>
            </w:tcMar>
          </w:tcPr>
          <w:p>
            <w:pPr>
              <w:spacing w:after="40"/>
            </w:pPr>
            <w:r>
              <w:rPr>
                <w:sz w:val="18"/>
                <w:szCs w:val="18"/>
              </w:rPr>
              <w:t xml:space="preserve">Static IP and direct-connect allocation per environment</w:t>
            </w:r>
          </w:p>
        </w:tc>
        <w:tc>
          <w:tcPr>
            <w:tcW w:type="dxa" w:w="1303"/>
            <w:tcMar>
              <w:top w:type="dxa" w:w="60"/>
              <w:left w:type="dxa" w:w="100"/>
              <w:bottom w:type="dxa" w:w="60"/>
              <w:right w:type="dxa" w:w="100"/>
            </w:tcMar>
          </w:tcPr>
          <w:p>
            <w:pPr>
              <w:spacing w:after="40"/>
            </w:pPr>
            <w:r>
              <w:rPr>
                <w:sz w:val="18"/>
                <w:szCs w:val="18"/>
              </w:rPr>
              <w:t xml:space="preserve">Action</w:t>
            </w:r>
          </w:p>
        </w:tc>
        <w:tc>
          <w:tcPr>
            <w:tcW w:type="dxa" w:w="2607"/>
            <w:tcMar>
              <w:top w:type="dxa" w:w="60"/>
              <w:left w:type="dxa" w:w="100"/>
              <w:bottom w:type="dxa" w:w="60"/>
              <w:right w:type="dxa" w:w="100"/>
            </w:tcMar>
          </w:tcPr>
          <w:p>
            <w:pPr>
              <w:spacing w:after="40"/>
            </w:pPr>
            <w:r>
              <w:rPr>
                <w:sz w:val="18"/>
                <w:szCs w:val="18"/>
              </w:rPr>
              <w:t xml:space="preserve">Network team</w:t>
            </w:r>
          </w:p>
        </w:tc>
        <w:tc>
          <w:tcPr>
            <w:tcW w:type="dxa" w:w="1205"/>
            <w:tcMar>
              <w:top w:type="dxa" w:w="60"/>
              <w:left w:type="dxa" w:w="100"/>
              <w:bottom w:type="dxa" w:w="60"/>
              <w:right w:type="dxa" w:w="100"/>
            </w:tcMar>
          </w:tcPr>
          <w:p>
            <w:pPr>
              <w:spacing w:after="40"/>
            </w:pPr>
            <w:r>
              <w:rPr>
                <w:sz w:val="18"/>
                <w:szCs w:val="18"/>
              </w:rPr>
              <w:t xml:space="preserve">Open</w:t>
            </w:r>
          </w:p>
        </w:tc>
      </w:tr>
      <w:tr>
        <w:tc>
          <w:tcPr>
            <w:tcW w:type="dxa" w:w="3911"/>
            <w:shd w:fill="F7F9FC" w:color="auto" w:val="clear"/>
            <w:tcMar>
              <w:top w:type="dxa" w:w="60"/>
              <w:left w:type="dxa" w:w="100"/>
              <w:bottom w:type="dxa" w:w="60"/>
              <w:right w:type="dxa" w:w="100"/>
            </w:tcMar>
          </w:tcPr>
          <w:p>
            <w:pPr>
              <w:spacing w:after="40"/>
            </w:pPr>
            <w:r>
              <w:rPr>
                <w:sz w:val="18"/>
                <w:szCs w:val="18"/>
              </w:rPr>
              <w:t xml:space="preserve">Assumption: all partner datasets carry tenant_id and business_group</w:t>
            </w:r>
          </w:p>
        </w:tc>
        <w:tc>
          <w:tcPr>
            <w:tcW w:type="dxa" w:w="1303"/>
            <w:shd w:fill="F7F9FC" w:color="auto" w:val="clear"/>
            <w:tcMar>
              <w:top w:type="dxa" w:w="60"/>
              <w:left w:type="dxa" w:w="100"/>
              <w:bottom w:type="dxa" w:w="60"/>
              <w:right w:type="dxa" w:w="100"/>
            </w:tcMar>
          </w:tcPr>
          <w:p>
            <w:pPr>
              <w:spacing w:after="40"/>
            </w:pPr>
            <w:r>
              <w:rPr>
                <w:sz w:val="18"/>
                <w:szCs w:val="18"/>
              </w:rPr>
              <w:t xml:space="preserve">Assumption</w:t>
            </w:r>
          </w:p>
        </w:tc>
        <w:tc>
          <w:tcPr>
            <w:tcW w:type="dxa" w:w="2607"/>
            <w:shd w:fill="F7F9FC" w:color="auto" w:val="clear"/>
            <w:tcMar>
              <w:top w:type="dxa" w:w="60"/>
              <w:left w:type="dxa" w:w="100"/>
              <w:bottom w:type="dxa" w:w="60"/>
              <w:right w:type="dxa" w:w="100"/>
            </w:tcMar>
          </w:tcPr>
          <w:p>
            <w:pPr>
              <w:spacing w:after="40"/>
            </w:pPr>
            <w:r>
              <w:rPr>
                <w:sz w:val="18"/>
                <w:szCs w:val="18"/>
              </w:rPr>
              <w:t xml:space="preserve">Data engineering to confirm</w:t>
            </w:r>
          </w:p>
        </w:tc>
        <w:tc>
          <w:tcPr>
            <w:tcW w:type="dxa" w:w="1205"/>
            <w:shd w:fill="F7F9FC" w:color="auto" w:val="clear"/>
            <w:tcMar>
              <w:top w:type="dxa" w:w="60"/>
              <w:left w:type="dxa" w:w="100"/>
              <w:bottom w:type="dxa" w:w="60"/>
              <w:right w:type="dxa" w:w="100"/>
            </w:tcMar>
          </w:tcPr>
          <w:p>
            <w:pPr>
              <w:spacing w:after="40"/>
            </w:pPr>
            <w:r>
              <w:rPr>
                <w:sz w:val="18"/>
                <w:szCs w:val="18"/>
              </w:rPr>
              <w:t xml:space="preserve">Open</w:t>
            </w:r>
          </w:p>
        </w:tc>
      </w:tr>
      <w:tr>
        <w:tc>
          <w:tcPr>
            <w:tcW w:type="dxa" w:w="3911"/>
            <w:tcMar>
              <w:top w:type="dxa" w:w="60"/>
              <w:left w:type="dxa" w:w="100"/>
              <w:bottom w:type="dxa" w:w="60"/>
              <w:right w:type="dxa" w:w="100"/>
            </w:tcMar>
          </w:tcPr>
          <w:p>
            <w:pPr>
              <w:spacing w:after="40"/>
            </w:pPr>
            <w:r>
              <w:rPr>
                <w:sz w:val="18"/>
                <w:szCs w:val="18"/>
              </w:rPr>
              <w:t xml:space="preserve">Partner MFA policy enforced by ID&amp;A</w:t>
            </w:r>
          </w:p>
        </w:tc>
        <w:tc>
          <w:tcPr>
            <w:tcW w:type="dxa" w:w="1303"/>
            <w:tcMar>
              <w:top w:type="dxa" w:w="60"/>
              <w:left w:type="dxa" w:w="100"/>
              <w:bottom w:type="dxa" w:w="60"/>
              <w:right w:type="dxa" w:w="100"/>
            </w:tcMar>
          </w:tcPr>
          <w:p>
            <w:pPr>
              <w:spacing w:after="40"/>
            </w:pPr>
            <w:r>
              <w:rPr>
                <w:sz w:val="18"/>
                <w:szCs w:val="18"/>
              </w:rPr>
              <w:t xml:space="preserve">Assumption</w:t>
            </w:r>
          </w:p>
        </w:tc>
        <w:tc>
          <w:tcPr>
            <w:tcW w:type="dxa" w:w="2607"/>
            <w:tcMar>
              <w:top w:type="dxa" w:w="60"/>
              <w:left w:type="dxa" w:w="100"/>
              <w:bottom w:type="dxa" w:w="60"/>
              <w:right w:type="dxa" w:w="100"/>
            </w:tcMar>
          </w:tcPr>
          <w:p>
            <w:pPr>
              <w:spacing w:after="40"/>
            </w:pPr>
            <w:r>
              <w:rPr>
                <w:sz w:val="18"/>
                <w:szCs w:val="18"/>
              </w:rPr>
              <w:t xml:space="preserve">ID&amp;A to confirm</w:t>
            </w:r>
          </w:p>
        </w:tc>
        <w:tc>
          <w:tcPr>
            <w:tcW w:type="dxa" w:w="1205"/>
            <w:tcMar>
              <w:top w:type="dxa" w:w="60"/>
              <w:left w:type="dxa" w:w="100"/>
              <w:bottom w:type="dxa" w:w="60"/>
              <w:right w:type="dxa" w:w="100"/>
            </w:tcMar>
          </w:tcPr>
          <w:p>
            <w:pPr>
              <w:spacing w:after="40"/>
            </w:pPr>
            <w:r>
              <w:rPr>
                <w:sz w:val="18"/>
                <w:szCs w:val="18"/>
              </w:rPr>
              <w:t xml:space="preserve">Open</w:t>
            </w:r>
          </w:p>
        </w:tc>
      </w:tr>
    </w:tbl>
    <w:p>
      <w:pPr>
        <w:pStyle w:val="Heading1"/>
      </w:pPr>
      <w:r>
        <w:t xml:space="preserve">Section 5 – Design Quality</w:t>
      </w:r>
    </w:p>
    <w:p>
      <w:pPr>
        <w:spacing w:after="120"/>
      </w:pPr>
      <w:r>
        <w:rPr>
          <w:b/>
          <w:bCs/>
          <w:color w:val="1F4E79"/>
          <w:sz w:val="16"/>
          <w:szCs w:val="16"/>
        </w:rPr>
        <w:t xml:space="preserve">IF REQUIRED – Section Guidance</w:t>
      </w:r>
    </w:p>
    <w:p>
      <w:pPr>
        <w:pStyle w:val="Heading2"/>
      </w:pPr>
      <w:r>
        <w:t xml:space="preserve">5.1 Additional Governance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510"/>
        <w:gridCol w:w="1504"/>
        <w:gridCol w:w="4012"/>
      </w:tblGrid>
      <w:tr>
        <w:trPr>
          <w:tblHeader/>
        </w:trPr>
        <w:tc>
          <w:tcPr>
            <w:tcW w:type="dxa" w:w="3510"/>
            <w:shd w:fill="1F4E79" w:color="auto" w:val="clear"/>
            <w:tcMar>
              <w:top w:type="dxa" w:w="60"/>
              <w:left w:type="dxa" w:w="100"/>
              <w:bottom w:type="dxa" w:w="60"/>
              <w:right w:type="dxa" w:w="100"/>
            </w:tcMar>
          </w:tcPr>
          <w:p>
            <w:pPr>
              <w:spacing w:after="40"/>
            </w:pPr>
            <w:r>
              <w:rPr>
                <w:b/>
                <w:bCs/>
                <w:color w:val="FFFFFF"/>
                <w:sz w:val="18"/>
                <w:szCs w:val="18"/>
              </w:rPr>
              <w:t xml:space="preserve">Forum</w:t>
            </w:r>
          </w:p>
        </w:tc>
        <w:tc>
          <w:tcPr>
            <w:tcW w:type="dxa" w:w="1504"/>
            <w:shd w:fill="1F4E79" w:color="auto" w:val="clear"/>
            <w:tcMar>
              <w:top w:type="dxa" w:w="60"/>
              <w:left w:type="dxa" w:w="100"/>
              <w:bottom w:type="dxa" w:w="60"/>
              <w:right w:type="dxa" w:w="100"/>
            </w:tcMar>
          </w:tcPr>
          <w:p>
            <w:pPr>
              <w:spacing w:after="40"/>
            </w:pPr>
            <w:r>
              <w:rPr>
                <w:b/>
                <w:bCs/>
                <w:color w:val="FFFFFF"/>
                <w:sz w:val="18"/>
                <w:szCs w:val="18"/>
              </w:rPr>
              <w:t xml:space="preserve">Date</w:t>
            </w:r>
          </w:p>
        </w:tc>
        <w:tc>
          <w:tcPr>
            <w:tcW w:type="dxa" w:w="4012"/>
            <w:shd w:fill="1F4E79" w:color="auto" w:val="clear"/>
            <w:tcMar>
              <w:top w:type="dxa" w:w="60"/>
              <w:left w:type="dxa" w:w="100"/>
              <w:bottom w:type="dxa" w:w="60"/>
              <w:right w:type="dxa" w:w="100"/>
            </w:tcMar>
          </w:tcPr>
          <w:p>
            <w:pPr>
              <w:spacing w:after="40"/>
            </w:pPr>
            <w:r>
              <w:rPr>
                <w:b/>
                <w:bCs/>
                <w:color w:val="FFFFFF"/>
                <w:sz w:val="18"/>
                <w:szCs w:val="18"/>
              </w:rPr>
              <w:t xml:space="preserve">Link to minutes / Outcome</w:t>
            </w:r>
          </w:p>
        </w:tc>
      </w:tr>
      <w:tr>
        <w:tc>
          <w:tcPr>
            <w:tcW w:type="dxa" w:w="3510"/>
            <w:tcMar>
              <w:top w:type="dxa" w:w="60"/>
              <w:left w:type="dxa" w:w="100"/>
              <w:bottom w:type="dxa" w:w="60"/>
              <w:right w:type="dxa" w:w="100"/>
            </w:tcMar>
          </w:tcPr>
          <w:p>
            <w:pPr>
              <w:spacing w:after="40"/>
            </w:pPr>
            <w:r>
              <w:rPr>
                <w:sz w:val="18"/>
                <w:szCs w:val="18"/>
              </w:rPr>
              <w:t xml:space="preserve">BIaaS design authority</w:t>
            </w:r>
          </w:p>
        </w:tc>
        <w:tc>
          <w:tcPr>
            <w:tcW w:type="dxa" w:w="1504"/>
            <w:tcMar>
              <w:top w:type="dxa" w:w="60"/>
              <w:left w:type="dxa" w:w="100"/>
              <w:bottom w:type="dxa" w:w="60"/>
              <w:right w:type="dxa" w:w="100"/>
            </w:tcMar>
          </w:tcPr>
          <w:p>
            <w:pPr>
              <w:spacing w:after="40"/>
            </w:pPr>
            <w:r>
              <w:rPr>
                <w:sz w:val="18"/>
                <w:szCs w:val="18"/>
              </w:rPr>
              <w:t xml:space="preserve">TBC</w:t>
            </w:r>
          </w:p>
        </w:tc>
        <w:tc>
          <w:tcPr>
            <w:tcW w:type="dxa" w:w="4012"/>
            <w:tcMar>
              <w:top w:type="dxa" w:w="60"/>
              <w:left w:type="dxa" w:w="100"/>
              <w:bottom w:type="dxa" w:w="60"/>
              <w:right w:type="dxa" w:w="100"/>
            </w:tcMar>
          </w:tcPr>
          <w:p>
            <w:pPr>
              <w:spacing w:after="40"/>
            </w:pPr>
            <w:r>
              <w:rPr>
                <w:sz w:val="18"/>
                <w:szCs w:val="18"/>
              </w:rPr>
              <w:t xml:space="preserve">Planned</w:t>
            </w:r>
          </w:p>
        </w:tc>
      </w:tr>
      <w:tr>
        <w:tc>
          <w:tcPr>
            <w:tcW w:type="dxa" w:w="3510"/>
            <w:shd w:fill="F7F9FC" w:color="auto" w:val="clear"/>
            <w:tcMar>
              <w:top w:type="dxa" w:w="60"/>
              <w:left w:type="dxa" w:w="100"/>
              <w:bottom w:type="dxa" w:w="60"/>
              <w:right w:type="dxa" w:w="100"/>
            </w:tcMar>
          </w:tcPr>
          <w:p>
            <w:pPr>
              <w:spacing w:after="40"/>
            </w:pPr>
            <w:r>
              <w:rPr>
                <w:sz w:val="18"/>
                <w:szCs w:val="18"/>
              </w:rPr>
              <w:t xml:space="preserve">Security architecture review</w:t>
            </w:r>
          </w:p>
        </w:tc>
        <w:tc>
          <w:tcPr>
            <w:tcW w:type="dxa" w:w="1504"/>
            <w:shd w:fill="F7F9FC" w:color="auto" w:val="clear"/>
            <w:tcMar>
              <w:top w:type="dxa" w:w="60"/>
              <w:left w:type="dxa" w:w="100"/>
              <w:bottom w:type="dxa" w:w="60"/>
              <w:right w:type="dxa" w:w="100"/>
            </w:tcMar>
          </w:tcPr>
          <w:p>
            <w:pPr>
              <w:spacing w:after="40"/>
            </w:pPr>
            <w:r>
              <w:rPr>
                <w:sz w:val="18"/>
                <w:szCs w:val="18"/>
              </w:rPr>
              <w:t xml:space="preserve">TBC</w:t>
            </w:r>
          </w:p>
        </w:tc>
        <w:tc>
          <w:tcPr>
            <w:tcW w:type="dxa" w:w="4012"/>
            <w:shd w:fill="F7F9FC" w:color="auto" w:val="clear"/>
            <w:tcMar>
              <w:top w:type="dxa" w:w="60"/>
              <w:left w:type="dxa" w:w="100"/>
              <w:bottom w:type="dxa" w:w="60"/>
              <w:right w:type="dxa" w:w="100"/>
            </w:tcMar>
          </w:tcPr>
          <w:p>
            <w:pPr>
              <w:spacing w:after="40"/>
            </w:pPr>
            <w:r>
              <w:rPr>
                <w:sz w:val="18"/>
                <w:szCs w:val="18"/>
              </w:rPr>
              <w:t xml:space="preserve">Planned – input: Security &amp; Threat Assessment</w:t>
            </w:r>
          </w:p>
        </w:tc>
      </w:tr>
      <w:tr>
        <w:tc>
          <w:tcPr>
            <w:tcW w:type="dxa" w:w="3510"/>
            <w:tcMar>
              <w:top w:type="dxa" w:w="60"/>
              <w:left w:type="dxa" w:w="100"/>
              <w:bottom w:type="dxa" w:w="60"/>
              <w:right w:type="dxa" w:w="100"/>
            </w:tcMar>
          </w:tcPr>
          <w:p>
            <w:pPr>
              <w:spacing w:after="40"/>
            </w:pPr>
            <w:r>
              <w:rPr>
                <w:sz w:val="18"/>
                <w:szCs w:val="18"/>
              </w:rPr>
              <w:t xml:space="preserve">Group architecture review (SIGNIFICANT)</w:t>
            </w:r>
          </w:p>
        </w:tc>
        <w:tc>
          <w:tcPr>
            <w:tcW w:type="dxa" w:w="1504"/>
            <w:tcMar>
              <w:top w:type="dxa" w:w="60"/>
              <w:left w:type="dxa" w:w="100"/>
              <w:bottom w:type="dxa" w:w="60"/>
              <w:right w:type="dxa" w:w="100"/>
            </w:tcMar>
          </w:tcPr>
          <w:p>
            <w:pPr>
              <w:spacing w:after="40"/>
            </w:pPr>
            <w:r>
              <w:rPr>
                <w:sz w:val="18"/>
                <w:szCs w:val="18"/>
              </w:rPr>
              <w:t xml:space="preserve">TBC</w:t>
            </w:r>
          </w:p>
        </w:tc>
        <w:tc>
          <w:tcPr>
            <w:tcW w:type="dxa" w:w="4012"/>
            <w:tcMar>
              <w:top w:type="dxa" w:w="60"/>
              <w:left w:type="dxa" w:w="100"/>
              <w:bottom w:type="dxa" w:w="60"/>
              <w:right w:type="dxa" w:w="100"/>
            </w:tcMar>
          </w:tcPr>
          <w:p>
            <w:pPr>
              <w:spacing w:after="40"/>
            </w:pPr>
            <w:r>
              <w:rPr>
                <w:sz w:val="18"/>
                <w:szCs w:val="18"/>
              </w:rPr>
              <w:t xml:space="preserve">Planned – this MVD</w:t>
            </w:r>
          </w:p>
        </w:tc>
      </w:tr>
      <w:tr>
        <w:tc>
          <w:tcPr>
            <w:tcW w:type="dxa" w:w="3510"/>
            <w:shd w:fill="F7F9FC" w:color="auto" w:val="clear"/>
            <w:tcMar>
              <w:top w:type="dxa" w:w="60"/>
              <w:left w:type="dxa" w:w="100"/>
              <w:bottom w:type="dxa" w:w="60"/>
              <w:right w:type="dxa" w:w="100"/>
            </w:tcMar>
          </w:tcPr>
          <w:p>
            <w:pPr>
              <w:spacing w:after="40"/>
            </w:pPr>
            <w:r>
              <w:rPr>
                <w:sz w:val="18"/>
                <w:szCs w:val="18"/>
              </w:rPr>
              <w:t xml:space="preserve">Data governance / data-sharing approval</w:t>
            </w:r>
          </w:p>
        </w:tc>
        <w:tc>
          <w:tcPr>
            <w:tcW w:type="dxa" w:w="1504"/>
            <w:shd w:fill="F7F9FC" w:color="auto" w:val="clear"/>
            <w:tcMar>
              <w:top w:type="dxa" w:w="60"/>
              <w:left w:type="dxa" w:w="100"/>
              <w:bottom w:type="dxa" w:w="60"/>
              <w:right w:type="dxa" w:w="100"/>
            </w:tcMar>
          </w:tcPr>
          <w:p>
            <w:pPr>
              <w:spacing w:after="40"/>
            </w:pPr>
            <w:r>
              <w:rPr>
                <w:sz w:val="18"/>
                <w:szCs w:val="18"/>
              </w:rPr>
              <w:t xml:space="preserve">TBC</w:t>
            </w:r>
          </w:p>
        </w:tc>
        <w:tc>
          <w:tcPr>
            <w:tcW w:type="dxa" w:w="4012"/>
            <w:shd w:fill="F7F9FC" w:color="auto" w:val="clear"/>
            <w:tcMar>
              <w:top w:type="dxa" w:w="60"/>
              <w:left w:type="dxa" w:w="100"/>
              <w:bottom w:type="dxa" w:w="60"/>
              <w:right w:type="dxa" w:w="100"/>
            </w:tcMar>
          </w:tcPr>
          <w:p>
            <w:pPr>
              <w:spacing w:after="40"/>
            </w:pPr>
            <w:r>
              <w:rPr>
                <w:sz w:val="18"/>
                <w:szCs w:val="18"/>
              </w:rPr>
              <w:t xml:space="preserve">Planned per tenant</w:t>
            </w:r>
          </w:p>
        </w:tc>
      </w:tr>
    </w:tbl>
    <w:p>
      <w:pPr>
        <w:pStyle w:val="Heading2"/>
      </w:pPr>
      <w:r>
        <w:t xml:space="preserve">5.2 Design Quality Checks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819"/>
        <w:gridCol w:w="2207"/>
      </w:tblGrid>
      <w:tr>
        <w:trPr>
          <w:tblHeader/>
        </w:trPr>
        <w:tc>
          <w:tcPr>
            <w:tcW w:type="dxa" w:w="6819"/>
            <w:shd w:fill="1F4E79"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2207"/>
            <w:shd w:fill="1F4E79" w:color="auto" w:val="clear"/>
            <w:tcMar>
              <w:top w:type="dxa" w:w="60"/>
              <w:left w:type="dxa" w:w="100"/>
              <w:bottom w:type="dxa" w:w="60"/>
              <w:right w:type="dxa" w:w="100"/>
            </w:tcMar>
          </w:tcPr>
          <w:p>
            <w:pPr>
              <w:spacing w:after="40"/>
            </w:pPr>
            <w:r>
              <w:rPr>
                <w:b/>
                <w:bCs/>
                <w:color w:val="FFFFFF"/>
                <w:sz w:val="18"/>
                <w:szCs w:val="18"/>
              </w:rPr>
              <w:t xml:space="preserve">Met By Design</w:t>
            </w:r>
          </w:p>
        </w:tc>
      </w:tr>
      <w:tr>
        <w:tc>
          <w:tcPr>
            <w:tcW w:type="dxa" w:w="6819"/>
            <w:tcMar>
              <w:top w:type="dxa" w:w="60"/>
              <w:left w:type="dxa" w:w="100"/>
              <w:bottom w:type="dxa" w:w="60"/>
              <w:right w:type="dxa" w:w="100"/>
            </w:tcMar>
          </w:tcPr>
          <w:p>
            <w:pPr>
              <w:spacing w:after="40"/>
            </w:pPr>
            <w:r>
              <w:rPr>
                <w:sz w:val="18"/>
                <w:szCs w:val="18"/>
              </w:rPr>
              <w:t xml:space="preserve">Design checklist reviewed against this design</w:t>
            </w:r>
          </w:p>
        </w:tc>
        <w:tc>
          <w:tcPr>
            <w:tcW w:type="dxa" w:w="2207"/>
            <w:tcMar>
              <w:top w:type="dxa" w:w="60"/>
              <w:left w:type="dxa" w:w="100"/>
              <w:bottom w:type="dxa" w:w="60"/>
              <w:right w:type="dxa" w:w="100"/>
            </w:tcMar>
          </w:tcPr>
          <w:p>
            <w:pPr>
              <w:spacing w:after="40"/>
            </w:pPr>
            <w:r>
              <w:rPr>
                <w:sz w:val="18"/>
                <w:szCs w:val="18"/>
              </w:rPr>
              <w:t xml:space="preserve">Y</w:t>
            </w:r>
          </w:p>
        </w:tc>
      </w:tr>
      <w:tr>
        <w:tc>
          <w:tcPr>
            <w:tcW w:type="dxa" w:w="6819"/>
            <w:shd w:fill="F7F9FC" w:color="auto" w:val="clear"/>
            <w:tcMar>
              <w:top w:type="dxa" w:w="60"/>
              <w:left w:type="dxa" w:w="100"/>
              <w:bottom w:type="dxa" w:w="60"/>
              <w:right w:type="dxa" w:w="100"/>
            </w:tcMar>
          </w:tcPr>
          <w:p>
            <w:pPr>
              <w:spacing w:after="40"/>
            </w:pPr>
            <w:r>
              <w:rPr>
                <w:sz w:val="18"/>
                <w:szCs w:val="18"/>
              </w:rPr>
              <w:t xml:space="preserve">Functional and Non Functional Requirements are clearly understood and the design demonstrates how these requirements are effectively supported</w:t>
            </w:r>
          </w:p>
        </w:tc>
        <w:tc>
          <w:tcPr>
            <w:tcW w:type="dxa" w:w="2207"/>
            <w:shd w:fill="F7F9FC" w:color="auto" w:val="clear"/>
            <w:tcMar>
              <w:top w:type="dxa" w:w="60"/>
              <w:left w:type="dxa" w:w="100"/>
              <w:bottom w:type="dxa" w:w="60"/>
              <w:right w:type="dxa" w:w="100"/>
            </w:tcMar>
          </w:tcPr>
          <w:p>
            <w:pPr>
              <w:spacing w:after="40"/>
            </w:pPr>
            <w:r>
              <w:rPr>
                <w:sz w:val="18"/>
                <w:szCs w:val="18"/>
              </w:rPr>
              <w:t xml:space="preserve">Y</w:t>
            </w:r>
          </w:p>
        </w:tc>
      </w:tr>
      <w:tr>
        <w:tc>
          <w:tcPr>
            <w:tcW w:type="dxa" w:w="6819"/>
            <w:tcMar>
              <w:top w:type="dxa" w:w="60"/>
              <w:left w:type="dxa" w:w="100"/>
              <w:bottom w:type="dxa" w:w="60"/>
              <w:right w:type="dxa" w:w="100"/>
            </w:tcMar>
          </w:tcPr>
          <w:p>
            <w:pPr>
              <w:spacing w:after="40"/>
            </w:pPr>
            <w:r>
              <w:rPr>
                <w:sz w:val="18"/>
                <w:szCs w:val="18"/>
              </w:rPr>
              <w:t xml:space="preserve">The capacity needs of this design are understood and catered for</w:t>
            </w:r>
          </w:p>
        </w:tc>
        <w:tc>
          <w:tcPr>
            <w:tcW w:type="dxa" w:w="2207"/>
            <w:tcMar>
              <w:top w:type="dxa" w:w="60"/>
              <w:left w:type="dxa" w:w="100"/>
              <w:bottom w:type="dxa" w:w="60"/>
              <w:right w:type="dxa" w:w="100"/>
            </w:tcMar>
          </w:tcPr>
          <w:p>
            <w:pPr>
              <w:spacing w:after="40"/>
            </w:pPr>
            <w:r>
              <w:rPr>
                <w:sz w:val="18"/>
                <w:szCs w:val="18"/>
              </w:rPr>
              <w:t xml:space="preserve">Y (to be confirmed by performance test)</w:t>
            </w:r>
          </w:p>
        </w:tc>
      </w:tr>
      <w:tr>
        <w:tc>
          <w:tcPr>
            <w:tcW w:type="dxa" w:w="6819"/>
            <w:shd w:fill="F7F9FC" w:color="auto" w:val="clear"/>
            <w:tcMar>
              <w:top w:type="dxa" w:w="60"/>
              <w:left w:type="dxa" w:w="100"/>
              <w:bottom w:type="dxa" w:w="60"/>
              <w:right w:type="dxa" w:w="100"/>
            </w:tcMar>
          </w:tcPr>
          <w:p>
            <w:pPr>
              <w:spacing w:after="40"/>
            </w:pPr>
            <w:r>
              <w:rPr>
                <w:sz w:val="18"/>
                <w:szCs w:val="18"/>
              </w:rPr>
              <w:t xml:space="preserve">The resilience implications of this design are well understood and have been appropriately addressed</w:t>
            </w:r>
          </w:p>
        </w:tc>
        <w:tc>
          <w:tcPr>
            <w:tcW w:type="dxa" w:w="2207"/>
            <w:shd w:fill="F7F9FC" w:color="auto" w:val="clear"/>
            <w:tcMar>
              <w:top w:type="dxa" w:w="60"/>
              <w:left w:type="dxa" w:w="100"/>
              <w:bottom w:type="dxa" w:w="60"/>
              <w:right w:type="dxa" w:w="100"/>
            </w:tcMar>
          </w:tcPr>
          <w:p>
            <w:pPr>
              <w:spacing w:after="40"/>
            </w:pPr>
            <w:r>
              <w:rPr>
                <w:sz w:val="18"/>
                <w:szCs w:val="18"/>
              </w:rPr>
              <w:t xml:space="preserve">Y</w:t>
            </w:r>
          </w:p>
        </w:tc>
      </w:tr>
      <w:tr>
        <w:tc>
          <w:tcPr>
            <w:tcW w:type="dxa" w:w="6819"/>
            <w:tcMar>
              <w:top w:type="dxa" w:w="60"/>
              <w:left w:type="dxa" w:w="100"/>
              <w:bottom w:type="dxa" w:w="60"/>
              <w:right w:type="dxa" w:w="100"/>
            </w:tcMar>
          </w:tcPr>
          <w:p>
            <w:pPr>
              <w:spacing w:after="40"/>
            </w:pPr>
            <w:r>
              <w:rPr>
                <w:sz w:val="18"/>
                <w:szCs w:val="18"/>
              </w:rPr>
              <w:t xml:space="preserve">This design does not introduce any currency related risks</w:t>
            </w:r>
          </w:p>
        </w:tc>
        <w:tc>
          <w:tcPr>
            <w:tcW w:type="dxa" w:w="2207"/>
            <w:tcMar>
              <w:top w:type="dxa" w:w="60"/>
              <w:left w:type="dxa" w:w="100"/>
              <w:bottom w:type="dxa" w:w="60"/>
              <w:right w:type="dxa" w:w="100"/>
            </w:tcMar>
          </w:tcPr>
          <w:p>
            <w:pPr>
              <w:spacing w:after="40"/>
            </w:pPr>
            <w:r>
              <w:rPr>
                <w:sz w:val="18"/>
                <w:szCs w:val="18"/>
              </w:rPr>
              <w:t xml:space="preserve">Y</w:t>
            </w:r>
          </w:p>
        </w:tc>
      </w:tr>
      <w:tr>
        <w:tc>
          <w:tcPr>
            <w:tcW w:type="dxa" w:w="6819"/>
            <w:shd w:fill="F7F9FC" w:color="auto" w:val="clear"/>
            <w:tcMar>
              <w:top w:type="dxa" w:w="60"/>
              <w:left w:type="dxa" w:w="100"/>
              <w:bottom w:type="dxa" w:w="60"/>
              <w:right w:type="dxa" w:w="100"/>
            </w:tcMar>
          </w:tcPr>
          <w:p>
            <w:pPr>
              <w:spacing w:after="40"/>
            </w:pPr>
            <w:r>
              <w:rPr>
                <w:sz w:val="18"/>
                <w:szCs w:val="18"/>
              </w:rPr>
              <w:t xml:space="preserve">Secure Design has been considered during this design</w:t>
            </w:r>
          </w:p>
        </w:tc>
        <w:tc>
          <w:tcPr>
            <w:tcW w:type="dxa" w:w="2207"/>
            <w:shd w:fill="F7F9FC" w:color="auto" w:val="clear"/>
            <w:tcMar>
              <w:top w:type="dxa" w:w="60"/>
              <w:left w:type="dxa" w:w="100"/>
              <w:bottom w:type="dxa" w:w="60"/>
              <w:right w:type="dxa" w:w="100"/>
            </w:tcMar>
          </w:tcPr>
          <w:p>
            <w:pPr>
              <w:spacing w:after="40"/>
            </w:pPr>
            <w:r>
              <w:rPr>
                <w:sz w:val="18"/>
                <w:szCs w:val="18"/>
              </w:rPr>
              <w:t xml:space="preserve">Y</w:t>
            </w:r>
          </w:p>
        </w:tc>
      </w:tr>
    </w:tbl>
    <w:p>
      <w:pPr>
        <w:pStyle w:val="Heading2"/>
      </w:pPr>
      <w:r>
        <w:t xml:space="preserve">5.3 Attachments</w:t>
      </w:r>
    </w:p>
    <w:p>
      <w:pPr>
        <w:pStyle w:val="ListParagraph"/>
        <w:numPr>
          <w:ilvl w:val="0"/>
          <w:numId w:val="2"/>
        </w:numPr>
        <w:spacing w:after="60"/>
      </w:pPr>
      <w:r>
        <w:t xml:space="preserve">Figure 1 – Solution context</w:t>
      </w:r>
    </w:p>
    <w:p>
      <w:pPr>
        <w:pStyle w:val="ListParagraph"/>
        <w:numPr>
          <w:ilvl w:val="0"/>
          <w:numId w:val="2"/>
        </w:numPr>
        <w:spacing w:after="60"/>
      </w:pPr>
      <w:r>
        <w:t xml:space="preserve">Figure 2 – Partner access sequence</w:t>
      </w:r>
    </w:p>
    <w:p>
      <w:pPr>
        <w:pStyle w:val="ListParagraph"/>
        <w:numPr>
          <w:ilvl w:val="0"/>
          <w:numId w:val="2"/>
        </w:numPr>
        <w:spacing w:after="60"/>
      </w:pPr>
      <w:r>
        <w:t xml:space="preserve">Figure 3 – Write-back architecture</w:t>
      </w:r>
    </w:p>
    <w:p>
      <w:pPr>
        <w:pStyle w:val="ListParagraph"/>
        <w:numPr>
          <w:ilvl w:val="0"/>
          <w:numId w:val="2"/>
        </w:numPr>
        <w:spacing w:after="60"/>
      </w:pPr>
      <w:r>
        <w:t xml:space="preserve">Supporting documents listed in Section 3.1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MVD-1 Looker Ext. Design  ·  Draft for Architecture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66408695a37dac86a0f9e4a9d48b72ab71f985.png"/><Relationship Id="rId10" Type="http://schemas.openxmlformats.org/officeDocument/2006/relationships/image" Target="media/4d78aff946e1de147ac078fe3a35d24fc2ad046d.png"/><Relationship Id="rId11" Type="http://schemas.openxmlformats.org/officeDocument/2006/relationships/image" Target="media/78939b5394db58a95ce3d8fb50f2f42ca9d4c34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MVD-1 Looker Ext. Design</dc:title>
  <dc:creator>Solution Architecture</dc:creator>
  <cp:lastModifiedBy>Un-named</cp:lastModifiedBy>
  <cp:revision>1</cp:revision>
  <dcterms:created xsi:type="dcterms:W3CDTF">2026-10-06T09:14:20.139Z</dcterms:created>
  <dcterms:modified xsi:type="dcterms:W3CDTF">2026-10-06T09:14:20.139Z</dcterms:modified>
</cp:coreProperties>
</file>

<file path=docProps/custom.xml><?xml version="1.0" encoding="utf-8"?>
<Properties xmlns="http://schemas.openxmlformats.org/officeDocument/2006/custom-properties" xmlns:vt="http://schemas.openxmlformats.org/officeDocument/2006/docPropsVTypes"/>
</file>