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Calkos Manager — Modulo Cobral</w:t>
      </w:r>
    </w:p>
    <w:p>
      <w:pPr>
        <w:spacing w:after="60"/>
      </w:pPr>
      <w:r>
        <w:rPr>
          <w:b/>
          <w:bCs/>
          <w:color w:val="1F3864"/>
          <w:sz w:val="32"/>
          <w:szCs w:val="32"/>
        </w:rPr>
        <w:t xml:space="preserve">Tipo Pagamento: default a livello Cliente, inserimento sempre manuale</w:t>
      </w:r>
    </w:p>
    <w:p>
      <w:pPr>
        <w:spacing w:after="260"/>
      </w:pPr>
      <w:r>
        <w:rPr>
          <w:i/>
          <w:iCs/>
          <w:color w:val="595959"/>
          <w:sz w:val="20"/>
          <w:szCs w:val="20"/>
        </w:rPr>
        <w:t xml:space="preserve">Documento operativo + preventivo ore</w:t>
      </w: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b/>
          <w:bCs/>
          <w:color w:val="1F3864"/>
          <w:sz w:val="27"/>
          <w:szCs w:val="27"/>
        </w:rPr>
        <w:t xml:space="preserve">1. Cosa cambia</w:t>
      </w:r>
    </w:p>
    <w:p>
      <w:pPr>
        <w:spacing w:after="140" w:line="300"/>
      </w:pPr>
      <w:r>
        <w:rPr>
          <w:sz w:val="21"/>
          <w:szCs w:val="21"/>
        </w:rPr>
        <w:t xml:space="preserve">L'importazione da Excel viene dismessa: gli ordini Cobral verranno inseriti sempre a mano, tramite la maschera Dettaglio Ordine (pulsante "Nuovo"). Questo cambia anche il modo in cui viene proposto il Tipo Pagamento.</w:t>
      </w:r>
    </w:p>
    <w:p>
      <w:pPr>
        <w:spacing w:after="140" w:line="300"/>
      </w:pPr>
      <w:r>
        <w:rPr>
          <w:sz w:val="21"/>
          <w:szCs w:val="21"/>
        </w:rPr>
        <w:t xml:space="preserve">Il Tipo Pagamento diventa un dato dell'anagrafica del Cliente: ogni cliente ha il proprio Tipo Pagamento abituale (es. RIBA 60 gg, Bonifico anticipato, ecc.). Quando l'operatore, in fase di inserimento o modifica di un ordine, seleziona il Cliente, il campo Tipo Pagamento si precompila automaticamente in tempo reale con il default di quel cliente.</w:t>
      </w:r>
    </w:p>
    <w:p>
      <w:pPr>
        <w:spacing w:after="140" w:line="300"/>
      </w:pPr>
      <w:r>
        <w:rPr>
          <w:sz w:val="21"/>
          <w:szCs w:val="21"/>
        </w:rPr>
        <w:t xml:space="preserve">Le eccezioni — un singolo ordine con un Tipo Pagamento diverso da quello abituale del cliente — si gestiscono come già oggi per altri campi: il valore proposto resta modificabile, l'operatore lo cambia dalla tendina prima di salvare.</w:t>
      </w: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b/>
          <w:bCs/>
          <w:color w:val="1F3864"/>
          <w:sz w:val="27"/>
          <w:szCs w:val="27"/>
        </w:rPr>
        <w:t xml:space="preserve">2. Confronto prima / dopo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50"/>
        <w:gridCol w:w="3550"/>
      </w:tblGrid>
      <w:tr>
        <w:tc>
          <w:tcPr>
            <w:tcW w:type="dxa" w:w="23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5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Oggi</w:t>
            </w:r>
          </w:p>
        </w:tc>
        <w:tc>
          <w:tcPr>
            <w:tcW w:type="dxa" w:w="355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 il nuovo flusso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Come entra un ordine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 da file Excel (in dismissione) oppure inserimento manuale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Sempre inserimento manuale in Dettaglio Ordine ("Nuovo")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 dove arriva il default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Dal Mandatario, impostato in sessione all'apertura della pagina import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Dal Cliente selezionato nell'ordine: ogni cliente ha il proprio Tipo Pagamento abituale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Quando viene proposto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Una sola volta, in blocco, prima dell'import del file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tempo reale: appena l'operatore seleziona (o cambia) il Cliente nel form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Cambio cliente su ordine esistente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Già possibile per Admin; ricalcola in automatico la Provvigione Agente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Resta possibile; ricalcola in automatico anche il Tipo Pagamento, con lo stesso meccanismo già usato per la Provvigione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Gestione eccezioni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corregge manualmente la singola riga in Dettaglio Ordine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Invariata: il valore proposto resta modificabile a mano prima di salvare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b/>
          <w:bCs/>
          <w:color w:val="1F3864"/>
          <w:sz w:val="27"/>
          <w:szCs w:val="27"/>
        </w:rPr>
        <w:t xml:space="preserve">3. Esempio pratico</w:t>
      </w:r>
    </w:p>
    <w:p>
      <w:pPr>
        <w:pStyle w:val="Heading2"/>
        <w:spacing w:after="100" w:before="220"/>
      </w:pPr>
      <w:r>
        <w:rPr>
          <w:b/>
          <w:bCs/>
          <w:color w:val="2E5395"/>
          <w:sz w:val="23"/>
          <w:szCs w:val="23"/>
        </w:rPr>
        <w:t xml:space="preserve">3.1 Anagrafica Clienti</w:t>
      </w:r>
    </w:p>
    <w:p>
      <w:pPr>
        <w:spacing w:after="140" w:line="300"/>
      </w:pPr>
      <w:r>
        <w:rPr>
          <w:sz w:val="21"/>
          <w:szCs w:val="21"/>
        </w:rPr>
        <w:t xml:space="preserve">Si ipotizzino due clienti Cobral con Tipo Pagamento già impostato in anagrafica: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800"/>
      </w:tblGrid>
      <w:tr>
        <w:tc>
          <w:tcPr>
            <w:tcW w:type="dxa" w:w="34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  <w:tc>
          <w:tcPr>
            <w:tcW w:type="dxa" w:w="32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Pagamento assegnato in anagrafica</w:t>
            </w:r>
          </w:p>
        </w:tc>
        <w:tc>
          <w:tcPr>
            <w:tcW w:type="dxa" w:w="28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Codice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Rossi Metalli S.r.l.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RIBA 60 gg fine mese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RB60FM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Bianchi Rame S.p.A.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Bonifico anticipato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BOANT</w:t>
            </w:r>
          </w:p>
        </w:tc>
      </w:tr>
    </w:tbl>
    <w:p>
      <w:pPr>
        <w:spacing w:after="200"/>
      </w:pPr>
    </w:p>
    <w:p>
      <w:pPr>
        <w:pStyle w:val="Heading2"/>
        <w:spacing w:after="100" w:before="220"/>
      </w:pPr>
      <w:r>
        <w:rPr>
          <w:b/>
          <w:bCs/>
          <w:color w:val="2E5395"/>
          <w:sz w:val="23"/>
          <w:szCs w:val="23"/>
        </w:rPr>
        <w:t xml:space="preserve">3.2 Inserimento di un nuovo ordine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L'operatore clicca "Nuovo" e apre un ordine vuoto in Dettaglio Ordine.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Seleziona il Cliente "Rossi Metalli S.r.l." dalla tendina Cliente.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Il campo Tipo Pagamento si aggiorna da solo su "RIBA 60 gg fine mese" (stesso meccanismo già usato oggi per calcolare la Provvigione Agente al cambio di Cliente).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L'operatore compila il resto dell'ordine e salva. Se il pagamento concordato per questo ordine è diverso dal solito, cambia la tendina Tipo Pagamento prima di salvare.</w:t>
      </w:r>
    </w:p>
    <w:p>
      <w:pPr>
        <w:pStyle w:val="Heading2"/>
        <w:spacing w:after="100" w:before="220"/>
      </w:pPr>
      <w:r>
        <w:rPr>
          <w:b/>
          <w:bCs/>
          <w:color w:val="2E5395"/>
          <w:sz w:val="23"/>
          <w:szCs w:val="23"/>
        </w:rPr>
        <w:t xml:space="preserve">3.3 Cambio Cliente su un ordine già salvato</w:t>
      </w:r>
    </w:p>
    <w:p>
      <w:pPr>
        <w:spacing w:after="140" w:line="300"/>
      </w:pPr>
      <w:r>
        <w:rPr>
          <w:sz w:val="21"/>
          <w:szCs w:val="21"/>
        </w:rPr>
        <w:t xml:space="preserve">Un Admin apre un ordine esistente di Bianchi Rame (Bonifico anticipato) e si accorge che in realtà andava intestato a Rossi Metalli. Cambia il Cliente dalla tendina: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1"/>
          <w:szCs w:val="21"/>
        </w:rPr>
        <w:t xml:space="preserve">Il Tipo Pagamento si aggiorna in automatico su "RIBA 60 gg fine mese" (il default del nuovo cliente), esattamente come già succede oggi per la Provvigione Agente.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1"/>
          <w:szCs w:val="21"/>
        </w:rPr>
        <w:t xml:space="preserve">Il campo resta comunque modificabile: se per quell'ordine è stato concordato un pagamento diverso, l'operatore lo corregge manualmente prima di salvare.</w:t>
      </w:r>
    </w:p>
    <w:p>
      <w:pPr>
        <w:spacing w:after="140" w:line="300"/>
      </w:pPr>
      <w:r>
        <w:rPr>
          <w:sz w:val="21"/>
          <w:szCs w:val="21"/>
        </w:rPr>
        <w:t xml:space="preserve">Si è scelto di non bloccare il cambio Cliente su un ordine esistente: impedirlo costringerebbe, in caso di errore di inserimento, a cancellare e ricreare l'ordine da zero. La soluzione adottata è la stessa già in uso per la Provvigione Agente, quindi coerente con il resto della maschera.</w:t>
      </w:r>
    </w:p>
    <w:p>
      <w:pPr>
        <w:pStyle w:val="Heading2"/>
        <w:spacing w:after="100" w:before="220"/>
      </w:pPr>
      <w:r>
        <w:rPr>
          <w:b/>
          <w:bCs/>
          <w:color w:val="2E5395"/>
          <w:sz w:val="23"/>
          <w:szCs w:val="23"/>
        </w:rPr>
        <w:t xml:space="preserve">3.4 Avviso su ordini già fatturati</w:t>
      </w:r>
    </w:p>
    <w:p>
      <w:pPr>
        <w:spacing w:after="140" w:line="300"/>
      </w:pPr>
      <w:r>
        <w:rPr>
          <w:sz w:val="21"/>
          <w:szCs w:val="21"/>
        </w:rPr>
        <w:t xml:space="preserve">Se l'operatore modifica il Cliente o il Tipo Pagamento su un ordine con Fatturata = Sì, compare un avviso non bloccante (banner) che segnala la situazione. L'operatore può comunque procedere e salvare: la modifica non viene impedita, solo segnalata.</w:t>
      </w: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b/>
          <w:bCs/>
          <w:color w:val="1F3864"/>
          <w:sz w:val="27"/>
          <w:szCs w:val="27"/>
        </w:rPr>
        <w:t xml:space="preserve">4. Cosa serve per l'anagrafica Cliente</w:t>
      </w:r>
    </w:p>
    <w:p>
      <w:pPr>
        <w:spacing w:after="140" w:line="300"/>
      </w:pPr>
      <w:r>
        <w:rPr>
          <w:sz w:val="21"/>
          <w:szCs w:val="21"/>
        </w:rPr>
        <w:t xml:space="preserve">La scheda anagrafica del Cliente deve avere un campo "Tipo Pagamento" (stessa lista a tendina già usata in Dettaglio Ordine) da valorizzare in fase di creazione o modifica del cliente.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1"/>
          <w:szCs w:val="21"/>
        </w:rPr>
        <w:t xml:space="preserve">Se il campo non viene valorizzato per un cliente, il Tipo Pagamento resterà vuoto quando quel cliente viene selezionato in un ordine, e l'operatore dovrà impostarlo manualmente.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1"/>
          <w:szCs w:val="21"/>
        </w:rPr>
        <w:t xml:space="preserve">Un cliente può lavorare con più Mandatari: il Tipo Pagamento impostato in anagrafica è unico per il cliente ed è quello proposto come default indipendentemente dal Mandatario selezionato.</w:t>
      </w: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b/>
          <w:bCs/>
          <w:color w:val="1F3864"/>
          <w:sz w:val="27"/>
          <w:szCs w:val="27"/>
        </w:rPr>
        <w:t xml:space="preserve">5. Preventivo ore — Modulo Cobral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0"/>
        <w:gridCol w:w="1700"/>
      </w:tblGrid>
      <w:tr>
        <w:tc>
          <w:tcPr>
            <w:tcW w:type="dxa" w:w="7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17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Ore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DB: ALTER TABLE Clienti + colonna IdTipoPagamento (FK nullable) + script migrazione/rollback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Modello Cliente: aggiunta proprietà IdTipoPagamento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0,5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ClienteRepository: aggiornamento query INSERT / UPDATE / SELECT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ClienteService: esposizione e gestione del valore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0,5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Vista Create/Edit Cliente: tendina "Tipo Pagamento" + popolamento lista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1,5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Nuovo endpoint GetTipoPagamentoCliente(idCliente): restituisce il default del cliente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 in Dettaglio Ordine: on-change su Cliente → fetch e precompilazione tendina Tipo Pagamento (stesso pattern già usato per Provvigione Agente)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JS: avviso non bloccante se si modifica Cliente o Tipo Pagamento su ordine con Fatturata = 1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manuali: nuovo ordine, cambio cliente su ordine esistente, override manuale, caso ordine fatturato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1,5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Migrazione DB in produzione e verifica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0,5</w:t>
            </w:r>
          </w:p>
        </w:tc>
      </w:tr>
      <w:tr>
        <w:tc>
          <w:tcPr>
            <w:tcW w:type="dxa" w:w="7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TOTALE modulo Cobral</w:t>
            </w:r>
          </w:p>
        </w:tc>
        <w:tc>
          <w:tcPr>
            <w:tcW w:type="dxa" w:w="17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9,5 h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sz w:val="21"/>
          <w:szCs w:val="21"/>
        </w:rPr>
        <w:t xml:space="preserve">Ipotesi alla base della stima: la scheda anagrafica Cliente (repository, service, viste) segue lo stesso pattern già visto negli altri repository del progetto; se la struttura reale fosse più complessa (es. validazioni aggiuntive, cache), le voci 3-5 potrebbero richiedere più tempo.</w:t>
      </w: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b/>
          <w:bCs/>
          <w:color w:val="1F3864"/>
          <w:sz w:val="27"/>
          <w:szCs w:val="27"/>
        </w:rPr>
        <w:t xml:space="preserve">6. Estensione agli altri mandatari (facoltativa)</w:t>
      </w:r>
    </w:p>
    <w:p>
      <w:pPr>
        <w:spacing w:after="140" w:line="300"/>
      </w:pPr>
      <w:r>
        <w:rPr>
          <w:sz w:val="21"/>
          <w:szCs w:val="21"/>
        </w:rPr>
        <w:t xml:space="preserve">Se anche per gli altri moduli l'inserimento diventa sempre manuale e si vuole lo stesso comportamento di precompilazione, il lavoro si estende come segue: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0"/>
        <w:gridCol w:w="1700"/>
      </w:tblGrid>
      <w:tr>
        <w:tc>
          <w:tcPr>
            <w:tcW w:type="dxa" w:w="7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Estensione facoltativa</w:t>
            </w:r>
          </w:p>
        </w:tc>
        <w:tc>
          <w:tcPr>
            <w:tcW w:type="dxa" w:w="17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Ore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Stesso comportamento sugli altri 7 moduli mandatario (DeAngeli, Hitech, SystemP, Guerzoni, CST, ElektraWire, SystemCore, TradingAndConsulting) — ≈1,5 h a modulo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≈10,5 h</w:t>
            </w:r>
          </w:p>
        </w:tc>
      </w:tr>
    </w:tbl>
    <w:p>
      <w:pPr>
        <w:pBdr>
          <w:top w:val="single" w:color="E0B400" w:sz="4" w:space="4"/>
          <w:bottom w:val="single" w:color="E0B400" w:sz="4" w:space="4"/>
          <w:left w:val="single" w:color="E0B400" w:sz="12" w:space="4"/>
          <w:right w:val="single" w:color="E0B400" w:sz="4" w:space="4"/>
        </w:pBdr>
        <w:shd w:fill="FFF3CD" w:val="clear"/>
        <w:spacing w:after="200" w:before="100"/>
      </w:pPr>
      <w:r>
        <w:rPr>
          <w:b/>
          <w:bCs/>
          <w:sz w:val="21"/>
          <w:szCs w:val="21"/>
        </w:rPr>
        <w:t xml:space="preserve">Nota — </w:t>
      </w:r>
      <w:r>
        <w:rPr>
          <w:sz w:val="21"/>
          <w:szCs w:val="21"/>
        </w:rPr>
        <w:t xml:space="preserve">le ore indicate sono una stima di sviluppo e test funzionale; non includono eventuali attività di code review, rilascio in ambienti multipli o formazione utenti, da concordare separatamente se necessarie.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2026-08-05T15:54:47.763Z</dcterms:created>
  <dcterms:modified xsi:type="dcterms:W3CDTF">2026-08-05T15:54:47.777Z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