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33333"/>
          </w:tcPr>
          <w:p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4320"/>
            <w:shd w:val="clear" w:color="auto" w:fill="333333"/>
          </w:tcPr>
          <w:p>
            <w:r>
              <w:rPr>
                <w:b/>
                <w:color w:val="FFFFFF"/>
              </w:rPr>
              <w:t>Name and role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Name and role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 January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One line that says what this is about</w:t>
            </w:r>
          </w:p>
        </w:tc>
      </w:tr>
    </w:tbl>
    <w:p/>
    <w:p>
      <w:pPr>
        <w:pStyle w:val="Heading1"/>
      </w:pPr>
      <w:r>
        <w:t>Decision needed</w:t>
      </w:r>
    </w:p>
    <w:p>
      <w:r>
        <w:t>Say what you need from the reader and by when, in two sentences.</w:t>
      </w:r>
    </w:p>
    <w:p>
      <w:pPr>
        <w:pStyle w:val="Heading1"/>
      </w:pPr>
      <w:r>
        <w:t>Background</w:t>
      </w:r>
    </w:p>
    <w:p>
      <w:r>
        <w:t>The facts the reader needs, shortest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Internal    </w:t>
    </w:r>
    <w:r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name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2626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3333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