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planning meeting</w:t>
      </w:r>
    </w:p>
    <w:p>
      <w:r>
        <w:t>Meeting date: 3 March. Present: Dana, Sam, Priya.</w:t>
      </w:r>
    </w:p>
    <w:p>
      <w:pPr>
        <w:pStyle w:val="Heading2"/>
      </w:pPr>
      <w:r>
        <w:t>Decisions</w:t>
      </w:r>
    </w:p>
    <w:p>
      <w:r>
        <w:t>The new menu starts in April. The delivery van is replaced before the summer.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Order the new menu boards</w:t>
            </w:r>
          </w:p>
        </w:tc>
        <w:tc>
          <w:tcPr>
            <w:tcW w:type="dxa" w:w="2880"/>
          </w:tcPr>
          <w:p>
            <w:r>
              <w:t>10 March</w:t>
            </w:r>
          </w:p>
        </w:tc>
      </w:tr>
    </w:tbl>
    <w:p>
      <w:r>
        <w:t>Next meeting: 3 March next year is too late, so we meet again in the first week of May.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