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Annual Report 2025</w:t>
      </w:r>
    </w:p>
    <w:p>
      <w:r>
        <w:rPr>
          <w:b/>
        </w:rPr>
        <w:t xml:space="preserve">Company: </w:t>
      </w:r>
      <w:r>
        <w:t>ABC Green Infrastructure Ltd.</w:t>
      </w:r>
      <w:r>
        <w:rPr>
          <w:b/>
        </w:rPr>
        <w:br/>
        <w:t xml:space="preserve">Document: </w:t>
      </w:r>
      <w:r>
        <w:t>Annual Report</w:t>
      </w:r>
      <w:r>
        <w:rPr>
          <w:b/>
        </w:rPr>
        <w:br/>
        <w:t xml:space="preserve">Reporting Year: </w:t>
      </w:r>
      <w:r>
        <w:t>FY2025</w:t>
      </w:r>
    </w:p>
    <w:p>
      <w:pPr>
        <w:pStyle w:val="Heading2"/>
      </w:pPr>
      <w:r>
        <w:t>Executive Summary</w:t>
      </w:r>
    </w:p>
    <w:p>
      <w:r>
        <w:t>This is a fictional document created for a banking ESG hackathon proof-of-concept. It is intended to provide realistic content for AI document extraction and ESG scoring.</w:t>
      </w:r>
    </w:p>
    <w:p>
      <w:pPr>
        <w:pStyle w:val="Heading2"/>
      </w:pPr>
      <w:r>
        <w:t>Business Overview</w:t>
      </w:r>
    </w:p>
    <w:p>
      <w:r>
        <w:t>ABC Green Infrastructure Ltd. develops sustainable transport corridors, commercial buildings and renewable-ready industrial parks.</w:t>
      </w:r>
    </w:p>
    <w:p>
      <w:pPr>
        <w:pStyle w:val="Heading2"/>
      </w:pPr>
      <w:r>
        <w:t>Corporate Governance</w:t>
      </w:r>
    </w:p>
    <w:p>
      <w:r>
        <w:t>Board consists of 9 directors, including 6 independent directors. Audit, Risk and ESG Committees are active.</w:t>
      </w:r>
    </w:p>
    <w:p>
      <w:pPr>
        <w:pStyle w:val="Heading2"/>
      </w:pPr>
      <w:r>
        <w:t>Risk Management</w:t>
      </w:r>
    </w:p>
    <w:p>
      <w:r>
        <w:t>Climate risk is included in enterprise risk management. Scenario analysis is performed annually.</w:t>
      </w:r>
    </w:p>
    <w:p>
      <w:pPr>
        <w:pStyle w:val="Heading2"/>
      </w:pPr>
      <w:r>
        <w:t>Financial Highlights</w:t>
      </w:r>
    </w:p>
    <w:p>
      <w:r>
        <w:t>Revenue: INR 12,450 Cr. Profit After Tax: INR 1,180 Cr. Debt-to-Equity: 0.62.</w:t>
      </w:r>
    </w:p>
    <w:p>
      <w:pPr>
        <w:pStyle w:val="Heading2"/>
      </w:pPr>
      <w:r>
        <w:t>Future Outlook</w:t>
      </w:r>
    </w:p>
    <w:p>
      <w:r>
        <w:t>Pipeline includes resilient infrastructure and green-certified developments.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