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Sustainability Report 2025</w:t>
      </w:r>
    </w:p>
    <w:p>
      <w:r>
        <w:rPr>
          <w:b/>
        </w:rPr>
        <w:t xml:space="preserve">Company: </w:t>
      </w:r>
      <w:r>
        <w:t>ABC Green Infrastructure Ltd.</w:t>
      </w:r>
      <w:r>
        <w:rPr>
          <w:b/>
        </w:rPr>
        <w:br/>
        <w:t xml:space="preserve">Document: </w:t>
      </w:r>
      <w:r>
        <w:t>Sustainability Report</w:t>
      </w:r>
      <w:r>
        <w:rPr>
          <w:b/>
        </w:rPr>
        <w:br/>
        <w:t xml:space="preserve">Reporting Year: </w:t>
      </w:r>
      <w:r>
        <w:t>FY2025</w:t>
      </w:r>
    </w:p>
    <w:p>
      <w:pPr>
        <w:pStyle w:val="Heading2"/>
      </w:pPr>
      <w:r>
        <w:t>Executive Summary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2"/>
      </w:pPr>
      <w:r>
        <w:t>Climate Strategy</w:t>
      </w:r>
    </w:p>
    <w:p>
      <w:r>
        <w:t>The company has adopted a Net Zero by 2045 commitment aligned with IFRS S2 and TCFD principles. Board-level ESG oversight meets quarterly.</w:t>
      </w:r>
    </w:p>
    <w:p>
      <w:pPr>
        <w:pStyle w:val="Heading2"/>
      </w:pPr>
      <w:r>
        <w:t>GHG Emissions</w:t>
      </w:r>
    </w:p>
    <w:p>
      <w:r>
        <w:t>Scope 1 and Scope 2 emissions are disclosed. Scope 3 estimation is underway.</w:t>
      </w:r>
    </w:p>
    <w:p>
      <w:pPr>
        <w:pStyle w:val="Heading2"/>
      </w:pPr>
      <w:r>
        <w:t>Energy &amp; Water</w:t>
      </w:r>
    </w:p>
    <w:p>
      <w:r>
        <w:t>28% of electricity is sourced from renewable energy. Water recycling rate reached 34%.</w:t>
      </w:r>
    </w:p>
    <w:p>
      <w:pPr>
        <w:pStyle w:val="Heading2"/>
      </w:pPr>
      <w:r>
        <w:t>Biodiversity</w:t>
      </w:r>
    </w:p>
    <w:p>
      <w:r>
        <w:t>The company has a biodiversity policy and habitat protection commitment, but has not yet completed a formal TNFD LEAP impact/dependency assessment.</w:t>
      </w:r>
    </w:p>
    <w:p>
      <w:pPr>
        <w:pStyle w:val="Heading2"/>
      </w:pPr>
      <w:r>
        <w:t>Physical Climate Adaptation</w:t>
      </w:r>
    </w:p>
    <w:p>
      <w:r>
        <w:t>Flood-resilient design standards are mandatory for new construction projects. Critical electrical assets are elevated above projected flood levels.</w:t>
      </w:r>
    </w:p>
    <w:p>
      <w:pPr>
        <w:pStyle w:val="Heading2"/>
      </w:pPr>
      <w:r>
        <w:t>Health &amp; Safety</w:t>
      </w:r>
    </w:p>
    <w:p>
      <w:r>
        <w:t>Lost Time Injury Frequency Rate improved by 18%. Mandatory contractor safety training achieved 97% completion.</w:t>
      </w:r>
    </w:p>
    <w:p>
      <w:pPr>
        <w:pStyle w:val="Heading2"/>
      </w:pPr>
      <w:r>
        <w:t>Governance</w:t>
      </w:r>
    </w:p>
    <w:p>
      <w:r>
        <w:t>Dedicated ESG Committee chaired by an independent director. ESG KPIs linked to executive remuneration.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