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 2025</w:t>
      </w:r>
    </w:p>
    <w:p>
      <w:r>
        <w:t>Company: ABC Green Infrastructure Ltd.</w:t>
      </w:r>
    </w:p>
    <w:p>
      <w:r>
        <w:t>Document: Annual Report</w:t>
      </w:r>
    </w:p>
    <w:p>
      <w:r>
        <w:t>Reporting Year: FY2025</w:t>
      </w:r>
    </w:p>
    <w:p>
      <w:r>
        <w:t>This is a fictional document created for a banking ESG hackathon proof-of-concept. It is intended to provide realistic content for AI document extraction and ESG scoring.</w:t>
      </w:r>
    </w:p>
    <w:p>
      <w:pPr>
        <w:pStyle w:val="Heading1"/>
      </w:pPr>
      <w:r>
        <w:t>Business Overview</w:t>
      </w:r>
    </w:p>
    <w:p>
      <w:r>
        <w:t>ABC Green Infrastructure Ltd. develops sustainable transport corridors, commercial buildings and renewable-ready industrial parks across India, with an order book of INR 34,600 Cr as of March 2025.</w:t>
      </w:r>
    </w:p>
    <w:p>
      <w:pPr>
        <w:pStyle w:val="Heading1"/>
      </w:pPr>
      <w:r>
        <w:t>Corporate Governance</w:t>
      </w:r>
    </w:p>
    <w:p>
      <w:r>
        <w:t>The Board comprises 9 directors, including 6 independent directors, representing a two-thirds independent majority. The Audit Committee, Risk Committee and ESG Committee are each chaired by an independent director and meet quarterly.</w:t>
      </w:r>
    </w:p>
    <w:p>
      <w:pPr>
        <w:pStyle w:val="Heading1"/>
      </w:pPr>
      <w:r>
        <w:t>Risk Management</w:t>
      </w:r>
    </w:p>
    <w:p>
      <w:r>
        <w:t>Climate risk, including transition and physical risk categories, is formally integrated into the enterprise risk management (ERM) framework. Scenario analysis under 1.5C and 4C pathways is performed annually and reported to the Risk Committee.</w:t>
      </w:r>
    </w:p>
    <w:p>
      <w:pPr>
        <w:pStyle w:val="Heading1"/>
      </w:pPr>
      <w:r>
        <w:t>Financial Highlights</w:t>
      </w:r>
    </w:p>
    <w:p>
      <w:r>
        <w:t>Revenue: INR 12,450 Cr. Profit After Tax: INR 1,180 Cr. Debt-to-Equity: 0.62. Return on Capital Employed: 14.2%.</w:t>
      </w:r>
    </w:p>
    <w:p>
      <w:pPr>
        <w:pStyle w:val="Heading1"/>
      </w:pPr>
      <w:r>
        <w:t>Future Outlook</w:t>
      </w:r>
    </w:p>
    <w:p>
      <w:r>
        <w:t>The project pipeline for FY2026 includes resilient infrastructure and green-certified developments, with continued investment in climate adaptation engineering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