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Sustainability Report 2025</w:t>
      </w:r>
    </w:p>
    <w:p>
      <w:r>
        <w:t>Company: ABC Green Infrastructure Ltd.</w:t>
      </w:r>
    </w:p>
    <w:p>
      <w:r>
        <w:t>Document: Sustainability Report</w:t>
      </w:r>
    </w:p>
    <w:p>
      <w:r>
        <w:t>Reporting Year: FY2025</w:t>
      </w:r>
    </w:p>
    <w:p>
      <w:r>
        <w:t>This is a fictional document created for a banking ESG hackathon proof-of-concept. It is intended to provide realistic content for AI document extraction and ESG scoring.</w:t>
      </w:r>
    </w:p>
    <w:p>
      <w:pPr>
        <w:pStyle w:val="Heading1"/>
      </w:pPr>
      <w:r>
        <w:t>Message from the CEO</w:t>
      </w:r>
    </w:p>
    <w:p>
      <w:r>
        <w:t>2025 marks another year of disciplined execution against our long-term sustainability roadmap. As a builder of critical infrastructure, we recognize that our environmental and social footprint compounds over decades, and we continue to invest accordingly.</w:t>
      </w:r>
    </w:p>
    <w:p>
      <w:pPr>
        <w:pStyle w:val="Heading1"/>
      </w:pPr>
      <w:r>
        <w:t>Climate Strategy</w:t>
      </w:r>
    </w:p>
    <w:p>
      <w:r>
        <w:t>ABC Green Infrastructure has published a climate strategy fully aligned with the TCFD recommendations and IFRS S2 disclosure requirements, covering governance, strategy, risk management, and metrics &amp; targets. The strategy is reviewed by the Board-level ESG Committee on a quarterly basis.</w:t>
      </w:r>
    </w:p>
    <w:p>
      <w:pPr>
        <w:pStyle w:val="Heading1"/>
      </w:pPr>
      <w:r>
        <w:t>Emissions Targets</w:t>
      </w:r>
    </w:p>
    <w:p>
      <w:r>
        <w:t>The company has adopted a Net Zero by 2045 commitment, with an interim target of a 40% reduction in Scope 1 and Scope 2 emissions intensity by 2032.</w:t>
      </w:r>
    </w:p>
    <w:p>
      <w:pPr>
        <w:pStyle w:val="Heading1"/>
      </w:pPr>
      <w:r>
        <w:t>GHG Emissions</w:t>
      </w:r>
    </w:p>
    <w:p>
      <w:r>
        <w:t>Scope 1 emissions for FY2025 were 184,200 tCO2e and Scope 2 (market-based) emissions were 96,700 tCO2e, both independently assured. Scope 3 emissions estimation across the value chain is underway and expected to be disclosed in FY2026.</w:t>
      </w:r>
    </w:p>
    <w:p>
      <w:pPr>
        <w:pStyle w:val="Heading1"/>
      </w:pPr>
      <w:r>
        <w:t>Energy &amp; Water</w:t>
      </w:r>
    </w:p>
    <w:p>
      <w:r>
        <w:t>28% of electricity consumed across our sites was sourced from renewable energy power purchase agreements, up from 19% in FY2024. Our water recycling rate reached 34% across active construction sites.</w:t>
      </w:r>
    </w:p>
    <w:p>
      <w:pPr>
        <w:pStyle w:val="Heading1"/>
      </w:pPr>
      <w:r>
        <w:t>Biodiversity</w:t>
      </w:r>
    </w:p>
    <w:p>
      <w:r>
        <w:t>The company maintains a Board-approved biodiversity policy and has committed to no-net-loss of habitat at greenfield sites. A formal TNFD-aligned LEAP (Locate, Evaluate, Assess, Prepare) impact and dependency assessment has not yet been completed; it is targeted for FY2026.</w:t>
      </w:r>
    </w:p>
    <w:p>
      <w:pPr>
        <w:pStyle w:val="Heading1"/>
      </w:pPr>
      <w:r>
        <w:t>Physical Climate Adaptation</w:t>
      </w:r>
    </w:p>
    <w:p>
      <w:r>
        <w:t>Flood-resilient design standards are mandatory for all new construction projects. Critical electrical and mechanical assets are elevated above the 1-in-100-year projected flood level at all sites located in designated flood-risk zones. A comprehensive, site-by-site quantified hazard assessment covering heat stress and cyclone exposure has not yet been published.</w:t>
      </w:r>
    </w:p>
    <w:p>
      <w:pPr>
        <w:pStyle w:val="Heading1"/>
      </w:pPr>
      <w:r>
        <w:t>Health &amp; Safety</w:t>
      </w:r>
    </w:p>
    <w:p>
      <w:r>
        <w:t>Lost Time Injury Frequency Rate (LTIFR) improved by 18% year-on-year to 0.42 per million hours worked. Mandatory contractor safety training achieved 97% completion across all active project sites.</w:t>
      </w:r>
    </w:p>
    <w:p>
      <w:pPr>
        <w:pStyle w:val="Heading1"/>
      </w:pPr>
      <w:r>
        <w:t>Community &amp; Diversity</w:t>
      </w:r>
    </w:p>
    <w:p>
      <w:r>
        <w:t>Site-level community liaison officers are appointed for projects near residential areas, though the company does not yet publish a consolidated community engagement or CSR investment report. 31% of new hires in FY2025 were women, and the company publishes gender diversity ratios across management bands in its HR disclosures.</w:t>
      </w:r>
    </w:p>
    <w:p>
      <w:pPr>
        <w:pStyle w:val="Heading1"/>
      </w:pPr>
      <w:r>
        <w:t>Governance</w:t>
      </w:r>
    </w:p>
    <w:p>
      <w:r>
        <w:t>A dedicated ESG Committee, chaired by an independent director, oversees climate, safety and community matters and reports directly to the full Board. Executive long-term incentive plans include ESG KPIs covering emissions intensity and safety performance, weighted at 15% of the total scorecard.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