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 2025</w:t>
      </w:r>
    </w:p>
    <w:p>
      <w:r>
        <w:t>Company: GreenBuild India Pvt. Ltd.</w:t>
      </w:r>
    </w:p>
    <w:p>
      <w:r>
        <w:t>Document: Annual Report</w:t>
      </w:r>
    </w:p>
    <w:p>
      <w:r>
        <w:t>Reporting Year: FY2025</w:t>
      </w:r>
    </w:p>
    <w:p>
      <w:r>
        <w:t>This is a fictional document created for a banking ESG hackathon proof-of-concept. It is intended to provide realistic content for AI document extraction and ESG scoring.</w:t>
      </w:r>
    </w:p>
    <w:p>
      <w:pPr>
        <w:pStyle w:val="Heading1"/>
      </w:pPr>
      <w:r>
        <w:t>Business Overview</w:t>
      </w:r>
    </w:p>
    <w:p>
      <w:r>
        <w:t>GreenBuild India Pvt. Ltd. develops residential townships and commercial complexes across Tier-1 and Tier-2 Indian cities.</w:t>
      </w:r>
    </w:p>
    <w:p>
      <w:pPr>
        <w:pStyle w:val="Heading1"/>
      </w:pPr>
      <w:r>
        <w:t>Corporate Governance</w:t>
      </w:r>
    </w:p>
    <w:p>
      <w:r>
        <w:t>The Board consists of 10 directors, of whom 3 are independent directors.</w:t>
      </w:r>
    </w:p>
    <w:p>
      <w:pPr>
        <w:pStyle w:val="Heading1"/>
      </w:pPr>
      <w:r>
        <w:t>Risk Management</w:t>
      </w:r>
    </w:p>
    <w:p>
      <w:r>
        <w:t>Climate-related risks are reviewed as part of the enterprise risk management process and reported to the Board Risk Committee annually.</w:t>
      </w:r>
    </w:p>
    <w:p>
      <w:pPr>
        <w:pStyle w:val="Heading1"/>
      </w:pPr>
      <w:r>
        <w:t>Financial Highlights</w:t>
      </w:r>
    </w:p>
    <w:p>
      <w:r>
        <w:t>Revenue: INR 6,320 Cr. Profit After Tax: INR 410 Cr. Debt-to-Equity: 0.78.</w:t>
      </w:r>
    </w:p>
    <w:p>
      <w:pPr>
        <w:pStyle w:val="Heading1"/>
      </w:pPr>
      <w:r>
        <w:t>Future Outlook</w:t>
      </w:r>
    </w:p>
    <w:p>
      <w:r>
        <w:t>The company plans to expand into two new metropolitan markets in FY2026, with continued focus on cost-efficient, code-compliant 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