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Sustainability Report 2025</w:t>
      </w:r>
    </w:p>
    <w:p>
      <w:r>
        <w:t>Company: GreenBuild India Pvt. Ltd.</w:t>
      </w:r>
    </w:p>
    <w:p>
      <w:r>
        <w:t>Document: Sustainability Report</w:t>
      </w:r>
    </w:p>
    <w:p>
      <w:r>
        <w:t>Reporting Year: FY2025</w:t>
      </w:r>
    </w:p>
    <w:p>
      <w:r>
        <w:t>This is a fictional document created for a banking ESG hackathon proof-of-concept. It is intended to provide realistic content for AI document extraction and ESG scoring.</w:t>
      </w:r>
    </w:p>
    <w:p>
      <w:pPr>
        <w:pStyle w:val="Heading1"/>
      </w:pPr>
      <w:r>
        <w:t>Message from Leadership</w:t>
      </w:r>
    </w:p>
    <w:p>
      <w:r>
        <w:t>GreenBuild India continues to expand its residential and commercial portfolio while strengthening the environmental and safety standards applied across our project sites.</w:t>
      </w:r>
    </w:p>
    <w:p>
      <w:pPr>
        <w:pStyle w:val="Heading1"/>
      </w:pPr>
      <w:r>
        <w:t>Climate Strategy</w:t>
      </w:r>
    </w:p>
    <w:p>
      <w:r>
        <w:t>The company has published a Climate Action Framework aligned with TCFD recommendations, covering governance, strategy, risk management and metrics across Scope 1, 2 and 3 emissions categories.</w:t>
      </w:r>
    </w:p>
    <w:p>
      <w:pPr>
        <w:pStyle w:val="Heading1"/>
      </w:pPr>
      <w:r>
        <w:t>Emissions Targets</w:t>
      </w:r>
    </w:p>
    <w:p>
      <w:r>
        <w:t>GreenBuild India has committed to reducing emissions intensity per square metre of built area by 20% by 2030, measured against a FY2023 baseline. A long-term Net Zero target date has not yet been finalised.</w:t>
      </w:r>
    </w:p>
    <w:p>
      <w:pPr>
        <w:pStyle w:val="Heading1"/>
      </w:pPr>
      <w:r>
        <w:t>Biodiversity</w:t>
      </w:r>
    </w:p>
    <w:p>
      <w:r>
        <w:t>No biodiversity impact or dependency assessment has been conducted to date.</w:t>
      </w:r>
    </w:p>
    <w:p>
      <w:pPr>
        <w:pStyle w:val="Heading1"/>
      </w:pPr>
      <w:r>
        <w:t>Physical Climate Risk</w:t>
      </w:r>
    </w:p>
    <w:p>
      <w:r>
        <w:t>The company commissioned satellite-based flood and heat-stress hazard mapping across all 14 active project sites in FY2025, identifying three sites in moderate-to-high flood exposure zones.</w:t>
      </w:r>
    </w:p>
    <w:p>
      <w:pPr>
        <w:pStyle w:val="Heading1"/>
      </w:pPr>
      <w:r>
        <w:t>Climate Adaptation</w:t>
      </w:r>
    </w:p>
    <w:p>
      <w:r>
        <w:t>Adaptation measures for identified high-risk sites are under internal review; no site-specific adaptation plan has been finalised or disclosed yet.</w:t>
      </w:r>
    </w:p>
    <w:p>
      <w:pPr>
        <w:pStyle w:val="Heading1"/>
      </w:pPr>
      <w:r>
        <w:t>Health &amp; Safety</w:t>
      </w:r>
    </w:p>
    <w:p>
      <w:r>
        <w:t>Lost Time Injury Frequency Rate was 0.68 per million hours worked in FY2025. Safety training completion across contractor workforce reached 89%.</w:t>
      </w:r>
    </w:p>
    <w:p>
      <w:pPr>
        <w:pStyle w:val="Heading1"/>
      </w:pPr>
      <w:r>
        <w:t>Community Engagement</w:t>
      </w:r>
    </w:p>
    <w:p>
      <w:r>
        <w:t>The company runs periodic community outreach programmes near project sites, though a formal CSR investment figure or structured engagement policy has not been published.</w:t>
      </w:r>
    </w:p>
    <w:p>
      <w:pPr>
        <w:pStyle w:val="Heading1"/>
      </w:pPr>
      <w:r>
        <w:t>Diversity &amp; Inclusion</w:t>
      </w:r>
    </w:p>
    <w:p>
      <w:r>
        <w:t>No workforce diversity or inclusion metrics have been disclosed.</w:t>
      </w:r>
    </w:p>
    <w:p>
      <w:pPr>
        <w:pStyle w:val="Heading1"/>
      </w:pPr>
      <w:r>
        <w:t>Governance</w:t>
      </w:r>
    </w:p>
    <w:p>
      <w:r>
        <w:t>An ESG Committee provides Board-level oversight of sustainability matters. Climate-related risks are formally integrated into the company's enterprise risk management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