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Report 2025</w:t>
      </w:r>
    </w:p>
    <w:p>
      <w:r>
        <w:t>Company: Metro Concrete Works Ltd.</w:t>
      </w:r>
    </w:p>
    <w:p>
      <w:r>
        <w:t>Document: Annual Report</w:t>
      </w:r>
    </w:p>
    <w:p>
      <w:r>
        <w:t>Reporting Year: FY2025</w:t>
      </w:r>
    </w:p>
    <w:p>
      <w:r>
        <w:t>This is a fictional document created for a banking ESG hackathon proof-of-concept. It is intended to provide realistic content for AI document extraction and ESG scoring.</w:t>
      </w:r>
    </w:p>
    <w:p>
      <w:pPr>
        <w:pStyle w:val="Heading1"/>
      </w:pPr>
      <w:r>
        <w:t>Business Overview</w:t>
      </w:r>
    </w:p>
    <w:p>
      <w:r>
        <w:t>Metro Concrete Works Ltd. manufactures ready-mix concrete and precast components for the regional construction industry.</w:t>
      </w:r>
    </w:p>
    <w:p>
      <w:pPr>
        <w:pStyle w:val="Heading1"/>
      </w:pPr>
      <w:r>
        <w:t>Corporate Governance</w:t>
      </w:r>
    </w:p>
    <w:p>
      <w:r>
        <w:t>The Board consists of 6 directors overseeing company strategy and operations. No breakdown of independent director representation is disclosed.</w:t>
      </w:r>
    </w:p>
    <w:p>
      <w:pPr>
        <w:pStyle w:val="Heading1"/>
      </w:pPr>
      <w:r>
        <w:t>Risk Management</w:t>
      </w:r>
    </w:p>
    <w:p>
      <w:r>
        <w:t>The company manages operational and financial risks as part of its standard business planning process. Climate risk is not separately addressed.</w:t>
      </w:r>
    </w:p>
    <w:p>
      <w:pPr>
        <w:pStyle w:val="Heading1"/>
      </w:pPr>
      <w:r>
        <w:t>Financial Highlights</w:t>
      </w:r>
    </w:p>
    <w:p>
      <w:r>
        <w:t>Revenue: INR 1,240 Cr. Profit After Tax: INR 62 Cr. Debt-to-Equity: 1.35.</w:t>
      </w:r>
    </w:p>
    <w:p>
      <w:pPr>
        <w:pStyle w:val="Heading1"/>
      </w:pPr>
      <w:r>
        <w:t>Future Outlook</w:t>
      </w:r>
    </w:p>
    <w:p>
      <w:r>
        <w:t>The company plans to expand plant capacity in FY2026 to meet regional demand.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