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Sustainability Report 2025</w:t>
      </w:r>
    </w:p>
    <w:p>
      <w:r>
        <w:t>Company: Metro Concrete Works Ltd.</w:t>
      </w:r>
    </w:p>
    <w:p>
      <w:r>
        <w:t>Document: Sustainability Report</w:t>
      </w:r>
    </w:p>
    <w:p>
      <w:r>
        <w:t>Reporting Year: FY2025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1"/>
      </w:pPr>
      <w:r>
        <w:t>Overview</w:t>
      </w:r>
    </w:p>
    <w:p>
      <w:r>
        <w:t>Metro Concrete Works Ltd. is committed to responsible business practices across its operations.</w:t>
      </w:r>
    </w:p>
    <w:p>
      <w:pPr>
        <w:pStyle w:val="Heading1"/>
      </w:pPr>
      <w:r>
        <w:t>Environment</w:t>
      </w:r>
    </w:p>
    <w:p>
      <w:r>
        <w:t>The company is committed to sustainable practices in its manufacturing operations. No specific emissions targets, climate framework alignment, biodiversity assessment, or physical climate risk disclosures are included in this report.</w:t>
      </w:r>
    </w:p>
    <w:p>
      <w:pPr>
        <w:pStyle w:val="Heading1"/>
      </w:pPr>
      <w:r>
        <w:t>Health &amp; Safety</w:t>
      </w:r>
    </w:p>
    <w:p>
      <w:r>
        <w:t>Safety is treated as a priority across all plant locations. No injury frequency rate or training completion metrics are disclosed.</w:t>
      </w:r>
    </w:p>
    <w:p>
      <w:pPr>
        <w:pStyle w:val="Heading1"/>
      </w:pPr>
      <w:r>
        <w:t>Community</w:t>
      </w:r>
    </w:p>
    <w:p>
      <w:r>
        <w:t>No community engagement or workforce diversity information is disclosed in this report.</w:t>
      </w:r>
    </w:p>
    <w:p>
      <w:pPr>
        <w:pStyle w:val="Heading1"/>
      </w:pPr>
      <w:r>
        <w:t>Governance</w:t>
      </w:r>
    </w:p>
    <w:p>
      <w:r>
        <w:t>The Board oversees overall company operations, including matters of sustainability, as part of its general governance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