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Annual Report 2025</w:t>
      </w:r>
    </w:p>
    <w:p>
      <w:r>
        <w:t>Company: XYZ Urban Developers Ltd.</w:t>
      </w:r>
    </w:p>
    <w:p>
      <w:r>
        <w:t>Document: Annual Report</w:t>
      </w:r>
    </w:p>
    <w:p>
      <w:r>
        <w:t>Reporting Year: FY2025</w:t>
      </w:r>
    </w:p>
    <w:p>
      <w:r>
        <w:t>This is a fictional document created for a banking ESG hackathon proof-of-concept. It is intended to provide realistic content for AI document extraction and ESG scoring.</w:t>
      </w:r>
    </w:p>
    <w:p>
      <w:pPr>
        <w:pStyle w:val="Heading1"/>
      </w:pPr>
      <w:r>
        <w:t>Business Overview</w:t>
      </w:r>
    </w:p>
    <w:p>
      <w:r>
        <w:t>XYZ Urban Developers Ltd. focuses on residential and mixed-use developments across multiple cities in western and southern India.</w:t>
      </w:r>
    </w:p>
    <w:p>
      <w:pPr>
        <w:pStyle w:val="Heading1"/>
      </w:pPr>
      <w:r>
        <w:t>Corporate Governance</w:t>
      </w:r>
    </w:p>
    <w:p>
      <w:r>
        <w:t>The Board includes representation from independent directors alongside promoter and executive directors.</w:t>
      </w:r>
    </w:p>
    <w:p>
      <w:pPr>
        <w:pStyle w:val="Heading1"/>
      </w:pPr>
      <w:r>
        <w:t>Risk Management</w:t>
      </w:r>
    </w:p>
    <w:p>
      <w:r>
        <w:t>Climate risk is formally recognised within the company's enterprise risk management framework, with an annual review presented to the Risk Committee.</w:t>
      </w:r>
    </w:p>
    <w:p>
      <w:pPr>
        <w:pStyle w:val="Heading1"/>
      </w:pPr>
      <w:r>
        <w:t>Financial Highlights</w:t>
      </w:r>
    </w:p>
    <w:p>
      <w:r>
        <w:t>Revenue: INR 8,950 Cr. Profit After Tax: INR 640 Cr. Debt-to-Equity: 0.94.</w:t>
      </w:r>
    </w:p>
    <w:p>
      <w:pPr>
        <w:pStyle w:val="Heading1"/>
      </w:pPr>
      <w:r>
        <w:t>Future Outlook</w:t>
      </w:r>
    </w:p>
    <w:p>
      <w:r>
        <w:t>Expansion is planned into coastal developments in FY2026, with detailed climate resilience disclosures expected in future reporting cycles.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