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Sustainability Report 2025</w:t>
      </w:r>
    </w:p>
    <w:p>
      <w:r>
        <w:t>Company: XYZ Urban Developers Ltd.</w:t>
      </w:r>
    </w:p>
    <w:p>
      <w:r>
        <w:t>Document: Sustainability Report</w:t>
      </w:r>
    </w:p>
    <w:p>
      <w:r>
        <w:t>Reporting Year: FY2025</w:t>
      </w:r>
    </w:p>
    <w:p>
      <w:r>
        <w:t>This is a fictional document created for a banking ESG hackathon proof-of-concept. It is intended to provide realistic content for AI document extraction and ESG scoring.</w:t>
      </w:r>
    </w:p>
    <w:p>
      <w:pPr>
        <w:pStyle w:val="Heading1"/>
      </w:pPr>
      <w:r>
        <w:t>Message from Management</w:t>
      </w:r>
    </w:p>
    <w:p>
      <w:r>
        <w:t>XYZ Urban Developers remains focused on delivering residential and mixed-use developments while building out our sustainability reporting practices.</w:t>
      </w:r>
    </w:p>
    <w:p>
      <w:pPr>
        <w:pStyle w:val="Heading1"/>
      </w:pPr>
      <w:r>
        <w:t>Climate Strategy</w:t>
      </w:r>
    </w:p>
    <w:p>
      <w:r>
        <w:t>The company has published a Climate Strategy Statement aligned with the TCFD framework, covering our approach to emissions monitoring across our development portfolio.</w:t>
      </w:r>
    </w:p>
    <w:p>
      <w:pPr>
        <w:pStyle w:val="Heading1"/>
      </w:pPr>
      <w:r>
        <w:t>Emissions Targets</w:t>
      </w:r>
    </w:p>
    <w:p>
      <w:r>
        <w:t>XYZ Urban Developers has expressed an aspiration to reduce emissions over time as part of its broader sustainability ambitions. A formal, quantified emissions reduction target or Net Zero commitment has not yet been finalised or published.</w:t>
      </w:r>
    </w:p>
    <w:p>
      <w:pPr>
        <w:pStyle w:val="Heading1"/>
      </w:pPr>
      <w:r>
        <w:t>Biodiversity</w:t>
      </w:r>
    </w:p>
    <w:p>
      <w:r>
        <w:t>No biodiversity-related disclosures are included in this report.</w:t>
      </w:r>
    </w:p>
    <w:p>
      <w:pPr>
        <w:pStyle w:val="Heading1"/>
      </w:pPr>
      <w:r>
        <w:t>Physical Climate Risk</w:t>
      </w:r>
    </w:p>
    <w:p>
      <w:r>
        <w:t>Climate-related risks to our sites are monitored on an informal basis by the project management team. No quantitative hazard assessment or site-level risk data has been published.</w:t>
      </w:r>
    </w:p>
    <w:p>
      <w:pPr>
        <w:pStyle w:val="Heading1"/>
      </w:pPr>
      <w:r>
        <w:t>Climate Adaptation</w:t>
      </w:r>
    </w:p>
    <w:p>
      <w:r>
        <w:t>The company is considering resilience measures for future developments, including drainage and site-grading improvements, though no formal adaptation programme has been adopted.</w:t>
      </w:r>
    </w:p>
    <w:p>
      <w:pPr>
        <w:pStyle w:val="Heading1"/>
      </w:pPr>
      <w:r>
        <w:t>Health &amp; Safety</w:t>
      </w:r>
    </w:p>
    <w:p>
      <w:r>
        <w:t>Lost Time Injury Frequency Rate for FY2025 was 1.1 per million hours worked. Contractor safety training completion was 76%.</w:t>
      </w:r>
    </w:p>
    <w:p>
      <w:pPr>
        <w:pStyle w:val="Heading1"/>
      </w:pPr>
      <w:r>
        <w:t>Community &amp; Diversity</w:t>
      </w:r>
    </w:p>
    <w:p>
      <w:r>
        <w:t>No community engagement programme or CSR investment figures are disclosed in this report. Workforce diversity data has not been published.</w:t>
      </w:r>
    </w:p>
    <w:p>
      <w:pPr>
        <w:pStyle w:val="Heading1"/>
      </w:pPr>
      <w:r>
        <w:t>Governance</w:t>
      </w:r>
    </w:p>
    <w:p>
      <w:r>
        <w:t>ESG oversight is provided through a dedicated Sustainability Committee that reports to the Board on a semi-annual basis.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