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Sreetama Ghosh Ray</w:t>
      </w:r>
    </w:p>
    <w:p>
      <w:pPr>
        <w:spacing w:after="400"/>
        <w:jc w:val="center"/>
      </w:pPr>
      <w:r>
        <w:rPr>
          <w:rFonts w:ascii="Times New Roman" w:cs="Times New Roman" w:eastAsia="Times New Roman" w:hAnsi="Times New Roman"/>
          <w:sz w:val="24"/>
          <w:szCs w:val="24"/>
        </w:rPr>
        <w:t xml:space="preserve">(Register No.: 251578222039)</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Dr. E. T. Evangeline Joshua</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October 2026</w:t>
      </w:r>
    </w:p>
    <w:p>
      <w:r>
        <w:br w:type="page"/>
      </w:r>
    </w:p>
    <w:p>
      <w:pPr>
        <w:spacing w:after="24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Sreetama Ghosh Ray, Register No. 251578222039,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800"/>
      </w:pPr>
      <w:r>
        <w:rPr>
          <w:rFonts w:ascii="Times New Roman" w:cs="Times New Roman" w:eastAsia="Times New Roman" w:hAnsi="Times New Roman"/>
          <w:sz w:val="20"/>
          <w:szCs w:val="20"/>
        </w:rPr>
        <w:t xml:space="preserve">Dr. E. T. Evangeline Joshua</w:t>
      </w:r>
      <w:r>
        <w:rPr>
          <w:rFonts w:ascii="Times New Roman" w:cs="Times New Roman" w:eastAsia="Times New Roman" w:hAnsi="Times New Roman"/>
          <w:sz w:val="20"/>
          <w:szCs w:val="20"/>
        </w:rPr>
        <w:t xml:space="preserve">	Company / Fieldwork Supervisor</w:t>
      </w:r>
    </w:p>
    <w:p>
      <w:pPr>
        <w:tabs>
          <w:tab w:val="left" w:pos="5400"/>
        </w:tabs>
      </w:pPr>
      <w:r>
        <w:rPr>
          <w:rFonts w:ascii="Times New Roman" w:cs="Times New Roman" w:eastAsia="Times New Roman" w:hAnsi="Times New Roman"/>
          <w:sz w:val="20"/>
          <w:szCs w:val="20"/>
        </w:rPr>
        <w:t xml:space="preserve">Academic Guide</w:t>
      </w:r>
      <w:r>
        <w:rPr>
          <w:rFonts w:ascii="Times New Roman" w:cs="Times New Roman" w:eastAsia="Times New Roman" w:hAnsi="Times New Roman"/>
          <w:sz w:val="20"/>
          <w:szCs w:val="20"/>
        </w:rPr>
        <w:t xml:space="preserve">	(Name, Designation and Signature)</w:t>
      </w:r>
    </w:p>
    <w:p>
      <w:pPr>
        <w:spacing w:before="400"/>
      </w:pPr>
      <w:r>
        <w:rPr>
          <w:rFonts w:ascii="Times New Roman" w:cs="Times New Roman" w:eastAsia="Times New Roman" w:hAnsi="Times New Roman"/>
          <w:sz w:val="24"/>
          <w:szCs w:val="24"/>
        </w:rPr>
        <w:t xml:space="preserve">Place: Chennai          Date: October 2026</w:t>
      </w:r>
    </w:p>
    <w:p>
      <w:r>
        <w:br w:type="page"/>
      </w:r>
    </w:p>
    <w:p>
      <w:pPr>
        <w:spacing w:after="24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Sreetama Ghosh Ray,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October 2026</w:t>
      </w:r>
    </w:p>
    <w:p>
      <w:pPr>
        <w:spacing w:before="400"/>
        <w:jc w:val="right"/>
      </w:pPr>
      <w:r>
        <w:rPr>
          <w:rFonts w:ascii="Times New Roman" w:cs="Times New Roman" w:eastAsia="Times New Roman" w:hAnsi="Times New Roman"/>
          <w:sz w:val="24"/>
          <w:szCs w:val="24"/>
        </w:rPr>
        <w:t xml:space="preserve">Sreetama Ghosh Ray</w:t>
      </w:r>
      <w:r>
        <w:br/>
      </w: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Dr. E. T. Evangeline Joshua,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Sreetama Ghosh Ray</w:t>
      </w:r>
    </w:p>
    <w:p>
      <w:r>
        <w:br w:type="page"/>
      </w:r>
    </w:p>
    <w:p>
      <w:pPr>
        <w:spacing w:after="24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Summary, Conclusion and Suggestions</w:t>
      </w:r>
      <w:r>
        <w:rPr>
          <w:rFonts w:ascii="Times New Roman" w:cs="Times New Roman" w:eastAsia="Times New Roman" w:hAnsi="Times New Roman"/>
          <w:sz w:val="24"/>
          <w:szCs w:val="24"/>
        </w:rPr>
        <w:t xml:space="preserve">	</w:t>
      </w:r>
      <w:fldSimple w:instr="PAGEREF h_9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10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10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B — Questionnaire Development and Literature Basis</w:t>
      </w:r>
      <w:r>
        <w:rPr>
          <w:rFonts w:ascii="Times New Roman" w:cs="Times New Roman" w:eastAsia="Times New Roman" w:hAnsi="Times New Roman"/>
          <w:sz w:val="24"/>
          <w:szCs w:val="24"/>
        </w:rPr>
        <w:t xml:space="preserve">	</w:t>
      </w:r>
      <w:fldSimple w:instr="PAGEREF h_117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w:t>
        </w:r>
      </w:fldSimple>
    </w:p>
    <w:p>
      <w:r>
        <w:br w:type="page"/>
      </w:r>
    </w:p>
    <w:p>
      <w:pPr>
        <w:pStyle w:val="Heading1"/>
        <w:keepNext/>
        <w:spacing w:after="160" w:before="0"/>
      </w:pPr>
      <w:bookmarkStart w:name="h_1" w:id="1"/>
      <w:r>
        <w:rPr>
          <w:rFonts w:ascii="Times New Roman" w:cs="Times New Roman" w:eastAsia="Times New Roman" w:hAnsi="Times New Roman"/>
          <w:b/>
          <w:bCs/>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60" w:line="360" w:lineRule="auto"/>
        <w:jc w:val="both"/>
      </w:pPr>
      <w:r>
        <w:rPr>
          <w:rFonts w:ascii="Times New Roman" w:cs="Times New Roman" w:eastAsia="Times New Roman" w:hAnsi="Times New Roman"/>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60" w:line="360" w:lineRule="auto"/>
        <w:jc w:val="both"/>
      </w:pPr>
      <w:r>
        <w:rPr>
          <w:rFonts w:ascii="Times New Roman" w:cs="Times New Roman" w:eastAsia="Times New Roman" w:hAnsi="Times New Roman"/>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60" w:line="360" w:lineRule="auto"/>
        <w:jc w:val="both"/>
      </w:pPr>
      <w:r>
        <w:rPr>
          <w:rFonts w:ascii="Times New Roman" w:cs="Times New Roman" w:eastAsia="Times New Roman" w:hAnsi="Times New Roman"/>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60" w:line="360" w:lineRule="auto"/>
        <w:jc w:val="both"/>
      </w:pPr>
      <w:r>
        <w:rPr>
          <w:rFonts w:ascii="Times New Roman" w:cs="Times New Roman" w:eastAsia="Times New Roman" w:hAnsi="Times New Roman"/>
          <w:sz w:val="24"/>
          <w:szCs w:val="24"/>
        </w:rPr>
        <w:t xml:space="preserve">The present study is situated at Union Bank of India,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Together, these arrangements make hybrid learning a practical question for the Bank. They provide the infrastructure for digital and trainer-led learning, while employee experience of a particular programme still needs to be examined. Respondents therefore considered one recent programme that used both modes.</w:t>
      </w:r>
    </w:p>
    <w:p>
      <w:pPr>
        <w:spacing w:after="160" w:line="360" w:lineRule="auto"/>
        <w:jc w:val="both"/>
      </w:pPr>
      <w:r>
        <w:rPr>
          <w:rFonts w:ascii="Times New Roman" w:cs="Times New Roman" w:eastAsia="Times New Roman" w:hAnsi="Times New Roman"/>
          <w:sz w:val="24"/>
          <w:szCs w:val="24"/>
        </w:rPr>
        <w:t xml:space="preserve">The study examines four constructs.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refers to the employee’s experience of how the digital and face-to-face parts of the programme were connected, including platform access, availability of material, and opportunities to revisit learning.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refers to the trainer’s knowledge, clarity, ability to connect activities across modes, use of relevant digital tools, encouragement of participation,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employee’s attention, effort, interest, participation, and willingness to seek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the employee’s perception that the programme produced useful, understandable, relevant, and applicable learning for the current role.</w:t>
      </w:r>
    </w:p>
    <w:p>
      <w:pPr>
        <w:spacing w:after="16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framework treats Hybrid Learning, Trainer Competence, and Learner Engagement as separate employee-level predictors of Training Effectiveness. It does not assume that a well-planned programme or a competent trainer automatically makes every employee engage. Workload, time available for learning, prior experience, digital confidence, motivation, and immediate workplace conditions can also influence engagement. Employee perception matters because employees use the platform, attend sessions, interact with trainers, and decide whether learning helps in their work. The findings are therefore interpreted alongside the study’s stated self-report and cross-sectional limits.</w:t>
      </w:r>
    </w:p>
    <w:p>
      <w:pPr>
        <w:spacing w:after="160" w:line="360" w:lineRule="auto"/>
        <w:jc w:val="both"/>
      </w:pPr>
      <w:r>
        <w:rPr>
          <w:rFonts w:ascii="Times New Roman" w:cs="Times New Roman" w:eastAsia="Times New Roman" w:hAnsi="Times New Roman"/>
          <w:sz w:val="24"/>
          <w:szCs w:val="24"/>
        </w:rPr>
        <w:t xml:space="preserve">Three complementary base papers provide the academic foundation for the study. Sosnova et al. (2025) provide the conceptual base paper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60" w:line="360" w:lineRule="auto"/>
        <w:jc w:val="both"/>
      </w:pPr>
      <w:r>
        <w:rPr>
          <w:rFonts w:ascii="Times New Roman" w:cs="Times New Roman" w:eastAsia="Times New Roman" w:hAnsi="Times New Roman"/>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60" w:line="360" w:lineRule="auto"/>
        <w:jc w:val="both"/>
      </w:pPr>
      <w:r>
        <w:rPr>
          <w:rFonts w:ascii="Times New Roman" w:cs="Times New Roman" w:eastAsia="Times New Roman" w:hAnsi="Times New Roman"/>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60" w:line="360" w:lineRule="auto"/>
        <w:jc w:val="both"/>
      </w:pPr>
      <w:r>
        <w:rPr>
          <w:rFonts w:ascii="Times New Roman" w:cs="Times New Roman" w:eastAsia="Times New Roman" w:hAnsi="Times New Roman"/>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their distinct associations with Training Effectiveness.</w:t>
      </w:r>
    </w:p>
    <w:p>
      <w:pPr>
        <w:pStyle w:val="Heading3"/>
        <w:keepNext/>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60" w:line="360" w:lineRule="auto"/>
        <w:jc w:val="both"/>
      </w:pPr>
      <w:r>
        <w:rPr>
          <w:rFonts w:ascii="Times New Roman" w:cs="Times New Roman" w:eastAsia="Times New Roman" w:hAnsi="Times New Roman"/>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60" w:line="360" w:lineRule="auto"/>
        <w:jc w:val="both"/>
      </w:pPr>
      <w:r>
        <w:rPr>
          <w:rFonts w:ascii="Times New Roman" w:cs="Times New Roman" w:eastAsia="Times New Roman" w:hAnsi="Times New Roman"/>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study addresses a practical question: when employees attend a programme that combines digital and face-to-face learning, how are Hybrid Learning, Trainer Competence, and Learner Engagement related to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60" w:line="360" w:lineRule="auto"/>
        <w:jc w:val="both"/>
      </w:pPr>
      <w:r>
        <w:rPr>
          <w:rFonts w:ascii="Times New Roman" w:cs="Times New Roman" w:eastAsia="Times New Roman" w:hAnsi="Times New Roman"/>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60" w:line="360" w:lineRule="auto"/>
        <w:jc w:val="both"/>
      </w:pPr>
      <w:r>
        <w:rPr>
          <w:rFonts w:ascii="Times New Roman" w:cs="Times New Roman" w:eastAsia="Times New Roman" w:hAnsi="Times New Roman"/>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60" w:line="360" w:lineRule="auto"/>
        <w:jc w:val="both"/>
      </w:pPr>
      <w:r>
        <w:rPr>
          <w:rFonts w:ascii="Times New Roman" w:cs="Times New Roman" w:eastAsia="Times New Roman" w:hAnsi="Times New Roman"/>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60" w:line="360" w:lineRule="auto"/>
        <w:jc w:val="both"/>
      </w:pPr>
      <w:r>
        <w:rPr>
          <w:rFonts w:ascii="Times New Roman" w:cs="Times New Roman" w:eastAsia="Times New Roman" w:hAnsi="Times New Roman"/>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60" w:line="360" w:lineRule="auto"/>
        <w:jc w:val="both"/>
      </w:pPr>
      <w:r>
        <w:rPr>
          <w:rFonts w:ascii="Times New Roman" w:cs="Times New Roman" w:eastAsia="Times New Roman" w:hAnsi="Times New Roman"/>
          <w:sz w:val="24"/>
          <w:szCs w:val="24"/>
        </w:rPr>
        <w:t xml:space="preserve">For academic research, the study contributes evidence from an underrepresented public-sector banking context. It brings together a conceptual study, corporate training evidence, and Indian banking evidence through a transparent, literature-informed questionnaire. The instrument was designed for this focused setting, reviewed by the academic guide, piloted, and assessed for internal consistency in the final sample.</w:t>
      </w:r>
    </w:p>
    <w:p>
      <w:pPr>
        <w:pStyle w:val="Heading2"/>
        <w:keepNext/>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60" w:line="360" w:lineRule="auto"/>
        <w:jc w:val="both"/>
      </w:pPr>
      <w:r>
        <w:rPr>
          <w:rFonts w:ascii="Times New Roman" w:cs="Times New Roman" w:eastAsia="Times New Roman" w:hAnsi="Times New Roman"/>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60" w:line="360" w:lineRule="auto"/>
        <w:jc w:val="both"/>
      </w:pPr>
      <w:r>
        <w:rPr>
          <w:rFonts w:ascii="Times New Roman" w:cs="Times New Roman" w:eastAsia="Times New Roman" w:hAnsi="Times New Roman"/>
          <w:sz w:val="24"/>
          <w:szCs w:val="24"/>
        </w:rPr>
        <w:t xml:space="preserve">The study therefore examines whether Hybrid Learning, Trainer Competence, and Learner Engagement together are associated with employees’ perceptions of Training Effectiveness.</w:t>
      </w:r>
    </w:p>
    <w:p>
      <w:pPr>
        <w:pStyle w:val="Heading2"/>
        <w:keepNext/>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pPr>
        <w:spacing w:after="160" w:line="360" w:lineRule="auto"/>
        <w:jc w:val="both"/>
      </w:pPr>
      <w:r>
        <w:rPr>
          <w:rFonts w:ascii="Times New Roman" w:cs="Times New Roman" w:eastAsia="Times New Roman" w:hAnsi="Times New Roman"/>
          <w:sz w:val="24"/>
          <w:szCs w:val="24"/>
        </w:rPr>
        <w:t xml:space="preserve">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pPr>
        <w:pStyle w:val="Heading3"/>
        <w:keepNext/>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pPr>
        <w:pStyle w:val="Heading3"/>
        <w:keepNext/>
        <w:spacing w:after="160" w:before="240"/>
      </w:pPr>
      <w:bookmarkStart w:name="h_18" w:id="18"/>
      <w:r>
        <w:rPr>
          <w:rFonts w:ascii="Times New Roman" w:cs="Times New Roman" w:eastAsia="Times New Roman" w:hAnsi="Times New Roman"/>
          <w:b/>
          <w:bCs/>
        </w:rPr>
        <w:t xml:space="preserve">Union Bank Training Architecture</w:t>
      </w:r>
      <w:bookmarkEnd w:id="18"/>
    </w:p>
    <w:p>
      <w:pPr>
        <w:spacing w:after="160" w:line="360" w:lineRule="auto"/>
        <w:jc w:val="both"/>
      </w:pPr>
      <w:r>
        <w:rPr>
          <w:rFonts w:ascii="Times New Roman" w:cs="Times New Roman" w:eastAsia="Times New Roman" w:hAnsi="Times New Roman"/>
          <w:sz w:val="24"/>
          <w:szCs w:val="24"/>
        </w:rPr>
        <w:t xml:space="preserve">The Bank’s current Learning and Development system combines physical learning infrastructure with digital delivery. The 2024–25 annual report describes a Master Policy on Learning and Development that includes e-learning, virtual training, staggered programmes, role-based training, mandatory e-learning modules for officers, and the Training Management System within Union Vidya (Union Bank of India, 2025). The 2023–24 report also describes Union Vidya as the Bank’s LMS, with digital learning resources and virtual workshops alongside classroom and locational programmes (Union Bank of India, 2024).</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establish that the Bank has both trainer-led learning infrastructure and digital-learning arrangements. They do not show that every employee attended a particular centre or that every programme combined the two modes.</w:t>
      </w:r>
    </w:p>
    <w:p>
      <w:pPr>
        <w:spacing w:after="160" w:line="360" w:lineRule="auto"/>
        <w:jc w:val="both"/>
      </w:pPr>
      <w:r>
        <w:rPr>
          <w:rFonts w:ascii="Times New Roman" w:cs="Times New Roman" w:eastAsia="Times New Roman" w:hAnsi="Times New Roman"/>
          <w:sz w:val="24"/>
          <w:szCs w:val="24"/>
        </w:rPr>
        <w:t xml:space="preserve">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pPr>
        <w:spacing w:after="160" w:line="360" w:lineRule="auto"/>
        <w:jc w:val="both"/>
      </w:pPr>
      <w:r>
        <w:rPr>
          <w:rFonts w:ascii="Times New Roman" w:cs="Times New Roman" w:eastAsia="Times New Roman" w:hAnsi="Times New Roman"/>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spacing w:after="160" w:before="240"/>
      </w:pPr>
      <w:bookmarkStart w:name="h_19" w:id="19"/>
      <w:r>
        <w:rPr>
          <w:rFonts w:ascii="Times New Roman" w:cs="Times New Roman" w:eastAsia="Times New Roman" w:hAnsi="Times New Roman"/>
          <w:b/>
          <w:bCs/>
        </w:rPr>
        <w:t xml:space="preserve">1.7 Chapterisation</w:t>
      </w:r>
      <w:bookmarkEnd w:id="19"/>
    </w:p>
    <w:p>
      <w:pPr>
        <w:spacing w:after="160" w:line="360" w:lineRule="auto"/>
        <w:jc w:val="both"/>
      </w:pPr>
      <w:r>
        <w:rPr>
          <w:rFonts w:ascii="Times New Roman" w:cs="Times New Roman" w:eastAsia="Times New Roman" w:hAnsi="Times New Roman"/>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60" w:line="360" w:lineRule="auto"/>
        <w:jc w:val="both"/>
      </w:pPr>
      <w:r>
        <w:rPr>
          <w:rFonts w:ascii="Times New Roman" w:cs="Times New Roman" w:eastAsia="Times New Roman" w:hAnsi="Times New Roman"/>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60" w:line="360" w:lineRule="auto"/>
        <w:jc w:val="both"/>
      </w:pPr>
      <w:r>
        <w:rPr>
          <w:rFonts w:ascii="Times New Roman" w:cs="Times New Roman" w:eastAsia="Times New Roman" w:hAnsi="Times New Roman"/>
          <w:sz w:val="24"/>
          <w:szCs w:val="24"/>
        </w:rPr>
        <w:t xml:space="preserve">Chapter 3 presents the research methodology. It explains the objective and hypothesis, variable definitions, research design, sample approach, data-collection procedure, questionnaire, SPSS-based analysis record, ethical considerations, limitations, and analysis plan.</w:t>
      </w:r>
    </w:p>
    <w:p>
      <w:pPr>
        <w:spacing w:after="160" w:line="360" w:lineRule="auto"/>
        <w:jc w:val="both"/>
      </w:pPr>
      <w:r>
        <w:rPr>
          <w:rFonts w:ascii="Times New Roman" w:cs="Times New Roman" w:eastAsia="Times New Roman" w:hAnsi="Times New Roman"/>
          <w:sz w:val="24"/>
          <w:szCs w:val="24"/>
        </w:rPr>
        <w:t xml:space="preserve">Chapter 4 presents the data analysis and interpretation. Chapter 5 brings together the findings, contribution, limitations, future directions, and conclusion.</w:t>
      </w:r>
    </w:p>
    <w:p>
      <w:r>
        <w:br w:type="page"/>
      </w:r>
    </w:p>
    <w:p>
      <w:pPr>
        <w:pStyle w:val="Heading1"/>
        <w:keepNext/>
        <w:spacing w:after="160" w:before="0"/>
      </w:pPr>
      <w:bookmarkStart w:name="h_20" w:id="20"/>
      <w:r>
        <w:rPr>
          <w:rFonts w:ascii="Times New Roman" w:cs="Times New Roman" w:eastAsia="Times New Roman" w:hAnsi="Times New Roman"/>
          <w:b/>
          <w:bCs/>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rPr>
        <w:t xml:space="preserve">Hybrid Learning as an Integrated Training Design</w:t>
      </w:r>
      <w:bookmarkEnd w:id="22"/>
    </w:p>
    <w:p>
      <w:pPr>
        <w:spacing w:after="160" w:line="360" w:lineRule="auto"/>
        <w:jc w:val="both"/>
      </w:pPr>
      <w:r>
        <w:rPr>
          <w:rFonts w:ascii="Times New Roman" w:cs="Times New Roman" w:eastAsia="Times New Roman" w:hAnsi="Times New Roman"/>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60" w:line="360" w:lineRule="auto"/>
        <w:jc w:val="both"/>
      </w:pPr>
      <w:r>
        <w:rPr>
          <w:rFonts w:ascii="Times New Roman" w:cs="Times New Roman" w:eastAsia="Times New Roman" w:hAnsi="Times New Roman"/>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60" w:line="360" w:lineRule="auto"/>
        <w:jc w:val="both"/>
      </w:pPr>
      <w:r>
        <w:rPr>
          <w:rFonts w:ascii="Times New Roman" w:cs="Times New Roman" w:eastAsia="Times New Roman" w:hAnsi="Times New Roman"/>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60" w:line="360" w:lineRule="auto"/>
        <w:jc w:val="both"/>
      </w:pPr>
      <w:r>
        <w:rPr>
          <w:rFonts w:ascii="Times New Roman" w:cs="Times New Roman" w:eastAsia="Times New Roman" w:hAnsi="Times New Roman"/>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empirical studies involving 18,464 student participants and reported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findings suggest that a well-designed blended environment can support learning. However, students and employees work under different conditions. Employees may need to learn alongside customer service, routine operational work, deadlines, and changing procedures. These meta-analyses provide useful background, but their student results cannot be assumed to hold for Union Bank employees.</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60" w:line="360" w:lineRule="auto"/>
        <w:jc w:val="both"/>
      </w:pPr>
      <w:r>
        <w:rPr>
          <w:rFonts w:ascii="Times New Roman" w:cs="Times New Roman" w:eastAsia="Times New Roman" w:hAnsi="Times New Roman"/>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Mulaudzi’s work also helped shape the questionnaire’s practical wording on access, materials, and connected learning. Its instrument was not adopted as a corporate scale.</w:t>
      </w:r>
    </w:p>
    <w:p>
      <w:pPr>
        <w:spacing w:after="160" w:line="360" w:lineRule="auto"/>
        <w:jc w:val="both"/>
      </w:pPr>
      <w:r>
        <w:rPr>
          <w:rFonts w:ascii="Times New Roman" w:cs="Times New Roman" w:eastAsia="Times New Roman" w:hAnsi="Times New Roman"/>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Its value here lies in the way it brings integration, access, material availability, and revision into the assessment of a blended environment.</w:t>
      </w:r>
    </w:p>
    <w:p>
      <w:pPr>
        <w:spacing w:after="160" w:line="360" w:lineRule="auto"/>
        <w:jc w:val="both"/>
      </w:pPr>
      <w:r>
        <w:rPr>
          <w:rFonts w:ascii="Times New Roman" w:cs="Times New Roman" w:eastAsia="Times New Roman" w:hAnsi="Times New Roman"/>
          <w:sz w:val="24"/>
          <w:szCs w:val="24"/>
        </w:rPr>
        <w:t xml:space="preserve">Sosnova, Hlianenko, Sosnova, Tsyna and Tsyna (2025) serve as the conceptual base paper for this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40"/>
      </w:pPr>
      <w:bookmarkStart w:name="h_23" w:id="23"/>
      <w:r>
        <w:rPr>
          <w:rFonts w:ascii="Times New Roman" w:cs="Times New Roman" w:eastAsia="Times New Roman" w:hAnsi="Times New Roman"/>
          <w:b/>
          <w:bCs/>
        </w:rPr>
        <w:t xml:space="preserve">Hybrid Training and Effectiveness in Corporate Settings</w:t>
      </w:r>
      <w:bookmarkEnd w:id="23"/>
    </w:p>
    <w:p>
      <w:pPr>
        <w:spacing w:after="160" w:line="360" w:lineRule="auto"/>
        <w:jc w:val="both"/>
      </w:pPr>
      <w:r>
        <w:rPr>
          <w:rFonts w:ascii="Times New Roman" w:cs="Times New Roman" w:eastAsia="Times New Roman" w:hAnsi="Times New Roman"/>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60" w:line="360" w:lineRule="auto"/>
        <w:jc w:val="both"/>
      </w:pPr>
      <w:r>
        <w:rPr>
          <w:rFonts w:ascii="Times New Roman" w:cs="Times New Roman" w:eastAsia="Times New Roman" w:hAnsi="Times New Roman"/>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60" w:line="360" w:lineRule="auto"/>
        <w:jc w:val="both"/>
      </w:pPr>
      <w:r>
        <w:rPr>
          <w:rFonts w:ascii="Times New Roman" w:cs="Times New Roman" w:eastAsia="Times New Roman" w:hAnsi="Times New Roman"/>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60" w:line="360" w:lineRule="auto"/>
        <w:jc w:val="both"/>
      </w:pPr>
      <w:r>
        <w:rPr>
          <w:rFonts w:ascii="Times New Roman" w:cs="Times New Roman" w:eastAsia="Times New Roman" w:hAnsi="Times New Roman"/>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60" w:line="360" w:lineRule="auto"/>
        <w:jc w:val="both"/>
      </w:pPr>
      <w:r>
        <w:rPr>
          <w:rFonts w:ascii="Times New Roman" w:cs="Times New Roman" w:eastAsia="Times New Roman" w:hAnsi="Times New Roman"/>
          <w:sz w:val="24"/>
          <w:szCs w:val="24"/>
        </w:rPr>
        <w:t xml:space="preserve">Kim’s comparison is especially useful for interpreting what a delivery label can and cannot tell us. The hybrid group took part in a programme organised differently from the traditional and fully digital groups, but the label “hybrid” does not describe every employee’s access to materials, preparation, participation, or opportunity to practise. Those details matter in a bank where staff may attend training from different branches or offices while continuing their regular work. The present questionnaire therefore asks employees to evaluate the connection between activities and the support they experienced in one programme. It does not ask them to rank hybrid training against a classroom-only or digital-only programme that they may not have attended.</w:t>
      </w:r>
    </w:p>
    <w:p>
      <w:pPr>
        <w:spacing w:after="160" w:line="360" w:lineRule="auto"/>
        <w:jc w:val="both"/>
      </w:pPr>
      <w:r>
        <w:rPr>
          <w:rFonts w:ascii="Times New Roman" w:cs="Times New Roman" w:eastAsia="Times New Roman" w:hAnsi="Times New Roman"/>
          <w:sz w:val="24"/>
          <w:szCs w:val="24"/>
        </w:rPr>
        <w:t xml:space="preserve">The same distinction matters for interpreting effectiveness. Kim’s study evaluates a corporate training arrangement and records differences across delivery methods. The present study asks individual employees how useful their selected programme was for understanding and applying work-related learning. These are related questions, but they use different designs and cannot be expected to give identical results. Kim gives a reason to examine hybrid training in a workplace; the Union Bank survey adds employee-level evidence about the parts of the experience that may be associated with its perceived effectiveness.</w:t>
      </w:r>
    </w:p>
    <w:p>
      <w:pPr>
        <w:spacing w:after="160" w:line="360" w:lineRule="auto"/>
        <w:jc w:val="both"/>
      </w:pPr>
      <w:r>
        <w:rPr>
          <w:rFonts w:ascii="Times New Roman" w:cs="Times New Roman" w:eastAsia="Times New Roman" w:hAnsi="Times New Roman"/>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60" w:line="360" w:lineRule="auto"/>
        <w:jc w:val="both"/>
      </w:pPr>
      <w:r>
        <w:rPr>
          <w:rFonts w:ascii="Times New Roman" w:cs="Times New Roman" w:eastAsia="Times New Roman" w:hAnsi="Times New Roman"/>
          <w:sz w:val="24"/>
          <w:szCs w:val="24"/>
        </w:rPr>
        <w:t xml:space="preserve">Uddin et al. are used as supporting workplace literature. Their soft-skill, knowledge-acquisition, and performance pathways would require additional measures beyond the four constructs examined here.</w:t>
      </w:r>
    </w:p>
    <w:p>
      <w:pPr>
        <w:pStyle w:val="Heading3"/>
        <w:keepNext/>
        <w:spacing w:after="160" w:before="240"/>
      </w:pPr>
      <w:bookmarkStart w:name="h_24" w:id="24"/>
      <w:r>
        <w:rPr>
          <w:rFonts w:ascii="Times New Roman" w:cs="Times New Roman" w:eastAsia="Times New Roman" w:hAnsi="Times New Roman"/>
          <w:b/>
          <w:bCs/>
        </w:rPr>
        <w:t xml:space="preserve">Trainer Competence in Hybrid Training</w:t>
      </w:r>
      <w:bookmarkEnd w:id="24"/>
    </w:p>
    <w:p>
      <w:pPr>
        <w:spacing w:after="160" w:line="360" w:lineRule="auto"/>
        <w:jc w:val="both"/>
      </w:pPr>
      <w:r>
        <w:rPr>
          <w:rFonts w:ascii="Times New Roman" w:cs="Times New Roman" w:eastAsia="Times New Roman" w:hAnsi="Times New Roman"/>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60" w:line="360" w:lineRule="auto"/>
        <w:jc w:val="both"/>
      </w:pPr>
      <w:r>
        <w:rPr>
          <w:rFonts w:ascii="Times New Roman" w:cs="Times New Roman" w:eastAsia="Times New Roman" w:hAnsi="Times New Roman"/>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For this reason, the questionnaire measures Hybrid Learning and Trainer Competence separately.</w:t>
      </w:r>
    </w:p>
    <w:p>
      <w:pPr>
        <w:spacing w:after="160" w:line="360" w:lineRule="auto"/>
        <w:jc w:val="both"/>
      </w:pPr>
      <w:r>
        <w:rPr>
          <w:rFonts w:ascii="Times New Roman" w:cs="Times New Roman" w:eastAsia="Times New Roman" w:hAnsi="Times New Roman"/>
          <w:sz w:val="24"/>
          <w:szCs w:val="24"/>
        </w:rPr>
        <w:t xml:space="preserve">The selected base papers do not provide one open workplace study that measures Trainer Competence and Learner Engagement together in this exact model.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60" w:line="360" w:lineRule="auto"/>
        <w:jc w:val="both"/>
      </w:pPr>
      <w:r>
        <w:rPr>
          <w:rFonts w:ascii="Times New Roman" w:cs="Times New Roman" w:eastAsia="Times New Roman" w:hAnsi="Times New Roman"/>
          <w:sz w:val="24"/>
          <w:szCs w:val="24"/>
        </w:rPr>
        <w:t xml:space="preserve">Together, these studies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40"/>
      </w:pPr>
      <w:bookmarkStart w:name="h_25" w:id="25"/>
      <w:r>
        <w:rPr>
          <w:rFonts w:ascii="Times New Roman" w:cs="Times New Roman" w:eastAsia="Times New Roman" w:hAnsi="Times New Roman"/>
          <w:b/>
          <w:bCs/>
        </w:rPr>
        <w:t xml:space="preserve">Learner Engagement</w:t>
      </w:r>
      <w:bookmarkEnd w:id="25"/>
    </w:p>
    <w:p>
      <w:pPr>
        <w:spacing w:after="160" w:line="360" w:lineRule="auto"/>
        <w:jc w:val="both"/>
      </w:pPr>
      <w:r>
        <w:rPr>
          <w:rFonts w:ascii="Times New Roman" w:cs="Times New Roman" w:eastAsia="Times New Roman" w:hAnsi="Times New Roman"/>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60" w:line="360" w:lineRule="auto"/>
        <w:jc w:val="both"/>
      </w:pPr>
      <w:r>
        <w:rPr>
          <w:rFonts w:ascii="Times New Roman" w:cs="Times New Roman" w:eastAsia="Times New Roman" w:hAnsi="Times New Roman"/>
          <w:sz w:val="24"/>
          <w:szCs w:val="24"/>
        </w:rPr>
        <w:t xml:space="preserve">Schaufeli, Bakker and Salanova (2006) describe engagement in the work context through vigour, dedication, and absorption. Their scale measures work engagement rather than participation in a specific training programme. The useful principle here is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60" w:line="360" w:lineRule="auto"/>
        <w:jc w:val="both"/>
      </w:pPr>
      <w:r>
        <w:rPr>
          <w:rFonts w:ascii="Times New Roman" w:cs="Times New Roman" w:eastAsia="Times New Roman" w:hAnsi="Times New Roman"/>
          <w:sz w:val="24"/>
          <w:szCs w:val="24"/>
        </w:rPr>
        <w:t xml:space="preserve">Learner Engagement is retained as a separate independent variable for a practical reason. A connected programme and a competent trainer can support learning, but they cannot fully determine whether an employee remains attentive, participates, asks for clarification, or makes an effort to understand. Workload, time pressure, prior experience, digital confidence, motivation, and local work conditions may also influence engagement. The conceptual model therefore examines engagement’s own association with Training Effectiveness rather than assuming it lies on a fixed pathway between the other constructs and the outcome.</w:t>
      </w:r>
    </w:p>
    <w:p>
      <w:pPr>
        <w:pStyle w:val="Heading3"/>
        <w:keepNext/>
        <w:spacing w:after="160" w:before="240"/>
      </w:pPr>
      <w:bookmarkStart w:name="h_26" w:id="26"/>
      <w:r>
        <w:rPr>
          <w:rFonts w:ascii="Times New Roman" w:cs="Times New Roman" w:eastAsia="Times New Roman" w:hAnsi="Times New Roman"/>
          <w:b/>
          <w:bCs/>
        </w:rPr>
        <w:t xml:space="preserve">Training Effectiveness</w:t>
      </w:r>
      <w:bookmarkEnd w:id="26"/>
    </w:p>
    <w:p>
      <w:pPr>
        <w:spacing w:after="160" w:line="360" w:lineRule="auto"/>
        <w:jc w:val="both"/>
      </w:pPr>
      <w:r>
        <w:rPr>
          <w:rFonts w:ascii="Times New Roman" w:cs="Times New Roman" w:eastAsia="Times New Roman" w:hAnsi="Times New Roman"/>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60" w:line="360" w:lineRule="auto"/>
        <w:jc w:val="both"/>
      </w:pPr>
      <w:r>
        <w:rPr>
          <w:rFonts w:ascii="Times New Roman" w:cs="Times New Roman" w:eastAsia="Times New Roman" w:hAnsi="Times New Roman"/>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60" w:line="360" w:lineRule="auto"/>
        <w:jc w:val="both"/>
      </w:pPr>
      <w:r>
        <w:rPr>
          <w:rFonts w:ascii="Times New Roman" w:cs="Times New Roman" w:eastAsia="Times New Roman" w:hAnsi="Times New Roman"/>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60" w:line="360" w:lineRule="auto"/>
        <w:jc w:val="both"/>
      </w:pPr>
      <w:r>
        <w:rPr>
          <w:rFonts w:ascii="Times New Roman" w:cs="Times New Roman" w:eastAsia="Times New Roman" w:hAnsi="Times New Roman"/>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60" w:line="360" w:lineRule="auto"/>
        <w:jc w:val="both"/>
      </w:pPr>
      <w:r>
        <w:rPr>
          <w:rFonts w:ascii="Times New Roman" w:cs="Times New Roman" w:eastAsia="Times New Roman" w:hAnsi="Times New Roman"/>
          <w:sz w:val="24"/>
          <w:szCs w:val="24"/>
        </w:rPr>
        <w:t xml:space="preserve">Aziz (2015) developed a General Training Effectiveness Scale for Malaysian workplace learning. The study is useful because it separates learning and individual performance from organisation-level outcomes. The questionnaire follows this employee-level logic and leaves out organisation-level items. Its wording is adapted to Union Bank training, with content review, a pilot, and reliability analysis used to assess the instrument.</w:t>
      </w:r>
    </w:p>
    <w:p>
      <w:pPr>
        <w:spacing w:after="160" w:line="360" w:lineRule="auto"/>
        <w:jc w:val="both"/>
      </w:pPr>
      <w:r>
        <w:rPr>
          <w:rFonts w:ascii="Times New Roman" w:cs="Times New Roman" w:eastAsia="Times New Roman" w:hAnsi="Times New Roman"/>
          <w:sz w:val="24"/>
          <w:szCs w:val="24"/>
        </w:rPr>
        <w:t xml:space="preserve">The banking setting does not remove the need to define the outcome carefully. Bahl, Kiran and Sharma (2024) use Kirkpatrick’s levels to examine a wider chain of training evaluation, including results. That framework is valuable for a bank seeking to review its training system, but the present survey has no independent records of branch productivity, customer outcomes, or changes in work behaviour observed over time. It can ask whether employees understood the content, saw its relevance, and felt able to use it in their responsibilities. These are employee-reported indications of Training Effectiveness, not a complete Kirkpatrick evaluation.</w:t>
      </w:r>
    </w:p>
    <w:p>
      <w:pPr>
        <w:spacing w:after="160" w:line="360" w:lineRule="auto"/>
        <w:jc w:val="both"/>
      </w:pPr>
      <w:r>
        <w:rPr>
          <w:rFonts w:ascii="Times New Roman" w:cs="Times New Roman" w:eastAsia="Times New Roman" w:hAnsi="Times New Roman"/>
          <w:sz w:val="24"/>
          <w:szCs w:val="24"/>
        </w:rPr>
        <w:t xml:space="preserve">Aziz (2015) helps make this narrower measurement choice explicit. A workplace scale can distinguish what an employee learned or applied from what the organisation achieved. For the Union Bank questionnaire, this distinction prevents a respondent from being asked to estimate a Bank-wide result that they could not reasonably know from one recent programme. It also helps explain why the study does not include Job Performance as a fifth variable. A claim about actual performance would require a suitable measure and, ideally, evidence beyond the same employee’s account of the training experience.</w:t>
      </w:r>
    </w:p>
    <w:p>
      <w:pPr>
        <w:pStyle w:val="Heading3"/>
        <w:keepNext/>
        <w:spacing w:after="160" w:before="240"/>
      </w:pPr>
      <w:bookmarkStart w:name="h_27" w:id="27"/>
      <w:r>
        <w:rPr>
          <w:rFonts w:ascii="Times New Roman" w:cs="Times New Roman" w:eastAsia="Times New Roman" w:hAnsi="Times New Roman"/>
          <w:b/>
          <w:bCs/>
        </w:rPr>
        <w:t xml:space="preserve">Workplace Implementation Conditions</w:t>
      </w:r>
      <w:bookmarkEnd w:id="27"/>
    </w:p>
    <w:p>
      <w:pPr>
        <w:spacing w:after="160" w:line="360" w:lineRule="auto"/>
        <w:jc w:val="both"/>
      </w:pPr>
      <w:r>
        <w:rPr>
          <w:rFonts w:ascii="Times New Roman" w:cs="Times New Roman" w:eastAsia="Times New Roman" w:hAnsi="Times New Roman"/>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60" w:line="360" w:lineRule="auto"/>
        <w:jc w:val="both"/>
      </w:pPr>
      <w:r>
        <w:rPr>
          <w:rFonts w:ascii="Times New Roman" w:cs="Times New Roman" w:eastAsia="Times New Roman" w:hAnsi="Times New Roman"/>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60" w:line="360" w:lineRule="auto"/>
        <w:jc w:val="both"/>
      </w:pPr>
      <w:r>
        <w:rPr>
          <w:rFonts w:ascii="Times New Roman" w:cs="Times New Roman" w:eastAsia="Times New Roman" w:hAnsi="Times New Roman"/>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survey asks whether employees experienced the two modes as connected and whether they could access the platform and materials when needed; it does not compare different training sequences.</w:t>
      </w:r>
    </w:p>
    <w:p>
      <w:pPr>
        <w:spacing w:after="160" w:line="360" w:lineRule="auto"/>
        <w:jc w:val="both"/>
      </w:pPr>
      <w:r>
        <w:rPr>
          <w:rFonts w:ascii="Times New Roman" w:cs="Times New Roman" w:eastAsia="Times New Roman" w:hAnsi="Times New Roman"/>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40"/>
      </w:pPr>
      <w:bookmarkStart w:name="h_28" w:id="28"/>
      <w:r>
        <w:rPr>
          <w:rFonts w:ascii="Times New Roman" w:cs="Times New Roman" w:eastAsia="Times New Roman" w:hAnsi="Times New Roman"/>
          <w:b/>
          <w:bCs/>
        </w:rPr>
        <w:t xml:space="preserve">Use of the Literature in Practical Recommendations</w:t>
      </w:r>
      <w:bookmarkEnd w:id="28"/>
    </w:p>
    <w:p>
      <w:pPr>
        <w:spacing w:after="160" w:line="360" w:lineRule="auto"/>
        <w:jc w:val="both"/>
      </w:pPr>
      <w:r>
        <w:rPr>
          <w:rFonts w:ascii="Times New Roman" w:cs="Times New Roman" w:eastAsia="Times New Roman" w:hAnsi="Times New Roman"/>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60" w:line="360" w:lineRule="auto"/>
        <w:jc w:val="both"/>
      </w:pPr>
      <w:r>
        <w:rPr>
          <w:rFonts w:ascii="Times New Roman" w:cs="Times New Roman" w:eastAsia="Times New Roman" w:hAnsi="Times New Roman"/>
          <w:sz w:val="24"/>
          <w:szCs w:val="24"/>
        </w:rPr>
        <w:t xml:space="preserve">The completed survey can indicate where employees saw strengths or difficulties in one recent programme. The literature then helps interpret those responses and identify practical areas for review.</w:t>
      </w:r>
    </w:p>
    <w:p>
      <w:pPr>
        <w:pStyle w:val="Heading3"/>
        <w:keepNext/>
        <w:spacing w:after="160" w:before="240"/>
      </w:pPr>
      <w:bookmarkStart w:name="h_29" w:id="29"/>
      <w:r>
        <w:rPr>
          <w:rFonts w:ascii="Times New Roman" w:cs="Times New Roman" w:eastAsia="Times New Roman" w:hAnsi="Times New Roman"/>
          <w:b/>
          <w:bCs/>
        </w:rPr>
        <w:t xml:space="preserve">Summary of the Empirical Review</w:t>
      </w:r>
      <w:bookmarkEnd w:id="29"/>
    </w:p>
    <w:p>
      <w:pPr>
        <w:spacing w:after="160" w:line="360" w:lineRule="auto"/>
        <w:jc w:val="both"/>
      </w:pPr>
      <w:r>
        <w:rPr>
          <w:rFonts w:ascii="Times New Roman" w:cs="Times New Roman" w:eastAsia="Times New Roman" w:hAnsi="Times New Roman"/>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60" w:line="360" w:lineRule="auto"/>
        <w:jc w:val="both"/>
      </w:pPr>
      <w:r>
        <w:rPr>
          <w:rFonts w:ascii="Times New Roman" w:cs="Times New Roman" w:eastAsia="Times New Roman" w:hAnsi="Times New Roman"/>
          <w:sz w:val="24"/>
          <w:szCs w:val="24"/>
        </w:rPr>
        <w:t xml:space="preserve">No single source supplies the complete model or a ready-made Union Bank questionnaire. The survey brings together relevant ideas from these papers, while Appendix B records the literature basis and adaptation of each scored item.</w:t>
      </w:r>
    </w:p>
    <w:p>
      <w:pPr>
        <w:pStyle w:val="Heading3"/>
        <w:keepNext/>
        <w:spacing w:after="160" w:before="240"/>
      </w:pPr>
      <w:bookmarkStart w:name="h_30" w:id="30"/>
      <w:r>
        <w:rPr>
          <w:rFonts w:ascii="Times New Roman" w:cs="Times New Roman" w:eastAsia="Times New Roman" w:hAnsi="Times New Roman"/>
          <w:b/>
          <w:bCs/>
        </w:rPr>
        <w:t xml:space="preserve">Comparison of the Three Base Papers</w:t>
      </w:r>
      <w:bookmarkEnd w:id="30"/>
    </w:p>
    <w:p>
      <w:pPr>
        <w:spacing w:after="160" w:line="360" w:lineRule="auto"/>
        <w:jc w:val="both"/>
      </w:pPr>
      <w:r>
        <w:rPr>
          <w:rFonts w:ascii="Times New Roman" w:cs="Times New Roman" w:eastAsia="Times New Roman" w:hAnsi="Times New Roman"/>
          <w:sz w:val="24"/>
          <w:szCs w:val="24"/>
        </w:rPr>
        <w:t xml:space="preserve">The three base papers answer different parts of the research problem. Sosnova et al. (2025) connect hybrid methods with learning effectiveness, but their participants were students. Kim (2022) places hybrid delivery inside an employee-training programme, but the population was automotive sales trainees rather than bank staff. Bahl, Kiran and Sharma (2024) study training effectiveness among Indian bank employees, but they do not examine hybrid delivery. Taken together, the papers provide a reason to ask the present question in Union Bank. None supplies an earlier result that can simply be repeated in Chennai.</w:t>
      </w:r>
    </w:p>
    <w:p>
      <w:pPr>
        <w:spacing w:after="160" w:line="360" w:lineRule="auto"/>
        <w:jc w:val="both"/>
      </w:pPr>
      <w:r>
        <w:rPr>
          <w:rFonts w:ascii="Times New Roman" w:cs="Times New Roman" w:eastAsia="Times New Roman" w:hAnsi="Times New Roman"/>
          <w:sz w:val="24"/>
          <w:szCs w:val="24"/>
        </w:rPr>
        <w:t xml:space="preserve">Their methods also differ in ways that affect how their findings can be used. Sosnova and Kim compare learning arrangements or outcomes across delivery conditions. Bahl and colleagues evaluate training through a multi-level framework. The present study uses a one-time employee questionnaire and a single regression model. It can describe how employees rated four aspects of one recent programme and whether three of those ratings jointly relate to perceived Training Effectiveness. It cannot claim that changing the delivery mode would reproduce Kim’s results, that employees achieved the learning outcomes observed by Sosnova, or that the Bank obtained the organisational results considered in Bahl’s framework.</w:t>
      </w:r>
    </w:p>
    <w:p>
      <w:pPr>
        <w:spacing w:after="160" w:line="360" w:lineRule="auto"/>
        <w:jc w:val="both"/>
      </w:pPr>
      <w:r>
        <w:rPr>
          <w:rFonts w:ascii="Times New Roman" w:cs="Times New Roman" w:eastAsia="Times New Roman" w:hAnsi="Times New Roman"/>
          <w:sz w:val="24"/>
          <w:szCs w:val="24"/>
        </w:rPr>
        <w:t xml:space="preserve">The comparison shows why Trainer Competence and Learner Engagement need separate attention. Kim discusses the role of instructors, participation, and practice in a corporate programme. Mulaudzi (2021) adds workplace detail about facilitation, time, and access to learning resources. Schaufeli, Bakker and Salanova (2006) provide a way to think about active effort and involvement, although their scale measures general work engagement. These sources do not prove that a capable trainer automatically produces an engaged learner. An employee may receive a clear explanation yet have limited time to prepare or ask questions because of branch responsibilities. The present study consequently treats trainer support and the employee’s own participation as related, measurable experiences rather than two names for the same thing.</w:t>
      </w:r>
    </w:p>
    <w:p>
      <w:pPr>
        <w:spacing w:after="160" w:line="360" w:lineRule="auto"/>
        <w:jc w:val="both"/>
      </w:pPr>
      <w:r>
        <w:rPr>
          <w:rFonts w:ascii="Times New Roman" w:cs="Times New Roman" w:eastAsia="Times New Roman" w:hAnsi="Times New Roman"/>
          <w:sz w:val="24"/>
          <w:szCs w:val="24"/>
        </w:rPr>
        <w:t xml:space="preserve">The measurement sources perform a different role from the base papers. Han and Ellis (2020) show how the perceived connection between online and face-to-face learning can be examined through questionnaire items. Mulaudzi (2021) brings the language of workplace access and learning conditions into view. Aziz (2015) helps restrict the outcome to learning and individual application that an employee can report. The questionnaire adapts these ideas to one selected Union Bank programme, and its item-to-source links are recorded separately. This approach makes the instrument traceable while recognising that a student scale, a transport-sector questionnaire, and a general workplace effectiveness scale cannot be presented as a validated Union Bank measure.</w:t>
      </w:r>
    </w:p>
    <w:p>
      <w:pPr>
        <w:spacing w:after="160" w:line="360" w:lineRule="auto"/>
        <w:jc w:val="both"/>
      </w:pPr>
      <w:r>
        <w:rPr>
          <w:rFonts w:ascii="Times New Roman" w:cs="Times New Roman" w:eastAsia="Times New Roman" w:hAnsi="Times New Roman"/>
          <w:sz w:val="24"/>
          <w:szCs w:val="24"/>
        </w:rPr>
        <w:t xml:space="preserve">This literature leads to a focused question rather than a general claim that hybrid training is good or bad. In a bank with both digital resources and trainer-led learning, do employees who rate the integration of modes, trainer competence, and their own engagement more positively also report stronger Training Effectiveness? The answer may help identify where a programme needs review. The available design still requires restraint: it observes perceptions at one point in time and does not establish which training condition came first or caused the reported outcome.</w:t>
      </w:r>
    </w:p>
    <w:p>
      <w:pPr>
        <w:pStyle w:val="Heading3"/>
        <w:keepNext/>
        <w:spacing w:after="160" w:before="240"/>
      </w:pPr>
      <w:bookmarkStart w:name="h_31" w:id="31"/>
      <w:r>
        <w:rPr>
          <w:rFonts w:ascii="Times New Roman" w:cs="Times New Roman" w:eastAsia="Times New Roman" w:hAnsi="Times New Roman"/>
          <w:b/>
          <w:bCs/>
        </w:rPr>
        <w:t xml:space="preserve">Literature Summary</w:t>
      </w:r>
      <w:bookmarkEnd w:id="31"/>
    </w:p>
    <w:p>
      <w:pPr>
        <w:keepNext/>
        <w:spacing w:after="120" w:before="160"/>
        <w:jc w:val="center"/>
      </w:pPr>
      <w:bookmarkStart w:name="tbl_32" w:id="32"/>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rPr>
        <w:t xml:space="preserve">Blended-Learning Integration</w:t>
      </w:r>
      <w:bookmarkEnd w:id="34"/>
    </w:p>
    <w:p>
      <w:pPr>
        <w:spacing w:after="160" w:line="360" w:lineRule="auto"/>
        <w:jc w:val="both"/>
      </w:pPr>
      <w:r>
        <w:rPr>
          <w:rFonts w:ascii="Times New Roman" w:cs="Times New Roman" w:eastAsia="Times New Roman" w:hAnsi="Times New Roman"/>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spacing w:after="160" w:line="360" w:lineRule="auto"/>
        <w:jc w:val="both"/>
      </w:pPr>
      <w:r>
        <w:rPr>
          <w:rFonts w:ascii="Times New Roman" w:cs="Times New Roman" w:eastAsia="Times New Roman" w:hAnsi="Times New Roman"/>
          <w:sz w:val="24"/>
          <w:szCs w:val="24"/>
        </w:rPr>
        <w:t xml:space="preserve">Integration has a practical meaning in employee training. Before a trainer-led session, digital material can introduce a topic or give employees a common starting point. The session can then be used for explanation, questions, cases, and practice. Digital resources may also remain available afterwards when an employee needs to revisit a step in a procedure. This is only one possible sequence; a programme may begin with a live explanation and use digital material for follow-up. The key issue is whether the employee can recognise a connection between the activities and the work need they address.</w:t>
      </w:r>
    </w:p>
    <w:p>
      <w:pPr>
        <w:spacing w:after="160" w:line="360" w:lineRule="auto"/>
        <w:jc w:val="both"/>
      </w:pPr>
      <w:r>
        <w:rPr>
          <w:rFonts w:ascii="Times New Roman" w:cs="Times New Roman" w:eastAsia="Times New Roman" w:hAnsi="Times New Roman"/>
          <w:sz w:val="24"/>
          <w:szCs w:val="24"/>
        </w:rPr>
        <w:t xml:space="preserve">This perspective helps distinguish the design of a programme from the technology that carries part of it. A platform can make a module available, but it does not decide whether the module prepares employees for a later discussion or whether a trainer refers to it during the session. Conversely, a well-run classroom activity may lose some value when employees have no accessible resource for revision after returning to their branch. The Hybrid Learning questions therefore cover both the connection between modes and the employee’s access to material. They do not treat a digital login or recorded completion as a sufficient measure of an integrated learning experience.</w:t>
      </w:r>
    </w:p>
    <w:p>
      <w:pPr>
        <w:pStyle w:val="Heading3"/>
        <w:keepNext/>
        <w:spacing w:after="160" w:before="240"/>
      </w:pPr>
      <w:bookmarkStart w:name="h_35" w:id="35"/>
      <w:r>
        <w:rPr>
          <w:rFonts w:ascii="Times New Roman" w:cs="Times New Roman" w:eastAsia="Times New Roman" w:hAnsi="Times New Roman"/>
          <w:b/>
          <w:bCs/>
        </w:rPr>
        <w:t xml:space="preserve">Separate Employee-Level Predictors</w:t>
      </w:r>
      <w:bookmarkEnd w:id="35"/>
    </w:p>
    <w:p>
      <w:pPr>
        <w:spacing w:after="160" w:line="360" w:lineRule="auto"/>
        <w:jc w:val="both"/>
      </w:pPr>
      <w:r>
        <w:rPr>
          <w:rFonts w:ascii="Times New Roman" w:cs="Times New Roman" w:eastAsia="Times New Roman" w:hAnsi="Times New Roman"/>
          <w:sz w:val="24"/>
          <w:szCs w:val="24"/>
        </w:rPr>
        <w:t xml:space="preserve">The second perspective is that Hybrid Learning, Trainer Competence, and Learner Engagement are related but distinct employee-level conditions. Kim (2022) highlights instructional design, instructor involvement, participation, and practice in corporate training. Ansari et al. (2023) and Mulaudzi (2021) also show that facilitation and access conditions matter when learning is distributed across digital and face-to-face modes. At the same time, an employee’s engagement can be shaped by circumstances beyond the trainer and programme design. The present study therefore measures all three constructs separately and examines their joint association with Training Effectiveness.</w:t>
      </w:r>
    </w:p>
    <w:p>
      <w:pPr>
        <w:spacing w:after="160" w:line="360" w:lineRule="auto"/>
        <w:jc w:val="both"/>
      </w:pPr>
      <w:r>
        <w:rPr>
          <w:rFonts w:ascii="Times New Roman" w:cs="Times New Roman" w:eastAsia="Times New Roman" w:hAnsi="Times New Roman"/>
          <w:sz w:val="24"/>
          <w:szCs w:val="24"/>
        </w:rPr>
        <w:t xml:space="preserve">The distinction can be seen in an ordinary training situation. An employee may receive timely material and a clear explanation from a trainer yet be unable to take part fully because work demands compete for attention. Another employee may be keen to learn but have difficulty accessing the digital resource or finding out how it relates to the live session. These possibilities are why programme design, trainer support, and employee participation should not be collapsed into one favourable or unfavourable training rating. Each describes a different part of the learning experience that an HR or learning-and-development team could review.</w:t>
      </w:r>
    </w:p>
    <w:p>
      <w:pPr>
        <w:spacing w:after="160" w:line="360" w:lineRule="auto"/>
        <w:jc w:val="both"/>
      </w:pPr>
      <w:r>
        <w:rPr>
          <w:rFonts w:ascii="Times New Roman" w:cs="Times New Roman" w:eastAsia="Times New Roman" w:hAnsi="Times New Roman"/>
          <w:sz w:val="24"/>
          <w:szCs w:val="24"/>
        </w:rPr>
        <w:t xml:space="preserve">They may nevertheless move together in employee responses. A trainer who gives clear instructions can make a digital task easier to follow, and a connected programme can create more opportunities for participation. The research model allows such association between predictors. It does not draw a fixed pathway in which Hybrid Learning or Trainer Competence must first produce Learner Engagement. That would require stronger evidence about sequence and a different analysis. The present regression instead asks how the three measured experiences relate to Training Effectiveness when they are considered at the same time.</w:t>
      </w:r>
    </w:p>
    <w:p>
      <w:pPr>
        <w:pStyle w:val="Heading3"/>
        <w:keepNext/>
        <w:spacing w:after="160" w:before="240"/>
      </w:pPr>
      <w:bookmarkStart w:name="h_36" w:id="36"/>
      <w:r>
        <w:rPr>
          <w:rFonts w:ascii="Times New Roman" w:cs="Times New Roman" w:eastAsia="Times New Roman" w:hAnsi="Times New Roman"/>
          <w:b/>
          <w:bCs/>
        </w:rPr>
        <w:t xml:space="preserve">Training Evaluation and Transfer</w:t>
      </w:r>
      <w:bookmarkEnd w:id="36"/>
    </w:p>
    <w:p>
      <w:pPr>
        <w:spacing w:after="160" w:line="360" w:lineRule="auto"/>
        <w:jc w:val="both"/>
      </w:pPr>
      <w:r>
        <w:rPr>
          <w:rFonts w:ascii="Times New Roman" w:cs="Times New Roman" w:eastAsia="Times New Roman" w:hAnsi="Times New Roman"/>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pPr>
        <w:spacing w:after="160" w:line="360" w:lineRule="auto"/>
        <w:jc w:val="both"/>
      </w:pPr>
      <w:r>
        <w:rPr>
          <w:rFonts w:ascii="Times New Roman" w:cs="Times New Roman" w:eastAsia="Times New Roman" w:hAnsi="Times New Roman"/>
          <w:sz w:val="24"/>
          <w:szCs w:val="24"/>
        </w:rPr>
        <w:t xml:space="preserve">These sources are important because the word “effectiveness” can otherwise cover very different outcomes. A participant’s satisfaction with a trainer is a reaction to the programme. Understanding a concept is closer to a learning outcome. Using the concept later in a work task concerns application. A bank-wide change in service quality or productivity would be a further and much broader result. The questionnaire concentrates on the middle of this range: employees report what they understood, whether the material was relevant to their role, and whether they believe they have used or can use the learning. It does not ask them to estimate the effect of one programme on the Bank’s overall results.</w:t>
      </w:r>
    </w:p>
    <w:p>
      <w:pPr>
        <w:spacing w:after="160" w:line="360" w:lineRule="auto"/>
        <w:jc w:val="both"/>
      </w:pPr>
      <w:r>
        <w:rPr>
          <w:rFonts w:ascii="Times New Roman" w:cs="Times New Roman" w:eastAsia="Times New Roman" w:hAnsi="Times New Roman"/>
          <w:sz w:val="24"/>
          <w:szCs w:val="24"/>
        </w:rPr>
        <w:t xml:space="preserve">Transfer literature also prevents an overly simple interpretation of a positive training rating. Baldwin and Ford (1988) describe the movement of learning into work situations, while Holton (1996) points to conditions beyond the training event itself. In a branch, an employee may understand a procedure but not immediately have the opportunity, time, or support to apply it. A short survey conducted at one point cannot observe whether a skill is maintained over several months. It can, however, ask whether employees see a connection between training and current tasks. This employee-level account is useful if its limits are stated clearly.</w:t>
      </w:r>
    </w:p>
    <w:p>
      <w:pPr>
        <w:pStyle w:val="Heading3"/>
        <w:keepNext/>
        <w:spacing w:after="160" w:before="240"/>
      </w:pPr>
      <w:bookmarkStart w:name="h_37" w:id="37"/>
      <w:r>
        <w:rPr>
          <w:rFonts w:ascii="Times New Roman" w:cs="Times New Roman" w:eastAsia="Times New Roman" w:hAnsi="Times New Roman"/>
          <w:b/>
          <w:bCs/>
        </w:rPr>
        <w:t xml:space="preserve">Conceptual Framework</w:t>
      </w:r>
      <w:bookmarkEnd w:id="37"/>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three independent variables are examined together in relation to Training Effectiveness. The model does not assume a fixed sequence between programme design, trainer support, and employee engagement. The arrows show the predictor–outcome structure used in the SPSS multiple regression; they do not prove causation.</w:t>
      </w:r>
    </w:p>
    <w:p>
      <w:pPr>
        <w:spacing w:after="160" w:line="360" w:lineRule="auto"/>
        <w:jc w:val="both"/>
      </w:pPr>
      <w:r>
        <w:rPr>
          <w:rFonts w:ascii="Times New Roman" w:cs="Times New Roman" w:eastAsia="Times New Roman" w:hAnsi="Times New Roman"/>
          <w:sz w:val="24"/>
          <w:szCs w:val="24"/>
        </w:rPr>
        <w:t xml:space="preserve">The model also explains the role of the questionnaire blocks. Hybrid Learning questions concern the arrangement and accessibility of learning modes; Trainer Competence questions concern facilitation; Learner Engagement questions concern the employee’s own participation; and Training Effectiveness questions concern perceived learning and work relevance. Keeping these blocks visible allows the results to identify whether a high overall training rating hides a relatively weaker part of the experience. The regression provides one joint test of the first three constructs against the fourth, while the descriptive item responses show which practical questions the Bank may wish to examine more closely.</w:t>
      </w:r>
    </w:p>
    <w:p>
      <w:pPr>
        <w:pStyle w:val="Heading2"/>
        <w:keepNext/>
        <w:spacing w:after="160" w:before="240"/>
      </w:pPr>
      <w:bookmarkStart w:name="h_38" w:id="38"/>
      <w:r>
        <w:rPr>
          <w:rFonts w:ascii="Times New Roman" w:cs="Times New Roman" w:eastAsia="Times New Roman" w:hAnsi="Times New Roman"/>
          <w:b/>
          <w:bCs/>
        </w:rPr>
        <w:t xml:space="preserve">2.3 Case Study: Union Bank of India</w:t>
      </w:r>
      <w:bookmarkEnd w:id="38"/>
    </w:p>
    <w:p>
      <w:pPr>
        <w:spacing w:after="160" w:line="360" w:lineRule="auto"/>
        <w:jc w:val="both"/>
      </w:pPr>
      <w:r>
        <w:rPr>
          <w:rFonts w:ascii="Times New Roman" w:cs="Times New Roman" w:eastAsia="Times New Roman" w:hAnsi="Times New Roman"/>
          <w:sz w:val="24"/>
          <w:szCs w:val="24"/>
        </w:rPr>
        <w:t xml:space="preserve">The study is situated at Union Bank of India, with data collected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60" w:line="360" w:lineRule="auto"/>
        <w:jc w:val="both"/>
      </w:pPr>
      <w:r>
        <w:rPr>
          <w:rFonts w:ascii="Times New Roman" w:cs="Times New Roman" w:eastAsia="Times New Roman" w:hAnsi="Times New Roman"/>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describe physical trainer-led learning infrastructure; they do not establish the experience of every employee or the design of every programme.</w:t>
      </w:r>
    </w:p>
    <w:p>
      <w:pPr>
        <w:spacing w:after="160" w:line="360" w:lineRule="auto"/>
        <w:jc w:val="both"/>
      </w:pPr>
      <w:r>
        <w:rPr>
          <w:rFonts w:ascii="Times New Roman" w:cs="Times New Roman" w:eastAsia="Times New Roman" w:hAnsi="Times New Roman"/>
          <w:sz w:val="24"/>
          <w:szCs w:val="24"/>
        </w:rPr>
        <w:t xml:space="preserve">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60" w:line="360" w:lineRule="auto"/>
        <w:jc w:val="both"/>
      </w:pPr>
      <w:r>
        <w:rPr>
          <w:rFonts w:ascii="Times New Roman" w:cs="Times New Roman" w:eastAsia="Times New Roman" w:hAnsi="Times New Roman"/>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60" w:line="360" w:lineRule="auto"/>
        <w:jc w:val="both"/>
      </w:pPr>
      <w:r>
        <w:rPr>
          <w:rFonts w:ascii="Times New Roman" w:cs="Times New Roman" w:eastAsia="Times New Roman" w:hAnsi="Times New Roman"/>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40"/>
      </w:pPr>
      <w:bookmarkStart w:name="h_39" w:id="39"/>
      <w:r>
        <w:rPr>
          <w:rFonts w:ascii="Times New Roman" w:cs="Times New Roman" w:eastAsia="Times New Roman" w:hAnsi="Times New Roman"/>
          <w:b/>
          <w:bCs/>
        </w:rPr>
        <w:t xml:space="preserve">2.4 Gaps in the Study</w:t>
      </w:r>
      <w:bookmarkEnd w:id="39"/>
    </w:p>
    <w:p>
      <w:pPr>
        <w:spacing w:after="160" w:line="360" w:lineRule="auto"/>
        <w:jc w:val="both"/>
      </w:pPr>
      <w:r>
        <w:rPr>
          <w:rFonts w:ascii="Times New Roman" w:cs="Times New Roman" w:eastAsia="Times New Roman" w:hAnsi="Times New Roman"/>
          <w:sz w:val="24"/>
          <w:szCs w:val="24"/>
        </w:rPr>
        <w:t xml:space="preserve">The first gap is a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60" w:line="360" w:lineRule="auto"/>
        <w:jc w:val="both"/>
      </w:pPr>
      <w:r>
        <w:rPr>
          <w:rFonts w:ascii="Times New Roman" w:cs="Times New Roman" w:eastAsia="Times New Roman" w:hAnsi="Times New Roman"/>
          <w:sz w:val="24"/>
          <w:szCs w:val="24"/>
        </w:rPr>
        <w:t xml:space="preserve">The second gap is a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60" w:line="360" w:lineRule="auto"/>
        <w:jc w:val="both"/>
      </w:pPr>
      <w:r>
        <w:rPr>
          <w:rFonts w:ascii="Times New Roman" w:cs="Times New Roman" w:eastAsia="Times New Roman" w:hAnsi="Times New Roman"/>
          <w:sz w:val="24"/>
          <w:szCs w:val="24"/>
        </w:rPr>
        <w:t xml:space="preserve">The third gap is a </w:t>
      </w:r>
      <w:r>
        <w:rPr>
          <w:rFonts w:ascii="Times New Roman" w:cs="Times New Roman" w:eastAsia="Times New Roman" w:hAnsi="Times New Roman"/>
          <w:b/>
          <w:bCs/>
          <w:sz w:val="24"/>
          <w:szCs w:val="24"/>
        </w:rPr>
        <w:t xml:space="preserve">predictor-combination gap</w:t>
      </w:r>
      <w:r>
        <w:rPr>
          <w:rFonts w:ascii="Times New Roman" w:cs="Times New Roman" w:eastAsia="Times New Roman" w:hAnsi="Times New Roman"/>
          <w:sz w:val="24"/>
          <w:szCs w:val="24"/>
        </w:rPr>
        <w:t xml:space="preserve">.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Hybrid Learning, Trainer Competence, and Learner Engagement together as separate predictors of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fourth gap is a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was reviewed by the academic guide and piloted online with 20 eligible employees on 15–16 September 2026. The SPSS analysis reports overall internal consistency for the 26-item questionnaire; it does not provide separate reliability estimates for the four constructs.</w:t>
      </w:r>
    </w:p>
    <w:p>
      <w:pPr>
        <w:spacing w:after="160" w:line="360" w:lineRule="auto"/>
        <w:jc w:val="both"/>
      </w:pPr>
      <w:r>
        <w:rPr>
          <w:rFonts w:ascii="Times New Roman" w:cs="Times New Roman" w:eastAsia="Times New Roman" w:hAnsi="Times New Roman"/>
          <w:sz w:val="24"/>
          <w:szCs w:val="24"/>
        </w:rPr>
        <w:t xml:space="preserve">Related research exists across higher education, corporate learning, and banking training evaluation. Evidence remains limited, however, at the specific intersection of hybrid learning, trainer competence, learner engagement, training effectiveness, public-sector banking, and Union Vidya/LMS experience. This study addresses that focused intersection.</w:t>
      </w:r>
    </w:p>
    <w:p>
      <w:r>
        <w:br w:type="page"/>
      </w:r>
    </w:p>
    <w:p>
      <w:pPr>
        <w:pStyle w:val="Heading1"/>
        <w:keepNext/>
        <w:spacing w:after="160" w:before="0"/>
      </w:pPr>
      <w:bookmarkStart w:name="h_40" w:id="40"/>
      <w:r>
        <w:rPr>
          <w:rFonts w:ascii="Times New Roman" w:cs="Times New Roman" w:eastAsia="Times New Roman" w:hAnsi="Times New Roman"/>
          <w:b/>
          <w:bCs/>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rPr>
        <w:t xml:space="preserve">3.1 Objectives of the Study</w:t>
      </w:r>
      <w:bookmarkEnd w:id="41"/>
    </w:p>
    <w:p>
      <w:pPr>
        <w:spacing w:after="160" w:line="360" w:lineRule="auto"/>
        <w:jc w:val="both"/>
      </w:pPr>
      <w:r>
        <w:rPr>
          <w:rFonts w:ascii="Times New Roman" w:cs="Times New Roman" w:eastAsia="Times New Roman" w:hAnsi="Times New Roman"/>
          <w:sz w:val="24"/>
          <w:szCs w:val="24"/>
        </w:rPr>
        <w:t xml:space="preserve">The study examines how eligible respondents of Union Bank of India experienced one hybrid-training programme and how that experience was associated with perceived Training Effectiveness. In a public-sector bank, employees may use digital material, attend trainer-led sessions, and continue regular operational work at the same time. The study therefore considers the employee’s reported programme experience rather than assuming that the availability of an LMS alone makes training effective.</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whether Hybrid Learning, Trainer Competence, and Learner Engagement jointly predict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160" w:line="360" w:lineRule="auto"/>
        <w:jc w:val="both"/>
      </w:pPr>
      <w:r>
        <w:rPr>
          <w:rFonts w:ascii="Times New Roman" w:cs="Times New Roman" w:eastAsia="Times New Roman" w:hAnsi="Times New Roman"/>
          <w:sz w:val="24"/>
          <w:szCs w:val="24"/>
        </w:rPr>
        <w:t xml:space="preserve">The objectives are stated as associations and prediction within the selected sample. They do not claim that any construct causes another.</w:t>
      </w:r>
    </w:p>
    <w:p>
      <w:pPr>
        <w:pStyle w:val="Heading2"/>
        <w:keepNext/>
        <w:spacing w:after="160" w:before="240"/>
      </w:pPr>
      <w:bookmarkStart w:name="h_42" w:id="42"/>
      <w:r>
        <w:rPr>
          <w:rFonts w:ascii="Times New Roman" w:cs="Times New Roman" w:eastAsia="Times New Roman" w:hAnsi="Times New Roman"/>
          <w:b/>
          <w:bCs/>
        </w:rPr>
        <w:t xml:space="preserve">3.2 Hypothesis of the Study</w:t>
      </w:r>
      <w:bookmarkEnd w:id="42"/>
    </w:p>
    <w:p>
      <w:pPr>
        <w:spacing w:after="160" w:line="360" w:lineRule="auto"/>
        <w:jc w:val="both"/>
      </w:pPr>
      <w:r>
        <w:rPr>
          <w:rFonts w:ascii="Times New Roman" w:cs="Times New Roman" w:eastAsia="Times New Roman" w:hAnsi="Times New Roman"/>
          <w:sz w:val="24"/>
          <w:szCs w:val="24"/>
        </w:rPr>
        <w:t xml:space="preserve">The study uses one omnibus regression hypothesis at the 5 per cent level of significance.</w:t>
      </w:r>
    </w:p>
    <w:p>
      <w:pPr>
        <w:keepNext/>
        <w:spacing w:after="120" w:before="160"/>
        <w:jc w:val="center"/>
      </w:pPr>
      <w:bookmarkStart w:name="tbl_43" w:id="43"/>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rPr>
          <w:cantSplit/>
        </w:trP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do not jointly predict Training Effectiveness among eligible respondents of Union Bank of India.</w:t>
            </w:r>
          </w:p>
        </w:tc>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hypothesis concerns the overall regression model. Individual coefficients are also reported because they show each predictor’s association with Training Effectiveness after the overlap between the three predictors has been considered.</w:t>
      </w:r>
    </w:p>
    <w:p>
      <w:pPr>
        <w:pStyle w:val="Heading2"/>
        <w:keepNext/>
        <w:spacing w:after="160" w:before="240"/>
      </w:pPr>
      <w:bookmarkStart w:name="h_44" w:id="44"/>
      <w:r>
        <w:rPr>
          <w:rFonts w:ascii="Times New Roman" w:cs="Times New Roman" w:eastAsia="Times New Roman" w:hAnsi="Times New Roman"/>
          <w:b/>
          <w:bCs/>
        </w:rPr>
        <w:t xml:space="preserve">3.3 Definition of Variables</w:t>
      </w:r>
      <w:bookmarkEnd w:id="44"/>
    </w:p>
    <w:p>
      <w:pPr>
        <w:spacing w:after="160" w:line="360" w:lineRule="auto"/>
        <w:jc w:val="both"/>
      </w:pPr>
      <w:r>
        <w:rPr>
          <w:rFonts w:ascii="Times New Roman" w:cs="Times New Roman" w:eastAsia="Times New Roman" w:hAnsi="Times New Roman"/>
          <w:sz w:val="24"/>
          <w:szCs w:val="24"/>
        </w:rPr>
        <w:t xml:space="preserve">The study uses four scored constructs.</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is the respondent’s active involvement in the selected training programme. It includes attention, effort, participation, involvement, clarification-seeking, and interest in completing the programme. Questions 18–23 measure this construct. Engagement is treated as a separate independent variable because employee involvement can also be influenced by workload, time availability, prior experience, motivation, digital confidence, and workplace conditions.</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is the respondent’s perception that the programme produced useful learning for the current role. It includes understanding, work relevance, capability, application, support for related work tasks, and confidence. Questions 24–30 measure this construct.</w:t>
      </w:r>
    </w:p>
    <w:p>
      <w:pPr>
        <w:keepNext/>
        <w:spacing w:after="120" w:before="160"/>
        <w:jc w:val="center"/>
      </w:pPr>
      <w:bookmarkStart w:name="tbl_45" w:id="45"/>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regression model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questionnaire has 30 numbered questions. Questions 1–4 confirm eligibility and describe the respondent group. Questions 5–30 are five-point agreement items. Knowledge retention, job performance, organisation-level results, employee agility, supervisor support, and technical performance of Union Vidya are outside the measured model.</w:t>
      </w:r>
    </w:p>
    <w:p>
      <w:pPr>
        <w:pStyle w:val="Heading2"/>
        <w:keepNext/>
        <w:spacing w:after="160" w:before="240"/>
      </w:pPr>
      <w:bookmarkStart w:name="h_46" w:id="46"/>
      <w:r>
        <w:rPr>
          <w:rFonts w:ascii="Times New Roman" w:cs="Times New Roman" w:eastAsia="Times New Roman" w:hAnsi="Times New Roman"/>
          <w:b/>
          <w:bCs/>
        </w:rPr>
        <w:t xml:space="preserve">3.4 Research Design</w:t>
      </w:r>
      <w:bookmarkEnd w:id="46"/>
    </w:p>
    <w:p>
      <w:pPr>
        <w:spacing w:after="160" w:line="360" w:lineRule="auto"/>
        <w:jc w:val="both"/>
      </w:pPr>
      <w:r>
        <w:rPr>
          <w:rFonts w:ascii="Times New Roman" w:cs="Times New Roman" w:eastAsia="Times New Roman" w:hAnsi="Times New Roman"/>
          <w:sz w:val="24"/>
          <w:szCs w:val="24"/>
        </w:rPr>
        <w:t xml:space="preserve">The study follows a quantitative, descriptive, correlational, and predictive research design. It is quantitative because it uses structured response options and statistical analysis. It is descriptive because it reports the pattern of employee responses. It is correlational because it examines the direction and strength of reported associations among the four construct means. It is predictive because the SPSS regression model examines how the three independent variables jointly relate to the dependent variable, Training Effectiveness.</w:t>
      </w:r>
    </w:p>
    <w:p>
      <w:pPr>
        <w:spacing w:after="160" w:line="360" w:lineRule="auto"/>
        <w:jc w:val="both"/>
      </w:pPr>
      <w:r>
        <w:rPr>
          <w:rFonts w:ascii="Times New Roman" w:cs="Times New Roman" w:eastAsia="Times New Roman" w:hAnsi="Times New Roman"/>
          <w:sz w:val="24"/>
          <w:szCs w:val="24"/>
        </w:rPr>
        <w:t xml:space="preserve">The study is cross-sectional. Each respondent completed the questionnaire once and answered with reference to one hybrid-training programme attended during the previous 12 months. This approach asks employees to consider a specific programme rather than compare several programmes from memory. The unit of analysis is the individual response record.</w:t>
      </w:r>
    </w:p>
    <w:p>
      <w:pPr>
        <w:spacing w:after="16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model does not assume that Hybrid Learning or Trainer Competence determines Learner Engagement. The three variables may be related, but engagement can also reflect employee and work-context conditions that were outside the measured model.</w:t>
      </w:r>
    </w:p>
    <w:p>
      <w:pPr>
        <w:pStyle w:val="Heading2"/>
        <w:keepNext/>
        <w:spacing w:after="160" w:before="240"/>
      </w:pPr>
      <w:bookmarkStart w:name="h_47" w:id="47"/>
      <w:r>
        <w:rPr>
          <w:rFonts w:ascii="Times New Roman" w:cs="Times New Roman" w:eastAsia="Times New Roman" w:hAnsi="Times New Roman"/>
          <w:b/>
          <w:bCs/>
        </w:rPr>
        <w:t xml:space="preserve">3.5 Population, Sample and Sampling Method</w:t>
      </w:r>
      <w:bookmarkEnd w:id="47"/>
    </w:p>
    <w:p>
      <w:pPr>
        <w:spacing w:after="160" w:line="360" w:lineRule="auto"/>
        <w:jc w:val="both"/>
      </w:pPr>
      <w:r>
        <w:rPr>
          <w:rFonts w:ascii="Times New Roman" w:cs="Times New Roman" w:eastAsia="Times New Roman" w:hAnsi="Times New Roman"/>
          <w:sz w:val="24"/>
          <w:szCs w:val="24"/>
        </w:rPr>
        <w:t xml:space="preserve">The study population comprises Union Bank of India employees connected with Regional Office Chennai South who had attended a training programme that included both digital or online learning and face-to-face learning during the previous 12 months.</w:t>
      </w:r>
    </w:p>
    <w:p>
      <w:pPr>
        <w:spacing w:after="160" w:line="360" w:lineRule="auto"/>
        <w:jc w:val="both"/>
      </w:pPr>
      <w:r>
        <w:rPr>
          <w:rFonts w:ascii="Times New Roman" w:cs="Times New Roman" w:eastAsia="Times New Roman" w:hAnsi="Times New Roman"/>
          <w:sz w:val="24"/>
          <w:szCs w:val="24"/>
        </w:rPr>
        <w:t xml:space="preserve">Non-probability purposive sampling was used. An employee was eligible only when the employee had attended hybrid training in the stated period. This condition was necessary because employees who had experienced only one delivery mode could not comment meaningfully on the connection between digital and face-to-face activity.</w:t>
      </w:r>
    </w:p>
    <w:p>
      <w:pPr>
        <w:spacing w:after="160" w:line="360" w:lineRule="auto"/>
        <w:jc w:val="both"/>
      </w:pPr>
      <w:r>
        <w:rPr>
          <w:rFonts w:ascii="Times New Roman" w:cs="Times New Roman" w:eastAsia="Times New Roman" w:hAnsi="Times New Roman"/>
          <w:sz w:val="24"/>
          <w:szCs w:val="24"/>
        </w:rPr>
        <w:t xml:space="preserve">The fieldwork took place within branches and offices that could be reached during the internship. Within that accessible setting, the eligibility question identified employees able to answer about the type of programme under study. The sample was therefore selected for relevant experience, not drawn at random from a complete list of Union Bank employees. This choice made the questionnaire workable for the research question, but it limits how far the percentages and relationships can be extended beyond the respondents.</w:t>
      </w:r>
    </w:p>
    <w:p>
      <w:pPr>
        <w:spacing w:after="160" w:line="360" w:lineRule="auto"/>
        <w:jc w:val="both"/>
      </w:pPr>
      <w:r>
        <w:rPr>
          <w:rFonts w:ascii="Times New Roman" w:cs="Times New Roman" w:eastAsia="Times New Roman" w:hAnsi="Times New Roman"/>
          <w:sz w:val="24"/>
          <w:szCs w:val="24"/>
        </w:rPr>
        <w:t xml:space="preserve">The initial target was approximately 80 eligible respondents. A total of 132 records were received: 70 printed questionnaires and 62 Google Forms submissions. Initial screening retained 103 profile-complete records. The multiple regression uses 102 valid cases because one record had no Trainer Competence mean in the SPSS analysis file.</w:t>
      </w:r>
    </w:p>
    <w:p>
      <w:pPr>
        <w:spacing w:after="160" w:line="360" w:lineRule="auto"/>
        <w:jc w:val="both"/>
      </w:pPr>
      <w:r>
        <w:rPr>
          <w:rFonts w:ascii="Times New Roman" w:cs="Times New Roman" w:eastAsia="Times New Roman" w:hAnsi="Times New Roman"/>
          <w:sz w:val="24"/>
          <w:szCs w:val="24"/>
        </w:rPr>
        <w:t xml:space="preserve">The questionnaire was anonymous and did not collect employee names or numbers. Therefore, the analysis treats each eligible submitted form as one response record. Similar answer patterns were not treated as proof of duplicate respondents without identifying evidence.</w:t>
      </w:r>
    </w:p>
    <w:p>
      <w:pPr>
        <w:spacing w:after="160" w:line="360" w:lineRule="auto"/>
        <w:jc w:val="both"/>
      </w:pPr>
      <w:r>
        <w:rPr>
          <w:rFonts w:ascii="Times New Roman" w:cs="Times New Roman" w:eastAsia="Times New Roman" w:hAnsi="Times New Roman"/>
          <w:sz w:val="24"/>
          <w:szCs w:val="24"/>
        </w:rPr>
        <w:t xml:space="preserve">A formal response rate cannot be calculated because a complete count of all employees approached or sent the link was not maintained. The response-disposition figures below show how many forms were received and retained; they should not be presented as a percentage of everyone invited to participate.</w:t>
      </w:r>
    </w:p>
    <w:p>
      <w:pPr>
        <w:pStyle w:val="Heading2"/>
        <w:keepNext/>
        <w:spacing w:after="160" w:before="240"/>
      </w:pPr>
      <w:bookmarkStart w:name="h_48" w:id="48"/>
      <w:r>
        <w:rPr>
          <w:rFonts w:ascii="Times New Roman" w:cs="Times New Roman" w:eastAsia="Times New Roman" w:hAnsi="Times New Roman"/>
          <w:b/>
          <w:bCs/>
        </w:rPr>
        <w:t xml:space="preserve">3.6 Data Collection Procedure and Screening</w:t>
      </w:r>
      <w:bookmarkEnd w:id="48"/>
    </w:p>
    <w:p>
      <w:pPr>
        <w:spacing w:after="160" w:line="360" w:lineRule="auto"/>
        <w:jc w:val="both"/>
      </w:pPr>
      <w:r>
        <w:rPr>
          <w:rFonts w:ascii="Times New Roman" w:cs="Times New Roman" w:eastAsia="Times New Roman" w:hAnsi="Times New Roman"/>
          <w:sz w:val="24"/>
          <w:szCs w:val="24"/>
        </w:rPr>
        <w:t xml:space="preserve">Primary data were collected through printed questionnaires and a Google Forms link. The fieldwork record confirms that employees were approached through Regional Office Chennai South and 27 Chennai branches: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Responses were also collected from the Retail Loans and Currency Chest departments at the Regional Office. The Google Forms link allowed employees to respond when a paper form could not be completed immediately because of work responsibilities.</w:t>
      </w:r>
    </w:p>
    <w:p>
      <w:pPr>
        <w:spacing w:after="160" w:line="360" w:lineRule="auto"/>
        <w:jc w:val="both"/>
      </w:pPr>
      <w:r>
        <w:rPr>
          <w:rFonts w:ascii="Times New Roman" w:cs="Times New Roman" w:eastAsia="Times New Roman" w:hAnsi="Times New Roman"/>
          <w:sz w:val="24"/>
          <w:szCs w:val="24"/>
        </w:rPr>
        <w:t xml:space="preserve">The researcher reported obtaining verbal permission through the Regional Office HR Manager for academic data collection. At branches, employees were approached around their work responsibilities so that completing a form would not interrupt customer service. The printed and online versions asked the same 30 numbered questions and used the same response scale. The two modes widened the opportunity to respond, although this study did not separately test whether paper and online respondents interpreted or answered the questions differently.</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160"/>
        <w:jc w:val="center"/>
      </w:pPr>
      <w:bookmarkStart w:name="tbl_49" w:id="49"/>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Disposition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Digital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Manual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Responses received</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 No</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blank or unreadable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Required profile field blank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Profile-complete records before SPSS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SPSS listwise exclusion for missing construct mean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SPSS analysis cases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102</w:t>
            </w:r>
          </w:p>
        </w:tc>
      </w:tr>
    </w:tbl>
    <w:p>
      <w:pPr>
        <w:spacing w:after="120"/>
      </w:pPr>
    </w:p>
    <w:p>
      <w:pPr>
        <w:spacing w:after="160" w:line="360" w:lineRule="auto"/>
        <w:jc w:val="both"/>
      </w:pPr>
      <w:r>
        <w:rPr>
          <w:rFonts w:ascii="Times New Roman" w:cs="Times New Roman" w:eastAsia="Times New Roman" w:hAnsi="Times New Roman"/>
          <w:sz w:val="24"/>
          <w:szCs w:val="24"/>
        </w:rPr>
        <w:t xml:space="preserve">Screening began with Question 1, which asked whether the respondent had attended a programme combining digital and face-to-face learning within the stated period. Sixteen respondents answered “No”, and eligibility could not be confirmed for another eleven records. Two otherwise eligible paper records lacked a required profile answer. These 29 records were excluded before the 103 profile-complete records were prepared for analysis. The SPSS file then omitted one of those 103 records from procedures requiring all four construct means because its Trainer Competence mean was missing there. The resulting regression uses 102 cases. The saved SPSS output does not identify that excluded record by response ID, so the independently reconstructed 102-case supplementary subset cannot yet be claimed as an exact case-by-case copy of the SPSS file.</w:t>
      </w:r>
    </w:p>
    <w:p>
      <w:pPr>
        <w:pStyle w:val="Heading2"/>
        <w:keepNext/>
        <w:spacing w:after="160" w:before="240"/>
      </w:pPr>
      <w:bookmarkStart w:name="h_50" w:id="50"/>
      <w:r>
        <w:rPr>
          <w:rFonts w:ascii="Times New Roman" w:cs="Times New Roman" w:eastAsia="Times New Roman" w:hAnsi="Times New Roman"/>
          <w:b/>
          <w:bCs/>
        </w:rPr>
        <w:t xml:space="preserve">3.7 Research Instrument and Scoring</w:t>
      </w:r>
      <w:bookmarkEnd w:id="50"/>
    </w:p>
    <w:p>
      <w:pPr>
        <w:spacing w:after="160" w:line="360" w:lineRule="auto"/>
        <w:jc w:val="both"/>
      </w:pPr>
      <w:r>
        <w:rPr>
          <w:rFonts w:ascii="Times New Roman" w:cs="Times New Roman" w:eastAsia="Times New Roman" w:hAnsi="Times New Roman"/>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respondent answered about one hybrid-training programme attended during the preceding 12 months.</w:t>
      </w:r>
    </w:p>
    <w:p>
      <w:pPr>
        <w:spacing w:after="160" w:line="360" w:lineRule="auto"/>
        <w:jc w:val="both"/>
      </w:pPr>
      <w:r>
        <w:rPr>
          <w:rFonts w:ascii="Times New Roman" w:cs="Times New Roman" w:eastAsia="Times New Roman" w:hAnsi="Times New Roman"/>
          <w:sz w:val="24"/>
          <w:szCs w:val="24"/>
        </w:rPr>
        <w:t xml:space="preserve">The instrument is literature-informed and adapted to the Union Bank context. Appendix B documents its item-level content basis through the selected base papers and supporting measurement literature. Union Vidya is named as the Bank’s LMS and as an example platform that may have been used in the selected programme.</w:t>
      </w:r>
    </w:p>
    <w:p>
      <w:pPr>
        <w:spacing w:after="160" w:line="360" w:lineRule="auto"/>
        <w:jc w:val="both"/>
      </w:pPr>
      <w:r>
        <w:rPr>
          <w:rFonts w:ascii="Times New Roman" w:cs="Times New Roman" w:eastAsia="Times New Roman" w:hAnsi="Times New Roman"/>
          <w:sz w:val="24"/>
          <w:szCs w:val="24"/>
        </w:rPr>
        <w:t xml:space="preserve">The questionnaire separates experiences that an employee can reasonably distinguish. Questions 5–11 ask how the digital and face-to-face activities were connected and whether digital material could be accessed and revisited. Questions 12–17 concern what the trainer did to explain, connect, and support those activities. Questions 18–23 ask about the employee’s own attention and participation. Questions 24–30 ask whether the learning was understandable and useful for present work. This structure follows the four-construct model instead of asking one broad question about whether the programme was “good”.</w:t>
      </w:r>
    </w:p>
    <w:p>
      <w:pPr>
        <w:spacing w:after="160" w:line="360" w:lineRule="auto"/>
        <w:jc w:val="both"/>
      </w:pPr>
      <w:r>
        <w:rPr>
          <w:rFonts w:ascii="Times New Roman" w:cs="Times New Roman" w:eastAsia="Times New Roman" w:hAnsi="Times New Roman"/>
          <w:sz w:val="24"/>
          <w:szCs w:val="24"/>
        </w:rPr>
        <w:t xml:space="preserve">For Questions 5–30, response categories are coded from 1 for Strongly Disagree to 5 for Strongly Agree. SPSS output refers to the corresponding construct means as </w:t>
      </w:r>
      <w:r>
        <w:rPr>
          <w:rFonts w:ascii="Courier New" w:cs="Courier New" w:eastAsia="Courier New" w:hAnsi="Courier New"/>
          <w:sz w:val="24"/>
          <w:szCs w:val="24"/>
        </w:rPr>
        <w:t xml:space="preserve">HLTMEAN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TCTMEAN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LETMEAN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TETMEAN</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Each construct score is the arithmetic mean of its assigned item scores, so it remains on the original 1–5 scale. A higher score represents a more positive response for that construct. The items are worded in the same direction; no reverse coding is required. A mean score makes the four blocks comparable even though Hybrid Learning and Training Effectiveness contain seven items each while Trainer Competence and Learner Engagement contain six each. The construct scores summarise questionnaire responses; they do not measure observed job performance or a Bank-wide training result.</w:t>
      </w:r>
    </w:p>
    <w:p>
      <w:pPr>
        <w:pStyle w:val="Heading2"/>
        <w:keepNext/>
        <w:spacing w:after="160" w:before="240"/>
      </w:pPr>
      <w:bookmarkStart w:name="h_51" w:id="51"/>
      <w:r>
        <w:rPr>
          <w:rFonts w:ascii="Times New Roman" w:cs="Times New Roman" w:eastAsia="Times New Roman" w:hAnsi="Times New Roman"/>
          <w:b/>
          <w:bCs/>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rPr>
        <w:t xml:space="preserve">3.9 Data Analysis Techniques</w:t>
      </w:r>
      <w:bookmarkEnd w:id="52"/>
    </w:p>
    <w:p>
      <w:pPr>
        <w:spacing w:after="160" w:line="360" w:lineRule="auto"/>
        <w:jc w:val="both"/>
      </w:pPr>
      <w:r>
        <w:rPr>
          <w:rFonts w:ascii="Times New Roman" w:cs="Times New Roman" w:eastAsia="Times New Roman" w:hAnsi="Times New Roman"/>
          <w:sz w:val="24"/>
          <w:szCs w:val="24"/>
        </w:rPr>
        <w:t xml:space="preserve">SPSS Statistics 23 was used to describe responses and test the relationships among the four constructs. The regression model used 102 valid cases.</w:t>
      </w:r>
    </w:p>
    <w:p>
      <w:pPr>
        <w:keepNext/>
        <w:spacing w:after="120" w:before="160"/>
        <w:jc w:val="center"/>
      </w:pPr>
      <w:bookmarkStart w:name="tbl_53" w:id="53"/>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Analysis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SPSS procedure used</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Descriptives with mean, standard deviation, skewness, and kurtosis for 26 items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Chapter 4 presents the seven Hybrid Learning item means used to discuss the lowest-rated aspect of that construct.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Construct exploration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Explore procedure with histograms, Q–Q plots, boxplots, and normality tests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Examines the construct-mean distributions.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Overall questionnaire consistency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 26-item Cronbach’s alpha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Reports overall internal consistency of the item set.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Exploratory structure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Principal Component Analysis with varimax rotation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Retained as an exploratory diagnostic; it does not redefine the four theory-based constructs.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pairwise associations among the four construct means.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Main hypothesis test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Multiple regression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the combined relationship of Hybrid Learning, Trainer Competence, and Learner Engagement with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profile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 frequency and percentage summary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age group, length of service, and job level for the selected 102 profile-complete records.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Supplementary comparisons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One-sample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Welch’s independent-samples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and one-way ANOVA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Provides descriptive comparisons for the 102-case scored dataset; these are exploratory and are not the main hypothesis test.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Crosstab suitability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chi-square on construct-mean categories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Checks whether those tables have adequate expected cell counts before any inferential interpretation.</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multiple-regression model is:</w:t>
      </w:r>
    </w:p>
    <w:p>
      <w:pPr>
        <w:keepNext w:val="false"/>
        <w:spacing w:after="200" w:line="276" w:lineRule="auto"/>
        <w:ind w:left="720"/>
        <w:jc w:val="left"/>
      </w:pPr>
      <w:r>
        <w:rPr>
          <w:rFonts w:ascii="Courier New" w:cs="Courier New" w:eastAsia="Courier New" w:hAnsi="Courier New"/>
          <w:sz w:val="20"/>
          <w:szCs w:val="20"/>
        </w:rPr>
        <w:t xml:space="preserve">Training Effectiveness = b₀ + b₁(Hybrid Learning) + b₂(Trainer Competence) + b₃(Learner Engagement) + e</w:t>
      </w:r>
    </w:p>
    <w:p>
      <w:pPr>
        <w:spacing w:after="160" w:line="360" w:lineRule="auto"/>
        <w:jc w:val="both"/>
      </w:pPr>
      <w:r>
        <w:rPr>
          <w:rFonts w:ascii="Times New Roman" w:cs="Times New Roman" w:eastAsia="Times New Roman" w:hAnsi="Times New Roman"/>
          <w:sz w:val="24"/>
          <w:szCs w:val="24"/>
        </w:rPr>
        <w:t xml:space="preserve">In this model, Training Effectiveness is the dependent variable. Hybrid Learning, Trainer Competence, and Learner Engagement are entered together as independent variables. The overall F-test determines whether the three predictors jointly explain a statistically significant amount of variation in Training Effectiveness. The coefficient table then shows each predictor’s adjusted association after the other predictors are considered.</w:t>
      </w:r>
    </w:p>
    <w:p>
      <w:pPr>
        <w:spacing w:after="160" w:line="360" w:lineRule="auto"/>
        <w:jc w:val="both"/>
      </w:pPr>
      <w:r>
        <w:rPr>
          <w:rFonts w:ascii="Times New Roman" w:cs="Times New Roman" w:eastAsia="Times New Roman" w:hAnsi="Times New Roman"/>
          <w:sz w:val="24"/>
          <w:szCs w:val="24"/>
        </w:rPr>
        <w:t xml:space="preserve">Pearson correlations provide context for interpreting the regression results. These analyses establish association within the selected sample rather than cause and effect.</w:t>
      </w:r>
    </w:p>
    <w:p>
      <w:pPr>
        <w:spacing w:after="160" w:line="360" w:lineRule="auto"/>
        <w:jc w:val="both"/>
      </w:pPr>
      <w:r>
        <w:rPr>
          <w:rFonts w:ascii="Times New Roman" w:cs="Times New Roman" w:eastAsia="Times New Roman" w:hAnsi="Times New Roman"/>
          <w:sz w:val="24"/>
          <w:szCs w:val="24"/>
        </w:rPr>
        <w:t xml:space="preserve">The respondent-profile summary was produced in an Excel workbook. The supplementary comparisons in Chapter 4 were calculated from the corresponding 102-record subset of the frozen 103-record scored CSV. They are distinguished from the supplied SPSS viewer results because several of that viewer’s additional tests used 103 cases. The saved SPSS data file is needed to confirm exact case-by-case agreement between the two sources before final submission. The supplementary results are not used to decide the main hypothesis.</w:t>
      </w:r>
    </w:p>
    <w:p>
      <w:pPr>
        <w:spacing w:after="160" w:line="360" w:lineRule="auto"/>
        <w:jc w:val="both"/>
      </w:pPr>
      <w:r>
        <w:rPr>
          <w:rFonts w:ascii="Times New Roman" w:cs="Times New Roman" w:eastAsia="Times New Roman" w:hAnsi="Times New Roman"/>
          <w:sz w:val="24"/>
          <w:szCs w:val="24"/>
        </w:rPr>
        <w:t xml:space="preserve">This source distinction also governs the descriptive tables. The main construct and regression figures are transcribed from the saved SPSS output, whereas the profile frequencies and supplementary item distributions come from the selected scored records. Their tables label the source and case count. Where a 103-case SPSS item mean is discussed beside a 102-case supplementary frequency distribution, the two numbers are not presented as if they were calculated from an identical set of respondents.</w:t>
      </w:r>
    </w:p>
    <w:p>
      <w:pPr>
        <w:pStyle w:val="Heading2"/>
        <w:keepNext/>
        <w:spacing w:after="160" w:before="240"/>
      </w:pPr>
      <w:bookmarkStart w:name="h_54" w:id="54"/>
      <w:r>
        <w:rPr>
          <w:rFonts w:ascii="Times New Roman" w:cs="Times New Roman" w:eastAsia="Times New Roman" w:hAnsi="Times New Roman"/>
          <w:b/>
          <w:bCs/>
        </w:rPr>
        <w:t xml:space="preserve">3.10 Questionnaire Review, Reliability and Validity</w:t>
      </w:r>
      <w:bookmarkEnd w:id="54"/>
    </w:p>
    <w:p>
      <w:pPr>
        <w:spacing w:after="160" w:line="360" w:lineRule="auto"/>
        <w:jc w:val="both"/>
      </w:pPr>
      <w:r>
        <w:rPr>
          <w:rFonts w:ascii="Times New Roman" w:cs="Times New Roman" w:eastAsia="Times New Roman" w:hAnsi="Times New Roman"/>
          <w:sz w:val="24"/>
          <w:szCs w:val="24"/>
        </w:rPr>
        <w:t xml:space="preserve">Before main data collection, the academic guide-approved questionnaire was piloted online with 20 eligible employees on 15–16 September 2026. The pilot checked clarity, completion burden, Union Vidya wording, relevance, and repetition. Feedback did not identify a systematic issue requiring deletion of a scored item, so the approved 30-question instrument was retained. Pilot records were stored separately and excluded from the main analysis.</w:t>
      </w:r>
    </w:p>
    <w:p>
      <w:pPr>
        <w:spacing w:after="160" w:line="360" w:lineRule="auto"/>
        <w:jc w:val="both"/>
      </w:pPr>
      <w:r>
        <w:rPr>
          <w:rFonts w:ascii="Times New Roman" w:cs="Times New Roman" w:eastAsia="Times New Roman" w:hAnsi="Times New Roman"/>
          <w:sz w:val="24"/>
          <w:szCs w:val="24"/>
        </w:rPr>
        <w:t xml:space="preserve">The pilot feedback gave a practical check on how long the form took to complete. The mean completion time was 14.3 minutes, with a median of 14 minutes. Sixteen respondents considered the length about right and four considered it too long. Individual comments pointed to possible overlap between Questions 5 and 6 and between Questions 14 and 15; one respondent found Question 24 difficult when thinking about more than one programme. These comments were considered against the instruction to answer about one selected programme. They did not show a repeated difficulty across the pilot group, and no scored question was removed.</w:t>
      </w:r>
    </w:p>
    <w:p>
      <w:pPr>
        <w:spacing w:after="160" w:line="360" w:lineRule="auto"/>
        <w:jc w:val="both"/>
      </w:pPr>
      <w:r>
        <w:rPr>
          <w:rFonts w:ascii="Times New Roman" w:cs="Times New Roman" w:eastAsia="Times New Roman" w:hAnsi="Times New Roman"/>
          <w:sz w:val="24"/>
          <w:szCs w:val="24"/>
        </w:rPr>
        <w:t xml:space="preserve">Preliminary Cronbach’s alpha values in the 20 pilot responses ranged from .879 to .929 across the four item blocks. At that size, these figures are a check on whether the items within each block moved together, not a full validation of the questionnaire. The main-sample SPSS output was reviewed separately after collection.</w:t>
      </w:r>
    </w:p>
    <w:p>
      <w:pPr>
        <w:spacing w:after="160" w:line="360" w:lineRule="auto"/>
        <w:jc w:val="both"/>
      </w:pPr>
      <w:r>
        <w:rPr>
          <w:rFonts w:ascii="Times New Roman" w:cs="Times New Roman" w:eastAsia="Times New Roman" w:hAnsi="Times New Roman"/>
          <w:sz w:val="24"/>
          <w:szCs w:val="24"/>
        </w:rPr>
        <w:t xml:space="preserve">The SPSS analysis reports one reliability analysis across all 26 Likert-scale items. The overall Cronbach’s alpha is .980239. This indicates very high internal consistency for the complete item set in the SPSS analysis file. Because the output does not provide four separate reliability runs, it is not used to claim separate alpha values for Hybrid Learning, Trainer Competence, Learner Engagement, or Training Effectiveness.</w:t>
      </w:r>
    </w:p>
    <w:p>
      <w:pPr>
        <w:spacing w:after="160" w:line="360" w:lineRule="auto"/>
        <w:jc w:val="both"/>
      </w:pPr>
      <w:r>
        <w:rPr>
          <w:rFonts w:ascii="Times New Roman" w:cs="Times New Roman" w:eastAsia="Times New Roman" w:hAnsi="Times New Roman"/>
          <w:sz w:val="24"/>
          <w:szCs w:val="24"/>
        </w:rPr>
        <w:t xml:space="preserve">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The academic guide’s review supports the practical suitability of the wording for this academic study.</w:t>
      </w:r>
    </w:p>
    <w:p>
      <w:pPr>
        <w:pStyle w:val="Heading2"/>
        <w:keepNext/>
        <w:spacing w:after="160" w:before="240"/>
      </w:pPr>
      <w:bookmarkStart w:name="h_55" w:id="55"/>
      <w:r>
        <w:rPr>
          <w:rFonts w:ascii="Times New Roman" w:cs="Times New Roman" w:eastAsia="Times New Roman" w:hAnsi="Times New Roman"/>
          <w:b/>
          <w:bCs/>
        </w:rPr>
        <w:t xml:space="preserve">3.11 Ethical Considerations and Limitations</w:t>
      </w:r>
      <w:bookmarkEnd w:id="55"/>
    </w:p>
    <w:p>
      <w:pPr>
        <w:spacing w:after="160" w:line="360" w:lineRule="auto"/>
        <w:jc w:val="both"/>
      </w:pPr>
      <w:r>
        <w:rPr>
          <w:rFonts w:ascii="Times New Roman" w:cs="Times New Roman" w:eastAsia="Times New Roman" w:hAnsi="Times New Roman"/>
          <w:sz w:val="24"/>
          <w:szCs w:val="24"/>
        </w:rPr>
        <w:t xml:space="preserve">Participation was voluntary, and the survey avoided personal identifiers and confidential Bank data. Respondents were informed that the study was for academic use and that only combined results would be reported.</w:t>
      </w:r>
    </w:p>
    <w:p>
      <w:pPr>
        <w:spacing w:after="160" w:line="360" w:lineRule="auto"/>
        <w:jc w:val="both"/>
      </w:pPr>
      <w:r>
        <w:rPr>
          <w:rFonts w:ascii="Times New Roman" w:cs="Times New Roman" w:eastAsia="Times New Roman" w:hAnsi="Times New Roman"/>
          <w:sz w:val="24"/>
          <w:szCs w:val="24"/>
        </w:rPr>
        <w:t xml:space="preserve">The study uses a non-probability sample, so its findings cannot be generalised statistically to all Bank employees. It is cross-sectional and based on employee perceptions; therefore, it cannot establish causation. The same respondent assessed programme experience, trainer competence, engagement, and training effectiveness, which may strengthen observed associations through a common self-report condition. SPSS provides one overall 26-item alpha rather than separate construct-level reliability estimates. One record was excluded listwise from the regression because a Trainer Competence mean was missing in the analysis file.</w:t>
      </w:r>
    </w:p>
    <w:p>
      <w:pPr>
        <w:spacing w:after="160" w:line="360" w:lineRule="auto"/>
        <w:jc w:val="both"/>
      </w:pPr>
      <w:r>
        <w:rPr>
          <w:rFonts w:ascii="Times New Roman" w:cs="Times New Roman" w:eastAsia="Times New Roman" w:hAnsi="Times New Roman"/>
          <w:sz w:val="24"/>
          <w:szCs w:val="24"/>
        </w:rPr>
        <w:t xml:space="preserve">These limitations define the study’s contribution. It offers a focused account of how eligible respondents experienced Hybrid Learning, Trainer Competence, Learner Engagement, and Training Effectiveness in the Union Bank context, while keeping conclusions within the evidence available.</w:t>
      </w:r>
    </w:p>
    <w:p>
      <w:r>
        <w:br w:type="page"/>
      </w:r>
    </w:p>
    <w:p>
      <w:pPr>
        <w:pStyle w:val="Heading1"/>
        <w:keepNext/>
        <w:spacing w:after="160" w:before="0"/>
      </w:pPr>
      <w:bookmarkStart w:name="h_56" w:id="56"/>
      <w:r>
        <w:rPr>
          <w:rFonts w:ascii="Times New Roman" w:cs="Times New Roman" w:eastAsia="Times New Roman" w:hAnsi="Times New Roman"/>
          <w:b/>
          <w:bCs/>
        </w:rPr>
        <w:t xml:space="preserve">Chapter 4 — Data Analysis and Interpretation</w:t>
      </w:r>
      <w:bookmarkEnd w:id="56"/>
    </w:p>
    <w:p>
      <w:pPr>
        <w:spacing w:after="160" w:line="360" w:lineRule="auto"/>
        <w:jc w:val="both"/>
      </w:pPr>
      <w:r>
        <w:rPr>
          <w:rFonts w:ascii="Times New Roman" w:cs="Times New Roman" w:eastAsia="Times New Roman" w:hAnsi="Times New Roman"/>
          <w:sz w:val="24"/>
          <w:szCs w:val="24"/>
        </w:rPr>
        <w:t xml:space="preserve">This chapter presents the SPSS Statistics 23 results alongside clearly identified supplementary summaries from the selected 102-record scored dataset. The main analysis concerns the extent to which Hybrid Learning, Trainer Competence, and Learner Engagement jointly predict Training Effectiveness among the selected Union Bank respondents.</w:t>
      </w:r>
    </w:p>
    <w:p>
      <w:pPr>
        <w:spacing w:after="160" w:line="360" w:lineRule="auto"/>
        <w:jc w:val="both"/>
      </w:pPr>
      <w:r>
        <w:rPr>
          <w:rFonts w:ascii="Times New Roman" w:cs="Times New Roman" w:eastAsia="Times New Roman" w:hAnsi="Times New Roman"/>
          <w:sz w:val="24"/>
          <w:szCs w:val="24"/>
        </w:rPr>
        <w:t xml:space="preserve">The SPSS output uses 102 valid cases for the construct-level exploration and multiple-regression model. Some item-level and pairwise outputs use 103 or 102 cases because SPSS applies the available-case rule for those procedures. Each table states the number of cases used for that analysis.</w:t>
      </w:r>
    </w:p>
    <w:p>
      <w:pPr>
        <w:spacing w:after="160" w:line="360" w:lineRule="auto"/>
        <w:jc w:val="both"/>
      </w:pPr>
      <w:r>
        <w:rPr>
          <w:rFonts w:ascii="Times New Roman" w:cs="Times New Roman" w:eastAsia="Times New Roman" w:hAnsi="Times New Roman"/>
          <w:sz w:val="24"/>
          <w:szCs w:val="24"/>
        </w:rPr>
        <w:t xml:space="preserve">The results describe the selected respondent group. They show reported associations and prediction within this sample; they do not establish that one part of training causes another.</w:t>
      </w:r>
    </w:p>
    <w:p>
      <w:pPr>
        <w:pStyle w:val="Heading2"/>
        <w:keepNext/>
        <w:spacing w:after="160" w:before="240"/>
      </w:pPr>
      <w:bookmarkStart w:name="h_57" w:id="57"/>
      <w:r>
        <w:rPr>
          <w:rFonts w:ascii="Times New Roman" w:cs="Times New Roman" w:eastAsia="Times New Roman" w:hAnsi="Times New Roman"/>
          <w:b/>
          <w:bCs/>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rPr>
        <w:t xml:space="preserve">Respondent Profile</w:t>
      </w:r>
      <w:bookmarkEnd w:id="58"/>
    </w:p>
    <w:p>
      <w:pPr>
        <w:spacing w:after="160" w:line="360" w:lineRule="auto"/>
        <w:jc w:val="both"/>
      </w:pPr>
      <w:r>
        <w:rPr>
          <w:rFonts w:ascii="Times New Roman" w:cs="Times New Roman" w:eastAsia="Times New Roman" w:hAnsi="Times New Roman"/>
          <w:sz w:val="24"/>
          <w:szCs w:val="24"/>
        </w:rPr>
        <w:t xml:space="preserve">The profile summary covers 102 complete respondent records: 48 online and 54 paper responses. The largest age group was 35–44 years, and just over half reported 11–20 years of service. Officers formed the largest job-level group. Each percentage uses 102 as its denominator.</w:t>
      </w:r>
    </w:p>
    <w:p>
      <w:pPr>
        <w:keepNext/>
        <w:spacing w:after="120" w:before="160"/>
        <w:jc w:val="center"/>
      </w:pPr>
      <w:bookmarkStart w:name="tbl_59" w:id="59"/>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Profile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25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160"/>
        <w:jc w:val="center"/>
      </w:pPr>
      <w:bookmarkStart w:name="fig_60" w:id="60"/>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Age-group distribution</w:t>
      </w:r>
      <w:bookmarkEnd w:id="60"/>
    </w:p>
    <w:p>
      <w:pPr>
        <w:spacing w:after="160" w:before="60"/>
        <w:jc w:val="center"/>
      </w:pPr>
      <w:r>
        <w:drawing>
          <wp:inline distT="0" distB="0" distL="0" distR="0">
            <wp:extent cx="5334000" cy="27908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spacing w:after="120" w:before="160"/>
        <w:jc w:val="center"/>
      </w:pPr>
      <w:bookmarkStart w:name="fig_61" w:id="61"/>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Length-of-service distribution</w:t>
      </w:r>
      <w:bookmarkEnd w:id="61"/>
    </w:p>
    <w:p>
      <w:pPr>
        <w:spacing w:after="160" w:before="60"/>
        <w:jc w:val="center"/>
      </w:pPr>
      <w:r>
        <w:drawing>
          <wp:inline distT="0" distB="0" distL="0" distR="0">
            <wp:extent cx="5334000" cy="2419350"/>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keepNext/>
        <w:spacing w:after="120" w:before="160"/>
        <w:jc w:val="center"/>
      </w:pPr>
      <w:bookmarkStart w:name="fig_62" w:id="62"/>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Job-level distribution</w:t>
      </w:r>
      <w:bookmarkEnd w:id="62"/>
    </w:p>
    <w:p>
      <w:pPr>
        <w:spacing w:after="160" w:before="60"/>
        <w:jc w:val="center"/>
      </w:pPr>
      <w:r>
        <w:drawing>
          <wp:inline distT="0" distB="0" distL="0" distR="0">
            <wp:extent cx="5334000" cy="204787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rPr>
        <w:t xml:space="preserve">4.1.1 Construct-Level Results</w:t>
      </w:r>
      <w:bookmarkEnd w:id="63"/>
    </w:p>
    <w:p>
      <w:pPr>
        <w:spacing w:after="160" w:line="360" w:lineRule="auto"/>
        <w:jc w:val="both"/>
      </w:pPr>
      <w:r>
        <w:rPr>
          <w:rFonts w:ascii="Times New Roman" w:cs="Times New Roman" w:eastAsia="Times New Roman" w:hAnsi="Times New Roman"/>
          <w:sz w:val="24"/>
          <w:szCs w:val="24"/>
        </w:rPr>
        <w:t xml:space="preserve">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output was used to examine the four construct means together. All construct means are above the midpoint of the five-point response scale. Learner Engagement has the highest mean, followed by Training Effectiveness, Trainer Competence, and Hybrid Learning.</w:t>
      </w:r>
    </w:p>
    <w:p>
      <w:pPr>
        <w:keepNext/>
        <w:spacing w:after="120" w:before="160"/>
        <w:jc w:val="center"/>
      </w:pPr>
      <w:bookmarkStart w:name="tbl_64" w:id="64"/>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cantSplit/>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Minimum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Maximum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Skewness</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Kurtosis</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-1.818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4.058</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5.583</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-2.131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6.236</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160"/>
        <w:jc w:val="center"/>
      </w:pPr>
      <w:bookmarkStart w:name="fig_65" w:id="65"/>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Mean ratings for the four study constructs</w:t>
      </w:r>
      <w:bookmarkEnd w:id="65"/>
    </w:p>
    <w:p>
      <w:pPr>
        <w:spacing w:after="160" w:before="60"/>
        <w:jc w:val="center"/>
      </w:pPr>
      <w:r>
        <w:drawing>
          <wp:inline distT="0" distB="0" distL="0" distR="0">
            <wp:extent cx="5334000" cy="2419350"/>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160" w:line="360" w:lineRule="auto"/>
        <w:jc w:val="both"/>
      </w:pPr>
      <w:r>
        <w:rPr>
          <w:rFonts w:ascii="Times New Roman" w:cs="Times New Roman" w:eastAsia="Times New Roman" w:hAnsi="Times New Roman"/>
          <w:sz w:val="24"/>
          <w:szCs w:val="24"/>
        </w:rPr>
        <w:t xml:space="preserve">Responses were concentrated toward agreement and strong agreement, producing the negative skewness shown in Table 4.2. Fewer employees gave low ratings. The survey does not establish why they responded this way.</w:t>
      </w:r>
    </w:p>
    <w:p>
      <w:pPr>
        <w:spacing w:after="160" w:line="360" w:lineRule="auto"/>
        <w:jc w:val="both"/>
      </w:pPr>
      <w:r>
        <w:rPr>
          <w:rFonts w:ascii="Times New Roman" w:cs="Times New Roman" w:eastAsia="Times New Roman" w:hAnsi="Times New Roman"/>
          <w:sz w:val="24"/>
          <w:szCs w:val="24"/>
        </w:rPr>
        <w:t xml:space="preserve">Hybrid Learning has the lowest construct mean, though it remains above the neutral point. This indicates that respondents generally viewed the mixed digital and face-to-face arrangement positively, while leaving more room for improvement than the other three areas. Learner Engagement has the highest mean. In practical terms, respondents generally reported attention, participation, and interest in the programme selected for the questionnaire.</w:t>
      </w:r>
    </w:p>
    <w:p>
      <w:pPr>
        <w:pStyle w:val="Heading3"/>
        <w:keepNext/>
        <w:spacing w:after="160" w:before="240"/>
      </w:pPr>
      <w:bookmarkStart w:name="h_66" w:id="66"/>
      <w:r>
        <w:rPr>
          <w:rFonts w:ascii="Times New Roman" w:cs="Times New Roman" w:eastAsia="Times New Roman" w:hAnsi="Times New Roman"/>
          <w:b/>
          <w:bCs/>
        </w:rPr>
        <w:t xml:space="preserve">4.1.2 Item-Level Results Across the Four Constructs</w:t>
      </w:r>
      <w:bookmarkEnd w:id="66"/>
    </w:p>
    <w:p>
      <w:pPr>
        <w:spacing w:after="160" w:line="360" w:lineRule="auto"/>
        <w:jc w:val="both"/>
      </w:pPr>
      <w:r>
        <w:rPr>
          <w:rFonts w:ascii="Times New Roman" w:cs="Times New Roman" w:eastAsia="Times New Roman" w:hAnsi="Times New Roman"/>
          <w:sz w:val="24"/>
          <w:szCs w:val="24"/>
        </w:rPr>
        <w:t xml:space="preserve">The seven Hybrid Learning items describe the connection between digital and face-to-face activities and access to the digital material. Table 4.3 reports their means from the SPSS item-descriptives output. These item results use 103 valid responses, while Table 4.2 uses the 102 cases available together across all four construct means.</w:t>
      </w:r>
    </w:p>
    <w:p>
      <w:pPr>
        <w:keepNext/>
        <w:spacing w:after="120" w:before="160"/>
        <w:jc w:val="center"/>
      </w:pPr>
      <w:bookmarkStart w:name="tbl_67" w:id="67"/>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and face-to-face parts planned as one experience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activities prepared the respondent for face-to-face sessions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Face-to-face sessions clarified or applied digital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the digital platform</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Ease of 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Availability of digital learning materials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digital material for revision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160" w:line="360" w:lineRule="auto"/>
        <w:jc w:val="both"/>
      </w:pPr>
      <w:r>
        <w:rPr>
          <w:rFonts w:ascii="Times New Roman" w:cs="Times New Roman" w:eastAsia="Times New Roman" w:hAnsi="Times New Roman"/>
          <w:sz w:val="24"/>
          <w:szCs w:val="24"/>
        </w:rPr>
        <w:t xml:space="preserve">Q6 has the lowest mean among the seven Hybrid Learning items. It asks whether digital activities prepared the respondent for the face-to-face sessions. The mean of 3.990 remains positive, but it points to a part of the learning sequence that could be reviewed in future programmes.</w:t>
      </w:r>
    </w:p>
    <w:p>
      <w:pPr>
        <w:spacing w:after="160" w:line="360" w:lineRule="auto"/>
        <w:jc w:val="both"/>
      </w:pPr>
      <w:r>
        <w:rPr>
          <w:rFonts w:ascii="Times New Roman" w:cs="Times New Roman" w:eastAsia="Times New Roman" w:hAnsi="Times New Roman"/>
          <w:sz w:val="24"/>
          <w:szCs w:val="24"/>
        </w:rPr>
        <w:t xml:space="preserve">The following table gives the full response distribution for each of the 26 scored questions in the reconstructed 102-case dataset. Each row totals 102. These counts come from the scored CSV and are separate from the 103-case SPSS item means in Table 4.3. The accompanying charts were generated from the same counts.</w:t>
      </w:r>
    </w:p>
    <w:p>
      <w:pPr>
        <w:keepNext/>
        <w:spacing w:after="120" w:before="160"/>
        <w:jc w:val="center"/>
      </w:pPr>
      <w:bookmarkStart w:name="tbl_68" w:id="68"/>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 Strongly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 Neutral</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 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 Strongly agree</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160"/>
        <w:jc w:val="center"/>
      </w:pPr>
      <w:bookmarkStart w:name="fig_69" w:id="69"/>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Hybrid Learning item-response distribution</w:t>
      </w:r>
      <w:bookmarkEnd w:id="69"/>
    </w:p>
    <w:p>
      <w:pPr>
        <w:spacing w:after="160" w:before="60"/>
        <w:jc w:val="center"/>
      </w:pPr>
      <w:r>
        <w:drawing>
          <wp:inline distT="0" distB="0" distL="0" distR="0">
            <wp:extent cx="5334000" cy="360045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0450"/>
                    </a:xfrm>
                    <a:prstGeom prst="rect">
                      <a:avLst/>
                    </a:prstGeom>
                  </pic:spPr>
                </pic:pic>
              </a:graphicData>
            </a:graphic>
          </wp:inline>
        </w:drawing>
      </w:r>
    </w:p>
    <w:p>
      <w:pPr>
        <w:keepNext/>
        <w:spacing w:after="120" w:before="160"/>
        <w:jc w:val="center"/>
      </w:pPr>
      <w:bookmarkStart w:name="fig_70" w:id="70"/>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Trainer Competence item-response distribution</w:t>
      </w:r>
      <w:bookmarkEnd w:id="70"/>
    </w:p>
    <w:p>
      <w:pPr>
        <w:spacing w:after="160" w:before="60"/>
        <w:jc w:val="center"/>
      </w:pPr>
      <w:r>
        <w:drawing>
          <wp:inline distT="0" distB="0" distL="0" distR="0">
            <wp:extent cx="5334000" cy="32385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1" w:id="71"/>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Learner Engagement item-response distribution</w:t>
      </w:r>
      <w:bookmarkEnd w:id="71"/>
    </w:p>
    <w:p>
      <w:pPr>
        <w:spacing w:after="160" w:before="60"/>
        <w:jc w:val="center"/>
      </w:pPr>
      <w:r>
        <w:drawing>
          <wp:inline distT="0" distB="0" distL="0" distR="0">
            <wp:extent cx="5334000" cy="32385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2" w:id="72"/>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b/>
          <w:bCs/>
          <w:sz w:val="24"/>
          <w:szCs w:val="24"/>
        </w:rPr>
        <w:t xml:space="preserve">Training Effectiveness item-response distribution</w:t>
      </w:r>
      <w:bookmarkEnd w:id="72"/>
    </w:p>
    <w:p>
      <w:pPr>
        <w:spacing w:after="160" w:before="60"/>
        <w:jc w:val="center"/>
      </w:pPr>
      <w:r>
        <w:drawing>
          <wp:inline distT="0" distB="0" distL="0" distR="0">
            <wp:extent cx="5334000" cy="360045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045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rPr>
        <w:t xml:space="preserve">Trainer Competence responses</w:t>
      </w:r>
      <w:bookmarkEnd w:id="73"/>
    </w:p>
    <w:p>
      <w:pPr>
        <w:spacing w:after="160" w:line="360" w:lineRule="auto"/>
        <w:jc w:val="both"/>
      </w:pPr>
      <w:r>
        <w:rPr>
          <w:rFonts w:ascii="Times New Roman" w:cs="Times New Roman" w:eastAsia="Times New Roman" w:hAnsi="Times New Roman"/>
          <w:sz w:val="24"/>
          <w:szCs w:val="24"/>
        </w:rPr>
        <w:t xml:space="preserve">Figure 4.6 shows generally favourable responses to the trainer-related questions. In the 102-case distribution, 92 respondents agreed or strongly agreed that the trainer explained the content clearly (Q13), and 91 gave one of those two responses to subject knowledge (Q12). Employees therefore reported strength in the trainer’s knowledge and explanation of the topic. This is a useful distinction from the presence of a digital platform: material may be available online, but employees also rated the person responsible for explaining it.</w:t>
      </w:r>
    </w:p>
    <w:p>
      <w:pPr>
        <w:spacing w:after="160" w:line="360" w:lineRule="auto"/>
        <w:jc w:val="both"/>
      </w:pPr>
      <w:r>
        <w:rPr>
          <w:rFonts w:ascii="Times New Roman" w:cs="Times New Roman" w:eastAsia="Times New Roman" w:hAnsi="Times New Roman"/>
          <w:sz w:val="24"/>
          <w:szCs w:val="24"/>
        </w:rPr>
        <w:t xml:space="preserve">The responses were slightly less concentrated in the positive categories for linking the two modes and giving feedback. For Q14, 87 respondents agreed or strongly agreed that the trainer explained how digital and face-to-face activities were connected; ten selected the neutral category. For Q17, 88 agreed or strongly agreed that feedback helped their learning, while eight disagreed or strongly disagreed. The differences are modest and were not tested as differences between items. They do, however, identify two practical questions for programme review: whether the trainer explicitly refers back to digital preparation, and whether employees receive feedback that helps them correct or extend their understanding.</w:t>
      </w:r>
    </w:p>
    <w:p>
      <w:pPr>
        <w:pStyle w:val="Heading3"/>
        <w:keepNext/>
        <w:spacing w:after="160" w:before="240"/>
      </w:pPr>
      <w:bookmarkStart w:name="h_74" w:id="74"/>
      <w:r>
        <w:rPr>
          <w:rFonts w:ascii="Times New Roman" w:cs="Times New Roman" w:eastAsia="Times New Roman" w:hAnsi="Times New Roman"/>
          <w:b/>
          <w:bCs/>
        </w:rPr>
        <w:t xml:space="preserve">Learner Engagement responses</w:t>
      </w:r>
      <w:bookmarkEnd w:id="74"/>
    </w:p>
    <w:p>
      <w:pPr>
        <w:spacing w:after="160" w:line="360" w:lineRule="auto"/>
        <w:jc w:val="both"/>
      </w:pPr>
      <w:r>
        <w:rPr>
          <w:rFonts w:ascii="Times New Roman" w:cs="Times New Roman" w:eastAsia="Times New Roman" w:hAnsi="Times New Roman"/>
          <w:sz w:val="24"/>
          <w:szCs w:val="24"/>
        </w:rPr>
        <w:t xml:space="preserve">Figure 4.7 records positive ratings for attention, effort, participation, involvement, clarification-seeking, and interest. Ninety-three of the 102 respondents agreed or strongly agreed that they participated actively (Q20), felt involved rather than merely completing required activities (Q21), and remained interested in completing the programme (Q23). This pattern helps explain why Learner Engagement had the highest construct mean in the SPSS results. Most respondents described themselves as active participants in the programme they selected.</w:t>
      </w:r>
    </w:p>
    <w:p>
      <w:pPr>
        <w:spacing w:after="160" w:line="360" w:lineRule="auto"/>
        <w:jc w:val="both"/>
      </w:pPr>
      <w:r>
        <w:rPr>
          <w:rFonts w:ascii="Times New Roman" w:cs="Times New Roman" w:eastAsia="Times New Roman" w:hAnsi="Times New Roman"/>
          <w:sz w:val="24"/>
          <w:szCs w:val="24"/>
        </w:rPr>
        <w:t xml:space="preserve">Clarification-seeking was somewhat less uniform. For Q22, 88 respondents agreed or strongly agreed that they asked questions or sought clarification when they did not understand something, while eleven gave a neutral response. A neutral answer could have several meanings: the respondent may not have needed clarification, may not have had an opportunity to ask, or may have been reluctant to do so. The questionnaire cannot distinguish those situations. The result should therefore prompt a review of opportunities for questions, rather than an assumption that employees were unwilling to engage.</w:t>
      </w:r>
    </w:p>
    <w:p>
      <w:pPr>
        <w:spacing w:after="160" w:line="360" w:lineRule="auto"/>
        <w:jc w:val="both"/>
      </w:pPr>
      <w:r>
        <w:rPr>
          <w:rFonts w:ascii="Times New Roman" w:cs="Times New Roman" w:eastAsia="Times New Roman" w:hAnsi="Times New Roman"/>
          <w:sz w:val="24"/>
          <w:szCs w:val="24"/>
        </w:rPr>
        <w:t xml:space="preserve">These item results also show why engagement was measured separately from trainer competence. Positive ratings of trainer explanation and positive ratings of employee participation occur in the same sample, but they answer different questions. One concerns the support offered by the trainer; the other concerns what the employee reports doing during learning. The regression later examines whether engagement retains a distinct association with perceived Training Effectiveness when trainer competence and hybrid design are included.</w:t>
      </w:r>
    </w:p>
    <w:p>
      <w:pPr>
        <w:pStyle w:val="Heading3"/>
        <w:keepNext/>
        <w:spacing w:after="160" w:before="240"/>
      </w:pPr>
      <w:bookmarkStart w:name="h_75" w:id="75"/>
      <w:r>
        <w:rPr>
          <w:rFonts w:ascii="Times New Roman" w:cs="Times New Roman" w:eastAsia="Times New Roman" w:hAnsi="Times New Roman"/>
          <w:b/>
          <w:bCs/>
        </w:rPr>
        <w:t xml:space="preserve">Training Effectiveness responses</w:t>
      </w:r>
      <w:bookmarkEnd w:id="75"/>
    </w:p>
    <w:p>
      <w:pPr>
        <w:spacing w:after="160" w:line="360" w:lineRule="auto"/>
        <w:jc w:val="both"/>
      </w:pPr>
      <w:r>
        <w:rPr>
          <w:rFonts w:ascii="Times New Roman" w:cs="Times New Roman" w:eastAsia="Times New Roman" w:hAnsi="Times New Roman"/>
          <w:sz w:val="24"/>
          <w:szCs w:val="24"/>
        </w:rPr>
        <w:t xml:space="preserve">The Training Effectiveness questions ask about understanding, relevance, capability, application, task support, and confidence. Figure 4.8 shows that favourable responses were common across all seven items. Ninety-three respondents agreed or strongly agreed that they understood the main knowledge or skills covered (Q24). For Q25–Q28, the corresponding count was 89 on each question. These are positive reports of learning and possible use in the employee’s current role, rather than observations of work performance by a supervisor.</w:t>
      </w:r>
    </w:p>
    <w:p>
      <w:pPr>
        <w:spacing w:after="160" w:line="360" w:lineRule="auto"/>
        <w:jc w:val="both"/>
      </w:pPr>
      <w:r>
        <w:rPr>
          <w:rFonts w:ascii="Times New Roman" w:cs="Times New Roman" w:eastAsia="Times New Roman" w:hAnsi="Times New Roman"/>
          <w:sz w:val="24"/>
          <w:szCs w:val="24"/>
        </w:rPr>
        <w:t xml:space="preserve">The count for Q29, which asks whether the programme helped the employee deal with relevant work tasks or problems more effectively, was 88. That is only five fewer favourable responses than for understanding the content in Q24, and the study did not test this small item difference for statistical significance. Still, understanding a topic and using it to solve a work problem are not identical achievements. This is why the questionnaire includes work-application items instead of treating content comprehension alone as the complete outcome. Q30, on confidence in carrying out relevant responsibilities, had 87 favourable responses and ten neutral responses. Confidence is valuable to report, but it is an employee perception and cannot be read as measured improvement in job performance.</w:t>
      </w:r>
    </w:p>
    <w:p>
      <w:pPr>
        <w:spacing w:after="160" w:line="360" w:lineRule="auto"/>
        <w:jc w:val="both"/>
      </w:pPr>
      <w:r>
        <w:rPr>
          <w:rFonts w:ascii="Times New Roman" w:cs="Times New Roman" w:eastAsia="Times New Roman" w:hAnsi="Times New Roman"/>
          <w:sz w:val="24"/>
          <w:szCs w:val="24"/>
        </w:rPr>
        <w:t xml:space="preserve">Across Figures 4.5–4.8, agreement predominates, but the less favourable and neutral responses remain relevant. They show that a positive group mean does not describe every employee’s experience. The item patterns are descriptive; the survey did not ask respondents to explain why they selected a particular category. Any recommendation based on these patterns is therefore a proposal for further programme review, not a tested solution.</w:t>
      </w:r>
    </w:p>
    <w:p>
      <w:pPr>
        <w:pStyle w:val="Heading3"/>
        <w:keepNext/>
        <w:spacing w:after="160" w:before="240"/>
      </w:pPr>
      <w:bookmarkStart w:name="h_76" w:id="76"/>
      <w:r>
        <w:rPr>
          <w:rFonts w:ascii="Times New Roman" w:cs="Times New Roman" w:eastAsia="Times New Roman" w:hAnsi="Times New Roman"/>
          <w:b/>
          <w:bCs/>
        </w:rPr>
        <w:t xml:space="preserve">4.1.3 Distribution Diagnostics</w:t>
      </w:r>
      <w:bookmarkEnd w:id="76"/>
    </w:p>
    <w:p>
      <w:pPr>
        <w:spacing w:after="160" w:line="360" w:lineRule="auto"/>
        <w:jc w:val="both"/>
      </w:pPr>
      <w:r>
        <w:rPr>
          <w:rFonts w:ascii="Times New Roman" w:cs="Times New Roman" w:eastAsia="Times New Roman" w:hAnsi="Times New Roman"/>
          <w:sz w:val="24"/>
          <w:szCs w:val="24"/>
        </w:rPr>
        <w:t xml:space="preserve">SPSS generated histograms, normal Q–Q plots and boxplots for the four construct means. The regression output also includes residual plots. Together with the negative skewness shown in Table 4.2, these graphics show that ratings were concentrated toward the higher end of the scale.</w:t>
      </w:r>
    </w:p>
    <w:p>
      <w:pPr>
        <w:spacing w:after="160" w:line="360" w:lineRule="auto"/>
        <w:jc w:val="both"/>
      </w:pPr>
      <w:r>
        <w:rPr>
          <w:rFonts w:ascii="Times New Roman" w:cs="Times New Roman" w:eastAsia="Times New Roman" w:hAnsi="Times New Roman"/>
          <w:sz w:val="24"/>
          <w:szCs w:val="24"/>
        </w:rPr>
        <w:t xml:space="preserve">Normality tests in the Explore output are statistically significant for all four construct means, consistent with the negatively skewed ratings. The plots serve as distribution diagnostics. The regression results are interpreted in light of the bounded five-point scale and the concentration of positive responses.</w:t>
      </w:r>
    </w:p>
    <w:p>
      <w:pPr>
        <w:pStyle w:val="Heading3"/>
        <w:keepNext/>
        <w:spacing w:after="160" w:before="240"/>
      </w:pPr>
      <w:bookmarkStart w:name="h_77" w:id="77"/>
      <w:r>
        <w:rPr>
          <w:rFonts w:ascii="Times New Roman" w:cs="Times New Roman" w:eastAsia="Times New Roman" w:hAnsi="Times New Roman"/>
          <w:b/>
          <w:bCs/>
        </w:rPr>
        <w:t xml:space="preserve">4.1.4 Overall Questionnaire Consistency and Exploratory Structure Check</w:t>
      </w:r>
      <w:bookmarkEnd w:id="77"/>
    </w:p>
    <w:p>
      <w:pPr>
        <w:spacing w:after="160" w:line="360" w:lineRule="auto"/>
        <w:jc w:val="both"/>
      </w:pPr>
      <w:r>
        <w:rPr>
          <w:rFonts w:ascii="Times New Roman" w:cs="Times New Roman" w:eastAsia="Times New Roman" w:hAnsi="Times New Roman"/>
          <w:sz w:val="24"/>
          <w:szCs w:val="24"/>
        </w:rPr>
        <w:t xml:space="preserve">The reliability analysis reports one Cronbach’s alpha for the full set of 26 Likert-scale questions. The output includes 102 valid cases and excludes one case from this reliability run.</w:t>
      </w:r>
    </w:p>
    <w:p>
      <w:pPr>
        <w:keepNext/>
        <w:spacing w:after="120" w:before="160"/>
        <w:jc w:val="center"/>
      </w:pPr>
      <w:bookmarkStart w:name="tbl_78" w:id="78"/>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set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All scored questionnaire items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160" w:line="360" w:lineRule="auto"/>
        <w:jc w:val="both"/>
      </w:pPr>
      <w:r>
        <w:rPr>
          <w:rFonts w:ascii="Times New Roman" w:cs="Times New Roman" w:eastAsia="Times New Roman" w:hAnsi="Times New Roman"/>
          <w:sz w:val="24"/>
          <w:szCs w:val="24"/>
        </w:rPr>
        <w:t xml:space="preserve">The alpha value indicates very high internal consistency for the complete questionnaire item set. It should not be read as four separate reliability values because the supplied output contains only one combined reliability analysis. The high value also suggests that several items are closely related, which is useful for consistency but should be considered when interpreting relationships between constructs measured in the same response form.</w:t>
      </w:r>
    </w:p>
    <w:p>
      <w:pPr>
        <w:spacing w:after="160" w:line="360" w:lineRule="auto"/>
        <w:jc w:val="both"/>
      </w:pPr>
      <w:r>
        <w:rPr>
          <w:rFonts w:ascii="Times New Roman" w:cs="Times New Roman" w:eastAsia="Times New Roman" w:hAnsi="Times New Roman"/>
          <w:sz w:val="24"/>
          <w:szCs w:val="24"/>
        </w:rPr>
        <w:t xml:space="preserve">Principal Component Analysis with varimax rotation provided an exploratory check of the item structure. The Kaiser–Meyer–Olkin value is .929, and Bartlett’s test of sphericity is statistically significant, χ²(325) = 3664.340,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SPSS extracted four components. This output is treated as a supporting structural check because the questionnaire was designed from the four theory-based constructs. It is not used to rename constructs, claim full scale validation, or change the stated study model.</w:t>
      </w:r>
    </w:p>
    <w:p>
      <w:pPr>
        <w:pStyle w:val="Heading2"/>
        <w:keepNext/>
        <w:spacing w:after="160" w:before="240"/>
      </w:pPr>
      <w:bookmarkStart w:name="h_79" w:id="79"/>
      <w:r>
        <w:rPr>
          <w:rFonts w:ascii="Times New Roman" w:cs="Times New Roman" w:eastAsia="Times New Roman" w:hAnsi="Times New Roman"/>
          <w:b/>
          <w:bCs/>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rPr>
        <w:t xml:space="preserve">4.2.1 Correlation Analysis</w:t>
      </w:r>
      <w:bookmarkEnd w:id="80"/>
    </w:p>
    <w:p>
      <w:pPr>
        <w:spacing w:after="160" w:line="360" w:lineRule="auto"/>
        <w:jc w:val="both"/>
      </w:pPr>
      <w:r>
        <w:rPr>
          <w:rFonts w:ascii="Times New Roman" w:cs="Times New Roman" w:eastAsia="Times New Roman" w:hAnsi="Times New Roman"/>
          <w:sz w:val="24"/>
          <w:szCs w:val="24"/>
        </w:rPr>
        <w:t xml:space="preserve">Pearson correlations describe the direction and strength of association between the construct means. All reported correlations are positive and statistically significant.</w:t>
      </w:r>
    </w:p>
    <w:p>
      <w:pPr>
        <w:keepNext/>
        <w:spacing w:after="120" w:before="160"/>
        <w:jc w:val="center"/>
      </w:pPr>
      <w:bookmarkStart w:name="tbl_81" w:id="81"/>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b/>
          <w:bCs/>
          <w:sz w:val="24"/>
          <w:szCs w:val="24"/>
        </w:rPr>
        <w:t xml:space="preserve">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 of constructs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Pearson’s </w:t>
            </w:r>
            <w:r>
              <w:rPr>
                <w:rFonts w:ascii="Times New Roman" w:cs="Times New Roman" w:eastAsia="Times New Roman" w:hAnsi="Times New Roman"/>
                <w:b/>
                <w:bCs/>
                <w:i/>
                <w:iCs/>
                <w:sz w:val="20"/>
                <w:szCs w:val="20"/>
              </w:rPr>
              <w:t xml:space="preserve">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.818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.659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.746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.668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160" w:line="360" w:lineRule="auto"/>
        <w:jc w:val="both"/>
      </w:pPr>
      <w:r>
        <w:rPr>
          <w:rFonts w:ascii="Times New Roman" w:cs="Times New Roman" w:eastAsia="Times New Roman" w:hAnsi="Times New Roman"/>
          <w:sz w:val="24"/>
          <w:szCs w:val="24"/>
        </w:rPr>
        <w:t xml:space="preserve">The strongest association with Training Effectiveness is Learner Engagement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Employees who reported greater attention, participation, and involvement also tended to report stronger perceived training effectiveness. Hybrid Learning and Trainer Competence are themselves strongly associated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This suggests that respondents often experienced well-connected hybrid learning and effective trainer facilitation together. It also means that their separate contributions must be assessed with care when all three predictors are entered into one regression model.</w:t>
      </w:r>
    </w:p>
    <w:p>
      <w:pPr>
        <w:pStyle w:val="Heading3"/>
        <w:keepNext/>
        <w:spacing w:after="160" w:before="240"/>
      </w:pPr>
      <w:bookmarkStart w:name="h_82" w:id="82"/>
      <w:r>
        <w:rPr>
          <w:rFonts w:ascii="Times New Roman" w:cs="Times New Roman" w:eastAsia="Times New Roman" w:hAnsi="Times New Roman"/>
          <w:b/>
          <w:bCs/>
        </w:rPr>
        <w:t xml:space="preserve">4.2.2 Multiple Regression Analysis</w:t>
      </w:r>
      <w:bookmarkEnd w:id="82"/>
    </w:p>
    <w:p>
      <w:pPr>
        <w:spacing w:after="160" w:line="360" w:lineRule="auto"/>
        <w:jc w:val="both"/>
      </w:pPr>
      <w:r>
        <w:rPr>
          <w:rFonts w:ascii="Times New Roman" w:cs="Times New Roman" w:eastAsia="Times New Roman" w:hAnsi="Times New Roman"/>
          <w:sz w:val="24"/>
          <w:szCs w:val="24"/>
        </w:rPr>
        <w:t xml:space="preserve">The main hypothesis was tested through a multiple regression model with Training Effectiveness as the dependent variable and Hybrid Learning, Trainer Competence, and Learner Engagement as the three predictors.</w:t>
      </w:r>
    </w:p>
    <w:p>
      <w:pPr>
        <w:keepNext/>
        <w:spacing w:after="120" w:before="160"/>
        <w:jc w:val="center"/>
      </w:pPr>
      <w:bookmarkStart w:name="tbl_83" w:id="83"/>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b/>
          <w:bCs/>
          <w:sz w:val="24"/>
          <w:szCs w:val="24"/>
        </w:rPr>
        <w:t xml:space="preserve">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Adjusted 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 of estimate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df</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.780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.608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50.652</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3, 98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The overall regression model is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Together, Hybrid Learning, Trainer Competence, and Learner Engagement account for 60.8 per cent of the variation in reported Training Effectiveness within the 102 cases. The alternative hypothesis is therefore supported at the model level.</w:t>
      </w:r>
    </w:p>
    <w:p>
      <w:pPr>
        <w:keepNext/>
        <w:spacing w:after="120" w:before="160"/>
        <w:jc w:val="center"/>
      </w:pPr>
      <w:bookmarkStart w:name="tbl_84" w:id="84"/>
      <w:r>
        <w:rPr>
          <w:rFonts w:ascii="Times New Roman" w:cs="Times New Roman" w:eastAsia="Times New Roman" w:hAnsi="Times New Roman"/>
          <w:b/>
          <w:bCs/>
          <w:sz w:val="24"/>
          <w:szCs w:val="24"/>
        </w:rPr>
        <w:t xml:space="preserve">Table 4.8: </w:t>
      </w:r>
      <w:r>
        <w:rPr>
          <w:rFonts w:ascii="Times New Roman" w:cs="Times New Roman" w:eastAsia="Times New Roman" w:hAnsi="Times New Roman"/>
          <w:b/>
          <w:bCs/>
          <w:sz w:val="24"/>
          <w:szCs w:val="24"/>
        </w:rPr>
        <w:t xml:space="preserve">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Unstandardised 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1.991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.049</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.188</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1.681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.947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5.346</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When the three predictors are considered together, Learner Engagement is the only individually statistically significant predictor of Training Effectiveness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Its positive coefficient means that higher reported engagement is associated with higher reported training effectiveness after the overlap with Hybrid Learning and Trainer Competence is considered.</w:t>
      </w:r>
    </w:p>
    <w:p>
      <w:pPr>
        <w:spacing w:after="160" w:line="360" w:lineRule="auto"/>
        <w:jc w:val="both"/>
      </w:pPr>
      <w:r>
        <w:rPr>
          <w:rFonts w:ascii="Times New Roman" w:cs="Times New Roman" w:eastAsia="Times New Roman" w:hAnsi="Times New Roman"/>
          <w:sz w:val="24"/>
          <w:szCs w:val="24"/>
        </w:rPr>
        <w:t xml:space="preserve">Hybrid Learning and Trainer Competence have positive coefficients, but their individual coefficients are not statistically significant in this combined model. This does not show that either area is unimportant. Both are strongly related to the other constructs in the correlation results, particularly to each other. The regression result simply shows that, in this respondent group and with all three predictors entered at the same time, Learner Engagement has the clearest unique association with perceived Training Effectiveness.</w:t>
      </w:r>
    </w:p>
    <w:p>
      <w:pPr>
        <w:spacing w:after="160" w:line="360" w:lineRule="auto"/>
        <w:jc w:val="both"/>
      </w:pPr>
      <w:r>
        <w:rPr>
          <w:rFonts w:ascii="Times New Roman" w:cs="Times New Roman" w:eastAsia="Times New Roman" w:hAnsi="Times New Roman"/>
          <w:sz w:val="24"/>
          <w:szCs w:val="24"/>
        </w:rPr>
        <w:t xml:space="preserve">The regression output did not include VIF or tolerance statistics. The strong Hybrid Learning–Trainer Competence correlation is shown in Table 4.6 and considered when interpreting the coefficient pattern.</w:t>
      </w:r>
    </w:p>
    <w:p>
      <w:pPr>
        <w:pStyle w:val="Heading3"/>
        <w:keepNext/>
        <w:spacing w:after="160" w:before="240"/>
      </w:pPr>
      <w:bookmarkStart w:name="h_85" w:id="85"/>
      <w:r>
        <w:rPr>
          <w:rFonts w:ascii="Times New Roman" w:cs="Times New Roman" w:eastAsia="Times New Roman" w:hAnsi="Times New Roman"/>
          <w:b/>
          <w:bCs/>
        </w:rPr>
        <w:t xml:space="preserve">4.2.3 Supplementary Comparisons and Test Suitability</w:t>
      </w:r>
      <w:bookmarkEnd w:id="85"/>
    </w:p>
    <w:p>
      <w:pPr>
        <w:spacing w:after="160" w:line="360" w:lineRule="auto"/>
        <w:jc w:val="both"/>
      </w:pPr>
      <w:r>
        <w:rPr>
          <w:rFonts w:ascii="Times New Roman" w:cs="Times New Roman" w:eastAsia="Times New Roman" w:hAnsi="Times New Roman"/>
          <w:sz w:val="24"/>
          <w:szCs w:val="24"/>
        </w:rPr>
        <w:t xml:space="preserve">The following tests use the 102-case scored CSV and address questions separate from the main regression. They are exploratory checks, not additional evidence that one training factor causes another. Their source differs from the saved SPSS viewer: that viewer’s one-sample, crosstab, and ANOVA outputs often used 103 cases. The saved SPSS data file was not available for a cell-by-cell comparison, so these supplementary numbers require verification in SPSS before final submission.</w:t>
      </w:r>
    </w:p>
    <w:p>
      <w:pPr>
        <w:spacing w:after="160" w:line="360" w:lineRule="auto"/>
        <w:jc w:val="both"/>
      </w:pPr>
      <w:r>
        <w:rPr>
          <w:rFonts w:ascii="Times New Roman" w:cs="Times New Roman" w:eastAsia="Times New Roman" w:hAnsi="Times New Roman"/>
          <w:sz w:val="24"/>
          <w:szCs w:val="24"/>
        </w:rPr>
        <w:t xml:space="preserve">First, one-sample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mean score with 3, the neutral point on the five-point scale. Each 102-case mean is above 3. These tests restate the generally positive response pattern; they do not test the relationship hypothesis.</w:t>
      </w:r>
    </w:p>
    <w:p>
      <w:pPr>
        <w:keepNext/>
        <w:spacing w:after="120" w:before="160"/>
        <w:jc w:val="center"/>
      </w:pPr>
      <w:bookmarkStart w:name="tbl_86" w:id="86"/>
      <w:r>
        <w:rPr>
          <w:rFonts w:ascii="Times New Roman" w:cs="Times New Roman" w:eastAsia="Times New Roman" w:hAnsi="Times New Roman"/>
          <w:b/>
          <w:bCs/>
          <w:sz w:val="24"/>
          <w:szCs w:val="24"/>
        </w:rPr>
        <w:t xml:space="preserve">Table 4.9: </w:t>
      </w:r>
      <w:r>
        <w:rPr>
          <w:rFonts w:ascii="Times New Roman" w:cs="Times New Roman" w:eastAsia="Times New Roman" w:hAnsi="Times New Roman"/>
          <w:b/>
          <w:bCs/>
          <w:sz w:val="24"/>
          <w:szCs w:val="24"/>
        </w:rPr>
        <w:t xml:space="preserve">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13.484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13.551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16.778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15.159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Hybrid Learning mean here is 4.144, compared with 4.148 in the supplied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table. This small difference confirms that the saved SPSS viewer and the reconstructed 102-case CSV are not yet proven to contain identical item values. The SPSS figures remain the source for Tables 4.2–4.7 and the main hypothesis decision.</w:t>
      </w:r>
    </w:p>
    <w:p>
      <w:pPr>
        <w:spacing w:after="160" w:line="360" w:lineRule="auto"/>
        <w:jc w:val="both"/>
      </w:pPr>
      <w:r>
        <w:rPr>
          <w:rFonts w:ascii="Times New Roman" w:cs="Times New Roman" w:eastAsia="Times New Roman" w:hAnsi="Times New Roman"/>
          <w:sz w:val="24"/>
          <w:szCs w:val="24"/>
        </w:rPr>
        <w:t xml:space="preserve">A Welch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compared perceived Training Effectiveness for officers and managers. The officer group had 56 respondents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and the managerial group had 26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The difference was not statistically significant,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(52.261) = −0.270,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.788. Clerical respondents were not part of this two-group comparison.</w:t>
      </w:r>
    </w:p>
    <w:p>
      <w:pPr>
        <w:spacing w:after="160" w:line="360" w:lineRule="auto"/>
        <w:jc w:val="both"/>
      </w:pPr>
      <w:r>
        <w:rPr>
          <w:rFonts w:ascii="Times New Roman" w:cs="Times New Roman" w:eastAsia="Times New Roman" w:hAnsi="Times New Roman"/>
          <w:sz w:val="24"/>
          <w:szCs w:val="24"/>
        </w:rPr>
        <w:t xml:space="preserve">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compared each respondent’s Training Effectiveness score with that respondent’s other construct scores. None of the three mean differences reached the .05 significance level. These tests compare ratings of different concepts, so they should not be interpreted as changes over time or as evidence that one construct produced another.</w:t>
      </w:r>
    </w:p>
    <w:p>
      <w:pPr>
        <w:keepNext/>
        <w:spacing w:after="120" w:before="160"/>
        <w:jc w:val="center"/>
      </w:pPr>
      <w:bookmarkStart w:name="tbl_87" w:id="87"/>
      <w:r>
        <w:rPr>
          <w:rFonts w:ascii="Times New Roman" w:cs="Times New Roman" w:eastAsia="Times New Roman" w:hAnsi="Times New Roman"/>
          <w:b/>
          <w:bCs/>
          <w:sz w:val="24"/>
          <w:szCs w:val="24"/>
        </w:rPr>
        <w:t xml:space="preserve">Table 4.10: </w:t>
      </w:r>
      <w:r>
        <w:rPr>
          <w:rFonts w:ascii="Times New Roman" w:cs="Times New Roman" w:eastAsia="Times New Roman" w:hAnsi="Times New Roman"/>
          <w:b/>
          <w:bCs/>
          <w:sz w:val="24"/>
          <w:szCs w:val="24"/>
        </w:rPr>
        <w:t xml:space="preserve">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Paired scores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 difference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−1.385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.263</w:t>
            </w:r>
          </w:p>
        </w:tc>
      </w:tr>
    </w:tbl>
    <w:p>
      <w:pPr>
        <w:spacing w:after="120"/>
      </w:pPr>
    </w:p>
    <w:p>
      <w:pPr>
        <w:spacing w:after="160" w:line="360" w:lineRule="auto"/>
        <w:jc w:val="both"/>
      </w:pPr>
      <w:r>
        <w:rPr>
          <w:rFonts w:ascii="Times New Roman" w:cs="Times New Roman" w:eastAsia="Times New Roman" w:hAnsi="Times New Roman"/>
          <w:sz w:val="24"/>
          <w:szCs w:val="24"/>
        </w:rPr>
        <w:t xml:space="preserve">A one-way ANOVA compared Training Effectiveness across clerical, officer, and managerial respondents. Their respective means were 4.550 (n = 20), 4.163 (n = 56), and 4.220 (n = 26). The group difference was not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(2, 99) = 1.629,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.201. A Duncan post-hoc comparison is therefore not used to identify group differences in this final 102-case analysis.</w:t>
      </w:r>
    </w:p>
    <w:p>
      <w:pPr>
        <w:spacing w:after="160" w:line="360" w:lineRule="auto"/>
        <w:jc w:val="both"/>
      </w:pPr>
      <w:r>
        <w:rPr>
          <w:rFonts w:ascii="Times New Roman" w:cs="Times New Roman" w:eastAsia="Times New Roman" w:hAnsi="Times New Roman"/>
          <w:sz w:val="24"/>
          <w:szCs w:val="24"/>
        </w:rPr>
        <w:t xml:space="preserve">Finally, raw-mean crosstabs were checked for Pearson chi-square suitability. Between 98.8 and 99.3 per cent of expected cells were below five across the three predictor-by-effectiveness tables; the minimum expected count was approximately .010. These tables are too sparse for a dependable chi-square interpretation. The positive construct relationships are therefore assessed through the Pearson correlations in Table 4.6 rather than chi-square significance claims.</w:t>
      </w:r>
    </w:p>
    <w:p>
      <w:pPr>
        <w:keepNext/>
        <w:spacing w:after="120" w:before="160"/>
        <w:jc w:val="center"/>
      </w:pPr>
      <w:bookmarkStart w:name="tbl_88" w:id="88"/>
      <w:r>
        <w:rPr>
          <w:rFonts w:ascii="Times New Roman" w:cs="Times New Roman" w:eastAsia="Times New Roman" w:hAnsi="Times New Roman"/>
          <w:b/>
          <w:bCs/>
          <w:sz w:val="24"/>
          <w:szCs w:val="24"/>
        </w:rPr>
        <w:t xml:space="preserve">Table 4.11: </w:t>
      </w:r>
      <w:r>
        <w:rPr>
          <w:rFonts w:ascii="Times New Roman" w:cs="Times New Roman" w:eastAsia="Times New Roman" w:hAnsi="Times New Roman"/>
          <w:b/>
          <w:bCs/>
          <w:sz w:val="24"/>
          <w:szCs w:val="24"/>
        </w:rPr>
        <w:t xml:space="preserve">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 crossed with Training Effectiveness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χ²</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df</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Expected cells below 5</w:t>
            </w:r>
          </w:p>
        </w:tc>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433.554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99.3%</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369.492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99.1%</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481.111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98.8%</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construct means have many distinct values, producing very small expected counts. No hypothesis decision is based on these chi-square statistics.</w:t>
      </w:r>
    </w:p>
    <w:p>
      <w:pPr>
        <w:pStyle w:val="Heading2"/>
        <w:keepNext/>
        <w:spacing w:after="160" w:before="240"/>
      </w:pPr>
      <w:bookmarkStart w:name="h_89" w:id="89"/>
      <w:r>
        <w:rPr>
          <w:rFonts w:ascii="Times New Roman" w:cs="Times New Roman" w:eastAsia="Times New Roman" w:hAnsi="Times New Roman"/>
          <w:b/>
          <w:bCs/>
        </w:rPr>
        <w:t xml:space="preserve">4.3 Interpretation of Results</w:t>
      </w:r>
      <w:bookmarkEnd w:id="89"/>
    </w:p>
    <w:p>
      <w:pPr>
        <w:spacing w:after="160" w:line="360" w:lineRule="auto"/>
        <w:jc w:val="both"/>
      </w:pPr>
      <w:r>
        <w:rPr>
          <w:rFonts w:ascii="Times New Roman" w:cs="Times New Roman" w:eastAsia="Times New Roman" w:hAnsi="Times New Roman"/>
          <w:sz w:val="24"/>
          <w:szCs w:val="24"/>
        </w:rPr>
        <w:t xml:space="preserve">Respondents who were more actively involved in their selected programme also reported stronger learning relevance, confidence, and work application. In a bank setting, active involvement can include asking questions, practising a process, following a live or classroom session, revisiting material, and connecting the programme with regular work responsibilities.</w:t>
      </w:r>
    </w:p>
    <w:p>
      <w:pPr>
        <w:spacing w:after="160" w:line="360" w:lineRule="auto"/>
        <w:jc w:val="both"/>
      </w:pPr>
      <w:r>
        <w:rPr>
          <w:rFonts w:ascii="Times New Roman" w:cs="Times New Roman" w:eastAsia="Times New Roman" w:hAnsi="Times New Roman"/>
          <w:sz w:val="24"/>
          <w:szCs w:val="24"/>
        </w:rPr>
        <w:t xml:space="preserve">Hybrid Learning received positive ratings and was positively associated with Training Effectiveness. Table 4.3 shows where respondents were least positive: preparation through digital activities before a face-to-face session. For a bank employee, this could mean starting the live session without enough time or guidance to use the earlier material. The survey does not identify the exact reason; it identifies a useful question for programme review.</w:t>
      </w:r>
    </w:p>
    <w:p>
      <w:pPr>
        <w:spacing w:after="160" w:line="360" w:lineRule="auto"/>
        <w:jc w:val="both"/>
      </w:pPr>
      <w:r>
        <w:rPr>
          <w:rFonts w:ascii="Times New Roman" w:cs="Times New Roman" w:eastAsia="Times New Roman" w:hAnsi="Times New Roman"/>
          <w:sz w:val="24"/>
          <w:szCs w:val="24"/>
        </w:rPr>
        <w:t xml:space="preserve">The correlation and regression findings should be read together. Correlation shows that each construct moves positively with Training Effectiveness. Regression asks a narrower question: which predictor still makes a distinct statistical contribution after the other two are already in the model? Here, Learner Engagement provides that distinct contribution.</w:t>
      </w:r>
    </w:p>
    <w:p>
      <w:pPr>
        <w:pStyle w:val="Heading2"/>
        <w:keepNext/>
        <w:spacing w:after="160" w:before="240"/>
      </w:pPr>
      <w:bookmarkStart w:name="h_90" w:id="90"/>
      <w:r>
        <w:rPr>
          <w:rFonts w:ascii="Times New Roman" w:cs="Times New Roman" w:eastAsia="Times New Roman" w:hAnsi="Times New Roman"/>
          <w:b/>
          <w:bCs/>
        </w:rPr>
        <w:t xml:space="preserve">4.4 Comparison with Previous Studies</w:t>
      </w:r>
      <w:bookmarkEnd w:id="90"/>
    </w:p>
    <w:p>
      <w:pPr>
        <w:spacing w:after="160" w:line="360" w:lineRule="auto"/>
        <w:jc w:val="both"/>
      </w:pPr>
      <w:r>
        <w:rPr>
          <w:rFonts w:ascii="Times New Roman" w:cs="Times New Roman" w:eastAsia="Times New Roman" w:hAnsi="Times New Roman"/>
          <w:sz w:val="24"/>
          <w:szCs w:val="24"/>
        </w:rPr>
        <w:t xml:space="preserve">Sosnova et al. (2025) examined hybrid methods and learning effectiveness among higher-education students. The positive ratings in the present study are broadly compatible with their interest in connected learning activities, but the two studies used different populations and outcome measures. The Union Bank survey did not compare a hybrid group with a classroom-only group.</w:t>
      </w:r>
    </w:p>
    <w:p>
      <w:pPr>
        <w:spacing w:after="160" w:line="360" w:lineRule="auto"/>
        <w:jc w:val="both"/>
      </w:pPr>
      <w:r>
        <w:rPr>
          <w:rFonts w:ascii="Times New Roman" w:cs="Times New Roman" w:eastAsia="Times New Roman" w:hAnsi="Times New Roman"/>
          <w:sz w:val="24"/>
          <w:szCs w:val="24"/>
        </w:rPr>
        <w:t xml:space="preserve">Kim (2022) found that training delivery, instructor involvement and programme design mattered in automotive sales training. Kim also reported that the hybrid group did not outperform the traditional group in every comparison. The present findings similarly suggest that the quality of the learning experience deserves attention: Hybrid Learning and Trainer Competence were positively correlated with Training Effectiveness, while Learner Engagement had the clearest separate coefficient in the combined model. These are employee perceptions from one banking sample, so they cannot reproduce Kim’s comparison of delivery methods.</w:t>
      </w:r>
    </w:p>
    <w:p>
      <w:pPr>
        <w:spacing w:after="160" w:line="360" w:lineRule="auto"/>
        <w:jc w:val="both"/>
      </w:pPr>
      <w:r>
        <w:rPr>
          <w:rFonts w:ascii="Times New Roman" w:cs="Times New Roman" w:eastAsia="Times New Roman" w:hAnsi="Times New Roman"/>
          <w:sz w:val="24"/>
          <w:szCs w:val="24"/>
        </w:rPr>
        <w:t xml:space="preserve">Bahl, Kiran and Sharma (2024) showed the value of evaluating training among Indian bank employees through Kirkpatrick’s framework. The present study adds a narrower view of one hybrid programme, with employees reporting understanding, relevance and use of learning in their own roles. It did not measure Kirkpatrick’s full results level or objective work performance. Mulaudzi’s (2021) workplace study also highlights access and practical barriers; the lower digital-preparation item in Table 4.3 makes that issue worth examining in the Bank’s training process.</w:t>
      </w:r>
    </w:p>
    <w:p>
      <w:pPr>
        <w:spacing w:after="160" w:line="360" w:lineRule="auto"/>
        <w:jc w:val="both"/>
      </w:pPr>
      <w:r>
        <w:rPr>
          <w:rFonts w:ascii="Times New Roman" w:cs="Times New Roman" w:eastAsia="Times New Roman" w:hAnsi="Times New Roman"/>
          <w:sz w:val="24"/>
          <w:szCs w:val="24"/>
        </w:rPr>
        <w:t xml:space="preserve">The item distributions sharpen this comparison. Understanding the content (Q24) attracted 93 favourable responses, while reporting better handling of work tasks or problems (Q29) attracted 88. The difference is small, but the two questions concern different stages of learning. Kirkpatrick’s framework and the training-transfer literature explain why understanding should not be treated as proof of later application. The present survey has only the employee’s account at one point in time, so it can identify a reported application pattern without verifying sustained behaviour change.</w:t>
      </w:r>
    </w:p>
    <w:p>
      <w:pPr>
        <w:spacing w:after="160" w:line="360" w:lineRule="auto"/>
        <w:jc w:val="both"/>
      </w:pPr>
      <w:r>
        <w:rPr>
          <w:rFonts w:ascii="Times New Roman" w:cs="Times New Roman" w:eastAsia="Times New Roman" w:hAnsi="Times New Roman"/>
          <w:sz w:val="24"/>
          <w:szCs w:val="24"/>
        </w:rPr>
        <w:t xml:space="preserve">Han and Ellis (2020) emphasise the learner’s experience of the blended environment rather than merely the presence of two delivery modes. In the Union Bank data, the lowest Hybrid Learning item concerns digital preparation for a later face-to-face session. This gives a concrete reason to examine the handover between modes, even though the overall Hybrid Learning mean is positive. The study extends that question to a workplace setting; it does not transfer the student scale or its validation results directly to bank employees.</w:t>
      </w:r>
    </w:p>
    <w:p>
      <w:pPr>
        <w:pStyle w:val="Heading2"/>
        <w:keepNext/>
        <w:spacing w:after="160" w:before="240"/>
      </w:pPr>
      <w:bookmarkStart w:name="h_91" w:id="91"/>
      <w:r>
        <w:rPr>
          <w:rFonts w:ascii="Times New Roman" w:cs="Times New Roman" w:eastAsia="Times New Roman" w:hAnsi="Times New Roman"/>
          <w:b/>
          <w:bCs/>
        </w:rPr>
        <w:t xml:space="preserve">4.5 Theoretical and Practical Implications</w:t>
      </w:r>
      <w:bookmarkEnd w:id="91"/>
    </w:p>
    <w:p>
      <w:pPr>
        <w:spacing w:after="160" w:line="360" w:lineRule="auto"/>
        <w:jc w:val="both"/>
      </w:pPr>
      <w:r>
        <w:rPr>
          <w:rFonts w:ascii="Times New Roman" w:cs="Times New Roman" w:eastAsia="Times New Roman" w:hAnsi="Times New Roman"/>
          <w:sz w:val="24"/>
          <w:szCs w:val="24"/>
        </w:rPr>
        <w:t xml:space="preserve">The three predictors had a significant joint relationship with perceived Training Effectiveness. This supports examining programme design, trainer support and employee involvement together in workplace hybrid learning. Their high correlations also show why a positive pairwise relationship should not be confused with a separate contribution after the other predictors are entered into the regression. The findings do not establish a causal order among the three predictors.</w:t>
      </w:r>
    </w:p>
    <w:p>
      <w:pPr>
        <w:spacing w:after="160" w:line="360" w:lineRule="auto"/>
        <w:jc w:val="both"/>
      </w:pPr>
      <w:r>
        <w:rPr>
          <w:rFonts w:ascii="Times New Roman" w:cs="Times New Roman" w:eastAsia="Times New Roman" w:hAnsi="Times New Roman"/>
          <w:sz w:val="24"/>
          <w:szCs w:val="24"/>
        </w:rPr>
        <w:t xml:space="preserve">For the Bank, the most immediate review point is the handover from digital preparation to the face-to-face session. Programme coordinators could check when preparatory material reaches employees, how the trainer refers to it, and whether employees can make time to use it. Trainers could also give employees practical chances to ask questions and practise. These suggestions follow the response pattern, especially Q6 and the strong association of Learner Engagement with Training Effectiveness; they have not been tested as interventions in this study.</w:t>
      </w:r>
    </w:p>
    <w:p>
      <w:pPr>
        <w:spacing w:after="160" w:line="360" w:lineRule="auto"/>
        <w:jc w:val="both"/>
      </w:pPr>
      <w:r>
        <w:rPr>
          <w:rFonts w:ascii="Times New Roman" w:cs="Times New Roman" w:eastAsia="Times New Roman" w:hAnsi="Times New Roman"/>
          <w:sz w:val="24"/>
          <w:szCs w:val="24"/>
        </w:rPr>
        <w:t xml:space="preserve">The questionnaire points to three practical stages that could be reviewed together. Before the live session, coordinators can check whether employees receive a specific digital task and enough time to complete it. During the session, trainers can connect that task to a banking example and make room for questions and feedback. Afterwards, employees need access to material they can revisit when a related work problem arises. Each stage corresponds to an item area already measured in the survey. The results indicate where to look; a future evaluation would be needed to establish whether any change at these stages improves learning or application.</w:t>
      </w:r>
    </w:p>
    <w:p>
      <w:r>
        <w:br w:type="page"/>
      </w:r>
    </w:p>
    <w:p>
      <w:pPr>
        <w:pStyle w:val="Heading1"/>
        <w:keepNext/>
        <w:spacing w:after="160" w:before="0"/>
      </w:pPr>
      <w:bookmarkStart w:name="h_92" w:id="92"/>
      <w:r>
        <w:rPr>
          <w:rFonts w:ascii="Times New Roman" w:cs="Times New Roman" w:eastAsia="Times New Roman" w:hAnsi="Times New Roman"/>
          <w:b/>
          <w:bCs/>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rPr>
        <w:t xml:space="preserve">5.1 Introduction</w:t>
      </w:r>
      <w:bookmarkEnd w:id="93"/>
    </w:p>
    <w:p>
      <w:pPr>
        <w:spacing w:after="160" w:line="360" w:lineRule="auto"/>
        <w:jc w:val="both"/>
      </w:pPr>
      <w:r>
        <w:rPr>
          <w:rFonts w:ascii="Times New Roman" w:cs="Times New Roman" w:eastAsia="Times New Roman" w:hAnsi="Times New Roman"/>
          <w:sz w:val="24"/>
          <w:szCs w:val="24"/>
        </w:rPr>
        <w:t xml:space="preserve">This chapter brings together the results of the study on Hybrid Learning and Training Effectiveness among selected Union Bank respondents. Hybrid Learning, Trainer Competence, and Learner Engagement are the three independent variables; Training Effectiveness is the dependent variable. The regression uses 102 valid cases.</w:t>
      </w:r>
    </w:p>
    <w:p>
      <w:pPr>
        <w:pStyle w:val="Heading2"/>
        <w:keepNext/>
        <w:spacing w:after="160" w:before="240"/>
      </w:pPr>
      <w:bookmarkStart w:name="h_94" w:id="94"/>
      <w:r>
        <w:rPr>
          <w:rFonts w:ascii="Times New Roman" w:cs="Times New Roman" w:eastAsia="Times New Roman" w:hAnsi="Times New Roman"/>
          <w:b/>
          <w:bCs/>
        </w:rPr>
        <w:t xml:space="preserve">5.2 Summary of the Study</w:t>
      </w:r>
      <w:bookmarkEnd w:id="94"/>
    </w:p>
    <w:p>
      <w:pPr>
        <w:spacing w:after="160" w:line="360" w:lineRule="auto"/>
        <w:jc w:val="both"/>
      </w:pPr>
      <w:r>
        <w:rPr>
          <w:rFonts w:ascii="Times New Roman" w:cs="Times New Roman" w:eastAsia="Times New Roman" w:hAnsi="Times New Roman"/>
          <w:sz w:val="24"/>
          <w:szCs w:val="24"/>
        </w:rPr>
        <w:t xml:space="preserve">The study was undertaken in the context of employee learning in a public-sector bank. Union Bank uses both physical learning infrastructure and digital learning support, including Union Vidya and virtual delivery arrangements. Employees may therefore experience training through a mix of online material, trainer-led discussion, practice, clarification, and later access to resources.</w:t>
      </w:r>
    </w:p>
    <w:p>
      <w:pPr>
        <w:spacing w:after="16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160" w:line="360" w:lineRule="auto"/>
        <w:jc w:val="both"/>
      </w:pPr>
      <w:r>
        <w:rPr>
          <w:rFonts w:ascii="Times New Roman" w:cs="Times New Roman" w:eastAsia="Times New Roman" w:hAnsi="Times New Roman"/>
          <w:sz w:val="24"/>
          <w:szCs w:val="24"/>
        </w:rPr>
        <w:t xml:space="preserve">The questionnaire asked respondents to consider one hybrid-training programme attended during the preceding 12 months. It contained 26 five-point agreement items across the four constructs, along with four eligibility and profile questions. A small online pilot was conducted before the main collection to check clarity, relevance, repetition, completion burden, and Union Vidya wording.</w:t>
      </w:r>
    </w:p>
    <w:p>
      <w:pPr>
        <w:spacing w:after="160" w:line="360" w:lineRule="auto"/>
        <w:jc w:val="both"/>
      </w:pPr>
      <w:r>
        <w:rPr>
          <w:rFonts w:ascii="Times New Roman" w:cs="Times New Roman" w:eastAsia="Times New Roman" w:hAnsi="Times New Roman"/>
          <w:sz w:val="24"/>
          <w:szCs w:val="24"/>
        </w:rPr>
        <w:t xml:space="preserve">Main responses were gathered through printed questionnaires and Google Forms from employees connected with Regional Office Chennai South and selected Chennai branches. Of 132 received records, 103 were profile-complete before SPSS analysis. The SPSS analysis reports 102 valid cases for the construct-level and regression analysis because one case had a missing Trainer Competence mean in that file.</w:t>
      </w:r>
    </w:p>
    <w:p>
      <w:pPr>
        <w:spacing w:after="160" w:line="360" w:lineRule="auto"/>
        <w:jc w:val="both"/>
      </w:pPr>
      <w:r>
        <w:rPr>
          <w:rFonts w:ascii="Times New Roman" w:cs="Times New Roman" w:eastAsia="Times New Roman" w:hAnsi="Times New Roman"/>
          <w:sz w:val="24"/>
          <w:szCs w:val="24"/>
        </w:rPr>
        <w:t xml:space="preserve">The main hypothesis tested whether Hybrid Learning, Trainer Competence, and Learner Engagement jointly predict Training Effectiveness. Descriptive statistics, an overall reliability analysis, exploratory factor analysis, Pearson correlations, and multiple regression were available in the SPSS output. The regression was the main hypothesis test.</w:t>
      </w:r>
    </w:p>
    <w:p>
      <w:pPr>
        <w:pStyle w:val="Heading2"/>
        <w:keepNext/>
        <w:spacing w:after="160" w:before="240"/>
      </w:pPr>
      <w:bookmarkStart w:name="h_95" w:id="95"/>
      <w:r>
        <w:rPr>
          <w:rFonts w:ascii="Times New Roman" w:cs="Times New Roman" w:eastAsia="Times New Roman" w:hAnsi="Times New Roman"/>
          <w:b/>
          <w:bCs/>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rPr>
        <w:t xml:space="preserve">5.3.1 Respondents rated all four areas positively</w:t>
      </w:r>
      <w:bookmarkEnd w:id="96"/>
    </w:p>
    <w:p>
      <w:pPr>
        <w:spacing w:after="160" w:line="360" w:lineRule="auto"/>
        <w:jc w:val="both"/>
      </w:pPr>
      <w:r>
        <w:rPr>
          <w:rFonts w:ascii="Times New Roman" w:cs="Times New Roman" w:eastAsia="Times New Roman" w:hAnsi="Times New Roman"/>
          <w:sz w:val="24"/>
          <w:szCs w:val="24"/>
        </w:rPr>
        <w:t xml:space="preserve">All construct means were above the midpoint of the five-point scale. Learner Engagement had the highest mean (4.317), followed by Training Effectiveness (4.254), Trainer Competence (4.158), and Hybrid Learning (4.148). These results show that the selected respondents generally gave positive ratings to their programme experience.</w:t>
      </w:r>
    </w:p>
    <w:p>
      <w:pPr>
        <w:spacing w:after="160" w:line="360" w:lineRule="auto"/>
        <w:jc w:val="both"/>
      </w:pPr>
      <w:r>
        <w:rPr>
          <w:rFonts w:ascii="Times New Roman" w:cs="Times New Roman" w:eastAsia="Times New Roman" w:hAnsi="Times New Roman"/>
          <w:sz w:val="24"/>
          <w:szCs w:val="24"/>
        </w:rPr>
        <w:t xml:space="preserve">Hybrid Learning had the lowest mean among the four constructs, although it was still positive. This is an important practical finding. A programme can contain both digital and face-to-face elements, yet employees may still need clearer digital preparation, better sequencing of material, or easier connection between platform content and trainer-led work.</w:t>
      </w:r>
    </w:p>
    <w:p>
      <w:pPr>
        <w:pStyle w:val="Heading3"/>
        <w:keepNext/>
        <w:spacing w:after="160" w:before="240"/>
      </w:pPr>
      <w:bookmarkStart w:name="h_97" w:id="97"/>
      <w:r>
        <w:rPr>
          <w:rFonts w:ascii="Times New Roman" w:cs="Times New Roman" w:eastAsia="Times New Roman" w:hAnsi="Times New Roman"/>
          <w:b/>
          <w:bCs/>
        </w:rPr>
        <w:t xml:space="preserve">5.3.2 The four constructs were positively associated</w:t>
      </w:r>
      <w:bookmarkEnd w:id="97"/>
    </w:p>
    <w:p>
      <w:pPr>
        <w:spacing w:after="160" w:line="360" w:lineRule="auto"/>
        <w:jc w:val="both"/>
      </w:pPr>
      <w:r>
        <w:rPr>
          <w:rFonts w:ascii="Times New Roman" w:cs="Times New Roman" w:eastAsia="Times New Roman" w:hAnsi="Times New Roman"/>
          <w:sz w:val="24"/>
          <w:szCs w:val="24"/>
        </w:rPr>
        <w:t xml:space="preserve">All pairwise Pearson correlations were positive and statistically significant. Learner Engagement had the strongest association with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Hybrid Learning and Trainer Competence were also strongly associated with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The pattern suggests that respondents often experienced these parts of training together, rather than as completely separate experiences.</w:t>
      </w:r>
    </w:p>
    <w:p>
      <w:pPr>
        <w:pStyle w:val="Heading3"/>
        <w:keepNext/>
        <w:spacing w:after="160" w:before="240"/>
      </w:pPr>
      <w:bookmarkStart w:name="h_98" w:id="98"/>
      <w:r>
        <w:rPr>
          <w:rFonts w:ascii="Times New Roman" w:cs="Times New Roman" w:eastAsia="Times New Roman" w:hAnsi="Times New Roman"/>
          <w:b/>
          <w:bCs/>
        </w:rPr>
        <w:t xml:space="preserve">5.3.3 Decision on the study hypothesis</w:t>
      </w:r>
      <w:bookmarkEnd w:id="98"/>
    </w:p>
    <w:p>
      <w:pPr>
        <w:spacing w:after="160" w:line="360" w:lineRule="auto"/>
        <w:jc w:val="both"/>
      </w:pPr>
      <w:r>
        <w:rPr>
          <w:rFonts w:ascii="Times New Roman" w:cs="Times New Roman" w:eastAsia="Times New Roman" w:hAnsi="Times New Roman"/>
          <w:sz w:val="24"/>
          <w:szCs w:val="24"/>
        </w:rPr>
        <w:t xml:space="preserve">The study tested one overall hypothesis: whether Hybrid Learning, Trainer Competence, and Learner Engagement jointly predict perceived Training Effectiveness. The regression model was statistically significant at the 5 per cent level. </w:t>
      </w:r>
      <w:r>
        <w:rPr>
          <w:rFonts w:ascii="Times New Roman" w:cs="Times New Roman" w:eastAsia="Times New Roman" w:hAnsi="Times New Roman"/>
          <w:b/>
          <w:bCs/>
          <w:sz w:val="24"/>
          <w:szCs w:val="24"/>
        </w:rPr>
        <w:t xml:space="preserve">The null hypothesis (H₀) is rejected, and the alternative hypothesis (H₁) is supported for the three predictors together.</w:t>
      </w:r>
    </w:p>
    <w:p>
      <w:pPr>
        <w:keepNext/>
        <w:spacing w:after="120" w:before="160"/>
        <w:jc w:val="center"/>
      </w:pPr>
      <w:bookmarkStart w:name="tbl_99" w:id="99"/>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b/>
          <w:bCs/>
          <w:sz w:val="24"/>
          <w:szCs w:val="24"/>
        </w:rPr>
        <w:t xml:space="preserve">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predicting Training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(3, 98) = 50.652;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² = .608; valid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support H₁ for the combined model.</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value means that the three predictors together accounted for 60.8 per cent of the variation in reported Training Effectiveness among these respondents. It does not mean that they caused 60.8 per cent of an employee’s learning or work performance.</w:t>
      </w:r>
    </w:p>
    <w:p>
      <w:pPr>
        <w:pStyle w:val="Heading3"/>
        <w:keepNext/>
        <w:spacing w:after="160" w:before="240"/>
      </w:pPr>
      <w:bookmarkStart w:name="h_100" w:id="100"/>
      <w:r>
        <w:rPr>
          <w:rFonts w:ascii="Times New Roman" w:cs="Times New Roman" w:eastAsia="Times New Roman" w:hAnsi="Times New Roman"/>
          <w:b/>
          <w:bCs/>
        </w:rPr>
        <w:t xml:space="preserve">5.3.4 Individual predictor results</w:t>
      </w:r>
      <w:bookmarkEnd w:id="100"/>
    </w:p>
    <w:p>
      <w:pPr>
        <w:spacing w:after="160" w:line="360" w:lineRule="auto"/>
        <w:jc w:val="both"/>
      </w:pPr>
      <w:r>
        <w:rPr>
          <w:rFonts w:ascii="Times New Roman" w:cs="Times New Roman" w:eastAsia="Times New Roman" w:hAnsi="Times New Roman"/>
          <w:sz w:val="24"/>
          <w:szCs w:val="24"/>
        </w:rPr>
        <w:t xml:space="preserve">The overall decision does not mean that all three predictors were individually significant. The coefficient results answer a separate question: which variable still has a distinct statistical association with Training Effectiveness when the other two are included in the model?</w:t>
      </w:r>
    </w:p>
    <w:p>
      <w:pPr>
        <w:keepNext/>
        <w:spacing w:after="120" w:before="160"/>
        <w:jc w:val="center"/>
      </w:pPr>
      <w:bookmarkStart w:name="tbl_101" w:id="101"/>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b/>
          <w:bCs/>
          <w:sz w:val="24"/>
          <w:szCs w:val="24"/>
        </w:rPr>
        <w:t xml:space="preserve">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 at the 5 per cent level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Individually significant</w:t>
            </w:r>
          </w:p>
        </w:tc>
      </w:tr>
    </w:tbl>
    <w:p>
      <w:pPr>
        <w:spacing w:after="120"/>
      </w:pPr>
    </w:p>
    <w:p>
      <w:pPr>
        <w:spacing w:after="160" w:line="360" w:lineRule="auto"/>
        <w:jc w:val="both"/>
      </w:pPr>
      <w:r>
        <w:rPr>
          <w:rFonts w:ascii="Times New Roman" w:cs="Times New Roman" w:eastAsia="Times New Roman" w:hAnsi="Times New Roman"/>
          <w:sz w:val="24"/>
          <w:szCs w:val="24"/>
        </w:rPr>
        <w:t xml:space="preserve">Learner Engagement had the clearest unique association with perceived Training Effectiveness. Hybrid Learning and Trainer Competence had positive coefficients, but their separate contributions were not statistically established after all three variables were entered together. These results do not make either area unnecessary: both were positively correlated with Training Effectiveness, and Hybrid Learning and Trainer Competence were strongly related to each other.</w:t>
      </w:r>
    </w:p>
    <w:p>
      <w:pPr>
        <w:spacing w:after="160" w:line="360" w:lineRule="auto"/>
        <w:jc w:val="both"/>
      </w:pPr>
      <w:r>
        <w:rPr>
          <w:rFonts w:ascii="Times New Roman" w:cs="Times New Roman" w:eastAsia="Times New Roman" w:hAnsi="Times New Roman"/>
          <w:sz w:val="24"/>
          <w:szCs w:val="24"/>
        </w:rPr>
        <w:t xml:space="preserve">There are no separate H₀/H₁ decisions for the three predictors. The study stated one hypothesis for the combined model; the individual coefficients help explain that model’s result.</w:t>
      </w:r>
    </w:p>
    <w:p>
      <w:pPr>
        <w:pStyle w:val="Heading2"/>
        <w:keepNext/>
        <w:spacing w:after="160" w:before="240"/>
      </w:pPr>
      <w:bookmarkStart w:name="h_102" w:id="102"/>
      <w:r>
        <w:rPr>
          <w:rFonts w:ascii="Times New Roman" w:cs="Times New Roman" w:eastAsia="Times New Roman" w:hAnsi="Times New Roman"/>
          <w:b/>
          <w:bCs/>
        </w:rPr>
        <w:t xml:space="preserve">5.4 Contribution of the Study</w:t>
      </w:r>
      <w:bookmarkEnd w:id="102"/>
    </w:p>
    <w:p>
      <w:pPr>
        <w:spacing w:after="160" w:line="360" w:lineRule="auto"/>
        <w:jc w:val="both"/>
      </w:pPr>
      <w:r>
        <w:rPr>
          <w:rFonts w:ascii="Times New Roman" w:cs="Times New Roman" w:eastAsia="Times New Roman" w:hAnsi="Times New Roman"/>
          <w:sz w:val="24"/>
          <w:szCs w:val="24"/>
        </w:rPr>
        <w:t xml:space="preserve">The study adds a focused employee-level view of hybrid training in the Union Bank context. It does not treat Union Vidya as a separate technology-quality variable or assume that the availability of a digital platform automatically improves outcomes. Instead, it links the learning arrangement, trainer competence, employee engagement, and reported training effectiveness in one direct-predictor model.</w:t>
      </w:r>
    </w:p>
    <w:p>
      <w:pPr>
        <w:spacing w:after="160" w:line="360" w:lineRule="auto"/>
        <w:jc w:val="both"/>
      </w:pPr>
      <w:r>
        <w:rPr>
          <w:rFonts w:ascii="Times New Roman" w:cs="Times New Roman" w:eastAsia="Times New Roman" w:hAnsi="Times New Roman"/>
          <w:sz w:val="24"/>
          <w:szCs w:val="24"/>
        </w:rPr>
        <w:t xml:space="preserve">The study also adds a banking context to literature that often examines hybrid learning in educational settings or training effectiveness in general workplace settings. The result shows why learning design should be considered together with the employee’s participation in the programme. In a branch or office environment, employees may attend training while managing operational deadlines, customer needs, compliance responsibilities, and changes in digital procedures. Engagement can therefore be strengthened or weakened by factors beyond the trainer and the learning platform.</w:t>
      </w:r>
    </w:p>
    <w:p>
      <w:pPr>
        <w:spacing w:after="160" w:line="360" w:lineRule="auto"/>
        <w:jc w:val="both"/>
      </w:pPr>
      <w:r>
        <w:rPr>
          <w:rFonts w:ascii="Times New Roman" w:cs="Times New Roman" w:eastAsia="Times New Roman" w:hAnsi="Times New Roman"/>
          <w:sz w:val="24"/>
          <w:szCs w:val="24"/>
        </w:rPr>
        <w:t xml:space="preserve">The contribution is also in the way the four experiences are kept distinct. A respondent can rate the connection between digital and face-to-face activities, the trainer’s support, personal participation, and the usefulness of learning separately. This makes it possible to see that all three predictors have positive pairwise relationships with Training Effectiveness, yet only Learner Engagement has a statistically significant individual coefficient in the combined regression. The study therefore gives the Bank a more precise question than whether employees generally “liked” hybrid training: which parts of preparation and participation need closer attention when a programme is reviewed?</w:t>
      </w:r>
    </w:p>
    <w:p>
      <w:pPr>
        <w:pStyle w:val="Heading2"/>
        <w:keepNext/>
        <w:spacing w:after="160" w:before="240"/>
      </w:pPr>
      <w:bookmarkStart w:name="h_103" w:id="103"/>
      <w:r>
        <w:rPr>
          <w:rFonts w:ascii="Times New Roman" w:cs="Times New Roman" w:eastAsia="Times New Roman" w:hAnsi="Times New Roman"/>
          <w:b/>
          <w:bCs/>
        </w:rPr>
        <w:t xml:space="preserve">5.5 Suggestions for Training Review</w:t>
      </w:r>
      <w:bookmarkEnd w:id="103"/>
    </w:p>
    <w:p>
      <w:pPr>
        <w:spacing w:after="160" w:line="360" w:lineRule="auto"/>
        <w:jc w:val="both"/>
      </w:pPr>
      <w:r>
        <w:rPr>
          <w:rFonts w:ascii="Times New Roman" w:cs="Times New Roman" w:eastAsia="Times New Roman" w:hAnsi="Times New Roman"/>
          <w:sz w:val="24"/>
          <w:szCs w:val="24"/>
        </w:rPr>
        <w:t xml:space="preserve">Two findings guide the practical suggestions: Learner Engagement was the only individually significant predictor in the combined regression, and digital preparation before face-to-face sessions was the lowest-rated Hybrid Learning item (Question 6, mean = 3.990; Table 4.3). The following actions are proposals for review, not interventions tested by this study.</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Give employees a clear chance to participate.</w:t>
      </w:r>
      <w:r>
        <w:rPr>
          <w:rFonts w:ascii="Times New Roman" w:cs="Times New Roman" w:eastAsia="Times New Roman" w:hAnsi="Times New Roman"/>
          <w:sz w:val="24"/>
          <w:szCs w:val="24"/>
        </w:rPr>
        <w:t xml:space="preserve"> Trainers can include a work-related case, a demonstration, time for questions, and a short practice activity. The Bank can review whether employees are able to take part in these activities rather than only attend a session.</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Send digital preparation early enough to use it.</w:t>
      </w:r>
      <w:r>
        <w:rPr>
          <w:rFonts w:ascii="Times New Roman" w:cs="Times New Roman" w:eastAsia="Times New Roman" w:hAnsi="Times New Roman"/>
          <w:sz w:val="24"/>
          <w:szCs w:val="24"/>
        </w:rPr>
        <w:t xml:space="preserve"> Programme coordinators can check whether employees receive the relevant material, login information, and a clear pre-session task before the trainer-led session. This directly addresses the lower rating for Question 6.</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Connect the two learning modes.</w:t>
      </w:r>
      <w:r>
        <w:rPr>
          <w:rFonts w:ascii="Times New Roman" w:cs="Times New Roman" w:eastAsia="Times New Roman" w:hAnsi="Times New Roman"/>
          <w:sz w:val="24"/>
          <w:szCs w:val="24"/>
        </w:rPr>
        <w:t xml:space="preserve"> During the live or classroom session, the trainer can refer to the earlier digital material and show how it applies to a banking task. Employees should know what to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Allow workable learning time where possible.</w:t>
      </w:r>
      <w:r>
        <w:rPr>
          <w:rFonts w:ascii="Times New Roman" w:cs="Times New Roman" w:eastAsia="Times New Roman" w:hAnsi="Times New Roman"/>
          <w:sz w:val="24"/>
          <w:szCs w:val="24"/>
        </w:rPr>
        <w:t xml:space="preserve"> Branch workload and customer service may limit the time available for preparation and participation. Local scheduling can take those demands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Use short feedback to identify the problem.</w:t>
      </w:r>
      <w:r>
        <w:rPr>
          <w:rFonts w:ascii="Times New Roman" w:cs="Times New Roman" w:eastAsia="Times New Roman" w:hAnsi="Times New Roman"/>
          <w:sz w:val="24"/>
          <w:szCs w:val="24"/>
        </w:rPr>
        <w:t xml:space="preserve"> After training, employees can be asked whether access, preparation, trainer guidance, participation, or work relevance needs attention. The Bank can then review the part of the learning experience that employees actually found difficult.</w:t>
      </w:r>
    </w:p>
    <w:p>
      <w:pPr>
        <w:keepNext/>
        <w:spacing w:after="120" w:before="160"/>
        <w:jc w:val="center"/>
      </w:pPr>
      <w:bookmarkStart w:name="tbl_104" w:id="104"/>
      <w:r>
        <w:rPr>
          <w:rFonts w:ascii="Times New Roman" w:cs="Times New Roman" w:eastAsia="Times New Roman" w:hAnsi="Times New Roman"/>
          <w:b/>
          <w:bCs/>
          <w:sz w:val="24"/>
          <w:szCs w:val="24"/>
        </w:rPr>
        <w:t xml:space="preserve">Table 5.3: </w:t>
      </w:r>
      <w:r>
        <w:rPr>
          <w:rFonts w:ascii="Times New Roman" w:cs="Times New Roman" w:eastAsia="Times New Roman" w:hAnsi="Times New Roman"/>
          <w:b/>
          <w:bCs/>
          <w:sz w:val="24"/>
          <w:szCs w:val="24"/>
        </w:rPr>
        <w:t xml:space="preserve">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Evidence from this 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Area to review</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Practical check</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is the only individually significant predictor in the combined model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.532,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Participation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employees have a realistic opportunity to ask, practise, and take part, rather than only attend or complete a module.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preparation before the face-to-face session has the lowest Hybrid Learning item mean (Q6, 3.990; SPSS item N = 103).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Preparation before trainer-led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the timing, clarity, and work relevance of the material sent before a session.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Ten respondents were neutral about the trainer explaining the connection between modes (Q14;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Connection between activities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trainers to show explicitly how the earlier digital task relates to the live discussion or demonstration.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Eleven respondents were neutral about seeking clarification (Q22;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Opportunities for questions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the programme gives employees a suitable way to ask questions in person or through the digital channel.</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Eighty-eight respondents reported that training helped with relevant work tasks or problems (Q29;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Application after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for specific examples of use and identify any support employees still need when they return to work.</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table links reported patterns to areas worth checking. It does not show that the proposed changes were tested or that they would cause better training outcomes.</w:t>
      </w:r>
    </w:p>
    <w:p>
      <w:pPr>
        <w:spacing w:after="160" w:line="360" w:lineRule="auto"/>
        <w:jc w:val="both"/>
      </w:pPr>
      <w:r>
        <w:rPr>
          <w:rFonts w:ascii="Times New Roman" w:cs="Times New Roman" w:eastAsia="Times New Roman" w:hAnsi="Times New Roman"/>
          <w:sz w:val="24"/>
          <w:szCs w:val="24"/>
        </w:rPr>
        <w:t xml:space="preserve">The first two rows are the clearest priorities from the current evidence: engagement has the strongest separate association with Training Effectiveness in the combined model, and digital preparation received the lowest Hybrid Learning item mean. The other rows help turn item-level feedback into questions for a training review. Their counts should be read in context: most responses to those questions were still positive. A small group of neutral responses is a reason to ask what happened in the programme, not proof of a widespread failure.</w:t>
      </w:r>
    </w:p>
    <w:p>
      <w:pPr>
        <w:pStyle w:val="Heading2"/>
        <w:keepNext/>
        <w:spacing w:after="160" w:before="240"/>
      </w:pPr>
      <w:bookmarkStart w:name="h_105" w:id="105"/>
      <w:r>
        <w:rPr>
          <w:rFonts w:ascii="Times New Roman" w:cs="Times New Roman" w:eastAsia="Times New Roman" w:hAnsi="Times New Roman"/>
          <w:b/>
          <w:bCs/>
        </w:rPr>
        <w:t xml:space="preserve">5.6 Limitations of the Study</w:t>
      </w:r>
      <w:bookmarkEnd w:id="105"/>
    </w:p>
    <w:p>
      <w:pPr>
        <w:spacing w:after="160" w:line="360" w:lineRule="auto"/>
        <w:jc w:val="both"/>
      </w:pPr>
      <w:r>
        <w:rPr>
          <w:rFonts w:ascii="Times New Roman" w:cs="Times New Roman" w:eastAsia="Times New Roman" w:hAnsi="Times New Roman"/>
          <w:sz w:val="24"/>
          <w:szCs w:val="24"/>
        </w:rPr>
        <w:t xml:space="preserve">The findings apply to the selected respondent group and cannot be generalised statistically to all Union Bank employees. The sample was purposive and focused on employees connected with the Chennai South fieldwork context. Responses were collected at one point in time and were self-reported, so the results cannot establish causation or show which experience came first.</w:t>
      </w:r>
    </w:p>
    <w:p>
      <w:pPr>
        <w:spacing w:after="160" w:line="360" w:lineRule="auto"/>
        <w:jc w:val="both"/>
      </w:pPr>
      <w:r>
        <w:rPr>
          <w:rFonts w:ascii="Times New Roman" w:cs="Times New Roman" w:eastAsia="Times New Roman" w:hAnsi="Times New Roman"/>
          <w:sz w:val="24"/>
          <w:szCs w:val="24"/>
        </w:rPr>
        <w:t xml:space="preserve">The same person rated programme design, trainer competence, engagement, and training effectiveness. This may increase observed associations because of shared response conditions. SPSS provides one very high overall alpha for all 26 scored items, rather than separate reliability coefficients for each construct. It also reports one listwise exclusion from the main model because a Trainer Competence mean was missing in the SPSS file. Finally, the three independent variables overlap substantially, particularly Hybrid Learning and Trainer Competence. This overlap should be kept in mind when reading the individual regression coefficients.</w:t>
      </w:r>
    </w:p>
    <w:p>
      <w:pPr>
        <w:spacing w:after="160" w:line="360" w:lineRule="auto"/>
        <w:jc w:val="both"/>
      </w:pPr>
      <w:r>
        <w:rPr>
          <w:rFonts w:ascii="Times New Roman" w:cs="Times New Roman" w:eastAsia="Times New Roman" w:hAnsi="Times New Roman"/>
          <w:sz w:val="24"/>
          <w:szCs w:val="24"/>
        </w:rPr>
        <w:t xml:space="preserve">Printed and online questionnaires used the same wording, but a possible response-mode difference was not tested. A formal response rate is also unavailable because the total number of employees approached or invited was not recorded. The supplementary 102-case item distributions were reconstructed from the scored response records, while the principal regression figures come from the saved SPSS viewer. Without the matching SPSS case file, exact person-level agreement between those two sources remains unverified. The saved SPSS output records the hypothesis result stated here; the data-source difference limits how confidently all descriptive and inferential outputs can be treated as one fully reconciled dataset.</w:t>
      </w:r>
    </w:p>
    <w:p>
      <w:pPr>
        <w:pStyle w:val="Heading2"/>
        <w:keepNext/>
        <w:spacing w:after="160" w:before="240"/>
      </w:pPr>
      <w:bookmarkStart w:name="h_106" w:id="106"/>
      <w:r>
        <w:rPr>
          <w:rFonts w:ascii="Times New Roman" w:cs="Times New Roman" w:eastAsia="Times New Roman" w:hAnsi="Times New Roman"/>
          <w:b/>
          <w:bCs/>
        </w:rPr>
        <w:t xml:space="preserve">5.7 Directions for Future Research</w:t>
      </w:r>
      <w:bookmarkEnd w:id="106"/>
    </w:p>
    <w:p>
      <w:pPr>
        <w:spacing w:after="160" w:line="360" w:lineRule="auto"/>
        <w:jc w:val="both"/>
      </w:pPr>
      <w:r>
        <w:rPr>
          <w:rFonts w:ascii="Times New Roman" w:cs="Times New Roman" w:eastAsia="Times New Roman" w:hAnsi="Times New Roman"/>
          <w:sz w:val="24"/>
          <w:szCs w:val="24"/>
        </w:rPr>
        <w:t xml:space="preserve">A future study could collect responses from more Union Bank regions and compare programme types, job levels, or delivery arrangements. It could follow employees over time to examine whether learning is applied after a training programme rather than relying only on one-time perceptions. It could also collect supervisor observations or work-based indicators alongside employee responses, reducing reliance on one source of data.</w:t>
      </w:r>
    </w:p>
    <w:p>
      <w:pPr>
        <w:spacing w:after="160" w:line="360" w:lineRule="auto"/>
        <w:jc w:val="both"/>
      </w:pPr>
      <w:r>
        <w:rPr>
          <w:rFonts w:ascii="Times New Roman" w:cs="Times New Roman" w:eastAsia="Times New Roman" w:hAnsi="Times New Roman"/>
          <w:sz w:val="24"/>
          <w:szCs w:val="24"/>
        </w:rPr>
        <w:t xml:space="preserve">Further research may examine the work conditions that shape engagement, such as workload, manager support, time available for learning, digital confidence, or prior experience. These factors were not measured in the present study, but they may help explain why employees do not always engage equally even when training is well designed and trainers are competent.</w:t>
      </w:r>
    </w:p>
    <w:p>
      <w:pPr>
        <w:spacing w:after="160" w:line="360" w:lineRule="auto"/>
        <w:jc w:val="both"/>
      </w:pPr>
      <w:r>
        <w:rPr>
          <w:rFonts w:ascii="Times New Roman" w:cs="Times New Roman" w:eastAsia="Times New Roman" w:hAnsi="Times New Roman"/>
          <w:sz w:val="24"/>
          <w:szCs w:val="24"/>
        </w:rPr>
        <w:t xml:space="preserve">A later study could record how many employees were invited, identify the response mode without collecting names, and use a single checked analysis file for every table. If employees were surveyed shortly after training and again after an opportunity to use the learning, the second stage could ask more directly about application at work. Such a design would be better suited to evaluating whether a specific change in training practice was followed by an improvement.</w:t>
      </w:r>
    </w:p>
    <w:p>
      <w:pPr>
        <w:pStyle w:val="Heading2"/>
        <w:keepNext/>
        <w:spacing w:after="160" w:before="240"/>
      </w:pPr>
      <w:bookmarkStart w:name="h_107" w:id="107"/>
      <w:r>
        <w:rPr>
          <w:rFonts w:ascii="Times New Roman" w:cs="Times New Roman" w:eastAsia="Times New Roman" w:hAnsi="Times New Roman"/>
          <w:b/>
          <w:bCs/>
        </w:rPr>
        <w:t xml:space="preserve">5.8 Conclusion</w:t>
      </w:r>
      <w:bookmarkEnd w:id="107"/>
    </w:p>
    <w:p>
      <w:pPr>
        <w:spacing w:after="160" w:line="360" w:lineRule="auto"/>
        <w:jc w:val="both"/>
      </w:pPr>
      <w:r>
        <w:rPr>
          <w:rFonts w:ascii="Times New Roman" w:cs="Times New Roman" w:eastAsia="Times New Roman" w:hAnsi="Times New Roman"/>
          <w:sz w:val="24"/>
          <w:szCs w:val="24"/>
        </w:rPr>
        <w:t xml:space="preserve">The study’s overall null hypothesis is rejected: Hybrid Learning, Trainer Competence, and Learner Engagement jointly predicted perceived Training Effectiveness among the 102 valid cases,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The alternative hypothesis is supported for the combined model. Of the three predictors, only Learner Engagement had a statistically significant individual coefficient after the other two were considered.</w:t>
      </w:r>
    </w:p>
    <w:p>
      <w:pPr>
        <w:spacing w:after="160" w:line="360" w:lineRule="auto"/>
        <w:jc w:val="both"/>
      </w:pPr>
      <w:r>
        <w:rPr>
          <w:rFonts w:ascii="Times New Roman" w:cs="Times New Roman" w:eastAsia="Times New Roman" w:hAnsi="Times New Roman"/>
          <w:sz w:val="24"/>
          <w:szCs w:val="24"/>
        </w:rPr>
        <w:t xml:space="preserve">For Union Bank, this points to a practical review of how employees prepare for a session and how actively they can participate in it. Digital resources and trainer-led activities should connect to the work employees need to do. These are recommendations based on reported patterns, while the statistical findings remain associations within this selected respondent group rather than proof that a particular training change will cause better outcomes.</w:t>
      </w:r>
    </w:p>
    <w:p>
      <w:r>
        <w:br w:type="page"/>
      </w:r>
    </w:p>
    <w:p>
      <w:pPr>
        <w:pStyle w:val="Heading1"/>
        <w:keepNext/>
        <w:spacing w:after="160" w:before="0"/>
      </w:pPr>
      <w:bookmarkStart w:name="h_108" w:id="108"/>
      <w:r>
        <w:rPr>
          <w:rFonts w:ascii="Times New Roman" w:cs="Times New Roman" w:eastAsia="Times New Roman" w:hAnsi="Times New Roman"/>
          <w:b/>
          <w:bCs/>
        </w:rPr>
        <w:t xml:space="preserve">References</w:t>
      </w:r>
      <w:bookmarkEnd w:id="108"/>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rPr>
        <w:t xml:space="preserve">Hybrid Learning and Training Effectiveness at Union Bank of India</w:t>
      </w:r>
      <w:bookmarkEnd w:id="110"/>
    </w:p>
    <w:p>
      <w:pPr>
        <w:spacing w:after="16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6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6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rPr>
        <w:t xml:space="preserve">Section A — Eligibility and Basic Information</w:t>
      </w:r>
      <w:bookmarkEnd w:id="11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rPr>
        <w:t xml:space="preserve">Response Scale for Questions 5–30</w:t>
      </w:r>
      <w:bookmarkEnd w:id="112"/>
    </w:p>
    <w:p>
      <w:pPr>
        <w:spacing w:after="160" w:line="360" w:lineRule="auto"/>
        <w:jc w:val="both"/>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rPr>
        <w:t xml:space="preserve">Section B — Hybrid Learning</w:t>
      </w:r>
      <w:bookmarkEnd w:id="113"/>
    </w:p>
    <w:p>
      <w:pPr>
        <w:spacing w:after="16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rPr>
        <w:t xml:space="preserve">Appendix B — Questionnaire Development and Literature Basis</w:t>
      </w:r>
      <w:bookmarkEnd w:id="117"/>
    </w:p>
    <w:p>
      <w:pPr>
        <w:spacing w:after="16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16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160"/>
        <w:jc w:val="center"/>
      </w:pPr>
      <w:bookmarkStart w:name="tbl_118" w:id="118"/>
      <w:r>
        <w:rPr>
          <w:rFonts w:ascii="Times New Roman" w:cs="Times New Roman" w:eastAsia="Times New Roman" w:hAnsi="Times New Roman"/>
          <w:b/>
          <w:bCs/>
          <w:sz w:val="24"/>
          <w:szCs w:val="24"/>
        </w:rPr>
        <w:t xml:space="preserve">Table B.1: </w:t>
      </w:r>
      <w:r>
        <w:rPr>
          <w:rFonts w:ascii="Times New Roman" w:cs="Times New Roman" w:eastAsia="Times New Roman" w:hAnsi="Times New Roman"/>
          <w:b/>
          <w:bCs/>
          <w:sz w:val="24"/>
          <w:szCs w:val="24"/>
        </w:rPr>
        <w:t xml:space="preserve">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 — connection between digital and face-to-face parts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Graham (2006);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respondent experienced one connected programme, rather than two unrelated activities.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 — digital preparation before a face-to-face session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whether the earlier digital work had a clear preparatory role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 — clarification and application during face-to-face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trainer-led part helped the employee use or understand what was learned digitally.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 — access to the programme’s digital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Kumar and Pande (2017)</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Union Vidya where used, or another authorised platform used for that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 — ease of navigating the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Focuses on the employee’s ability to use the platform for learning; it is not a technical system audit.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 — availability of digital learning material</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required material was available when the employee needed 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 — access to material for later revision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whether the employee could return to the digital material after an initial activity.</w:t>
            </w:r>
          </w:p>
        </w:tc>
      </w:tr>
    </w:tbl>
    <w:p>
      <w:pPr>
        <w:spacing w:after="120"/>
      </w:pPr>
    </w:p>
    <w:p>
      <w:pPr>
        <w:keepNext/>
        <w:spacing w:after="120" w:before="160"/>
        <w:jc w:val="center"/>
      </w:pPr>
      <w:bookmarkStart w:name="tbl_119" w:id="119"/>
      <w:r>
        <w:rPr>
          <w:rFonts w:ascii="Times New Roman" w:cs="Times New Roman" w:eastAsia="Times New Roman" w:hAnsi="Times New Roman"/>
          <w:b/>
          <w:bCs/>
          <w:sz w:val="24"/>
          <w:szCs w:val="24"/>
        </w:rPr>
        <w:t xml:space="preserve">Table B.2: </w:t>
      </w:r>
      <w:r>
        <w:rPr>
          <w:rFonts w:ascii="Times New Roman" w:cs="Times New Roman" w:eastAsia="Times New Roman" w:hAnsi="Times New Roman"/>
          <w:b/>
          <w:bCs/>
          <w:sz w:val="24"/>
          <w:szCs w:val="24"/>
        </w:rPr>
        <w:t xml:space="preserve">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 — trainer’s subject knowledge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trainer’s command of the topic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 — clarity of explanation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Separates understandable explanation from simply making content available.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 — explanation of the connection between modes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 helped employees see how digital and face-to-face activities fitted together.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 — effective use of digital tools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Concerns the trainer’s use of tools during learning, not the platform’s technical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 — encouragement of questions and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support offered by the trainer, separately from whether the employee participated.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 — useful feedback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feedback helped the employee understand or improve learning.</w:t>
            </w:r>
          </w:p>
        </w:tc>
      </w:tr>
    </w:tbl>
    <w:p>
      <w:pPr>
        <w:spacing w:after="120"/>
      </w:pPr>
    </w:p>
    <w:p>
      <w:pPr>
        <w:keepNext/>
        <w:spacing w:after="120" w:before="160"/>
        <w:jc w:val="center"/>
      </w:pPr>
      <w:bookmarkStart w:name="tbl_120" w:id="120"/>
      <w:r>
        <w:rPr>
          <w:rFonts w:ascii="Times New Roman" w:cs="Times New Roman" w:eastAsia="Times New Roman" w:hAnsi="Times New Roman"/>
          <w:b/>
          <w:bCs/>
          <w:sz w:val="24"/>
          <w:szCs w:val="24"/>
        </w:rPr>
        <w:t xml:space="preserve">Table B.3: </w:t>
      </w:r>
      <w:r>
        <w:rPr>
          <w:rFonts w:ascii="Times New Roman" w:cs="Times New Roman" w:eastAsia="Times New Roman" w:hAnsi="Times New Roman"/>
          <w:b/>
          <w:bCs/>
          <w:sz w:val="24"/>
          <w:szCs w:val="24"/>
        </w:rPr>
        <w:t xml:space="preserve">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 — attention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Applies the general idea of active involvement to one selected training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 — effort to understand</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employee’s own effort rather than trainer behaviour or attendance.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 — active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discussions, exercises, or other activities available in the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 — involvement beyond required completion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Distinguishes feeling involved from merely finishing a required activity.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 — seeking clarification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acted when something was not understood.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 — interest in completing the programme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Keeps interest tied to the selected programme, not general work engagement.</w:t>
            </w:r>
          </w:p>
        </w:tc>
      </w:tr>
    </w:tbl>
    <w:p>
      <w:pPr>
        <w:spacing w:after="120"/>
      </w:pPr>
    </w:p>
    <w:p>
      <w:pPr>
        <w:keepNext/>
        <w:spacing w:after="120" w:before="160"/>
        <w:jc w:val="center"/>
      </w:pPr>
      <w:bookmarkStart w:name="tbl_121" w:id="121"/>
      <w:r>
        <w:rPr>
          <w:rFonts w:ascii="Times New Roman" w:cs="Times New Roman" w:eastAsia="Times New Roman" w:hAnsi="Times New Roman"/>
          <w:b/>
          <w:bCs/>
          <w:sz w:val="24"/>
          <w:szCs w:val="24"/>
        </w:rPr>
        <w:t xml:space="preserve">Table B.4: </w:t>
      </w:r>
      <w:r>
        <w:rPr>
          <w:rFonts w:ascii="Times New Roman" w:cs="Times New Roman" w:eastAsia="Times New Roman" w:hAnsi="Times New Roman"/>
          <w:b/>
          <w:bCs/>
          <w:sz w:val="24"/>
          <w:szCs w:val="24"/>
        </w:rPr>
        <w:t xml:space="preserve">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 — understanding the main knowledge or skills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Kirkpatrick (1994); 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employee-reported learning rather than satisfaction with attending.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 — usefulness for the current role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Connects what was learned to the respondent’s present responsibilities.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 — relevance of content to Bank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Places perceived training relevance in an employee and banking context; Bahl supports the context, not this exact item.</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 — perceived capability to use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feels capable of using the material, without claiming observed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 — reported application in day-to-day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Baldwin and Ford (1988); Blume et al. (2010);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the employee’s account of application, not independently verified transfer.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 — support for work tasks or problems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 Blume et al. (2010)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Links reported learning to relevant tasks; the banking paper supports evaluation in this setting rather than the exact wording.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 — confidence in relevant responsibilities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perceived confidence after the programme, not a measured change in job performance.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07be80390cd96beffe20e690fd58e17ee4b05a.png"/><Relationship Id="rId9" Type="http://schemas.openxmlformats.org/officeDocument/2006/relationships/image" Target="media/355ba6000700e509b973076900b3ae979f0ae3dc.png"/><Relationship Id="rId10" Type="http://schemas.openxmlformats.org/officeDocument/2006/relationships/image" Target="media/1755aada6795acdaddbdf999b1f7b5438003e83a.png"/><Relationship Id="rId11" Type="http://schemas.openxmlformats.org/officeDocument/2006/relationships/image" Target="media/38fa02281a6b318f9dc219cfd1786beb64477806.png"/><Relationship Id="rId12" Type="http://schemas.openxmlformats.org/officeDocument/2006/relationships/image" Target="media/618172bc73c7cefd89743e53a0e7e7347f1e0d09.png"/><Relationship Id="rId13" Type="http://schemas.openxmlformats.org/officeDocument/2006/relationships/image" Target="media/062f4ecf98cf6947bf0ec9fb6854a564a5bb4e0c.png"/><Relationship Id="rId14" Type="http://schemas.openxmlformats.org/officeDocument/2006/relationships/image" Target="media/d37a0876d21ba6fb94c222fa203db0875ad90333.png"/><Relationship Id="rId15" Type="http://schemas.openxmlformats.org/officeDocument/2006/relationships/image" Target="media/6712b9ca8125d571f58bf9177e12e4c6029740a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2026-10-05T14:29:49.386Z</dcterms:created>
  <dcterms:modified xsi:type="dcterms:W3CDTF">2026-10-05T14:29:49.387Z</dcterms:modified>
</cp:coreProperties>
</file>

<file path=docProps/custom.xml><?xml version="1.0" encoding="utf-8"?>
<Properties xmlns="http://schemas.openxmlformats.org/officeDocument/2006/custom-properties" xmlns:vt="http://schemas.openxmlformats.org/officeDocument/2006/docPropsVTypes"/>
</file>