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575FC9">
      <w:pPr>
        <w:spacing w:after="300"/>
      </w:pPr>
    </w:p>
    <w:p w14:paraId="3E30B3C2">
      <w:pPr>
        <w:pStyle w:val="2"/>
        <w:spacing w:before="300" w:after="150"/>
      </w:pPr>
      <w:r>
        <w:rPr>
          <w:color w:val="002060"/>
        </w:rPr>
        <w:t>1. Research Title</w:t>
      </w:r>
    </w:p>
    <w:p w14:paraId="5264B795">
      <w:pPr>
        <w:spacing w:after="120"/>
      </w:pPr>
      <w:r>
        <w:rPr>
          <w:b/>
          <w:bCs/>
        </w:rPr>
        <w:t>Dressed to Perform: Enclothed Cognition, Self-Esteem, Psychological Safety, and Work Engagement Across Sectors</w:t>
      </w:r>
    </w:p>
    <w:p w14:paraId="3262F656">
      <w:pPr>
        <w:pStyle w:val="2"/>
        <w:spacing w:before="300" w:after="150"/>
      </w:pPr>
      <w:r>
        <w:rPr>
          <w:color w:val="002060"/>
        </w:rPr>
        <w:t>2. Problem Statement</w:t>
      </w:r>
    </w:p>
    <w:p w14:paraId="2C4FD5EA">
      <w:pPr>
        <w:spacing w:after="120"/>
      </w:pPr>
      <w:r>
        <w:t>Dress codes are shifting toward informality across industries, often without empirical attention to the psychological consequences for employees. Enclothed Cognition theory suggests clothing actively shapes the wearer's cognitive and emotional state. Existing literature links attire to self-esteem, and separately links psychological safety to work engagement, but no study directly tests whether work attire influences psychological safety. This thesis addresses that gap.</w:t>
      </w:r>
    </w:p>
    <w:p w14:paraId="4226C688">
      <w:pPr>
        <w:pStyle w:val="2"/>
        <w:spacing w:before="300" w:after="150"/>
      </w:pPr>
      <w:r>
        <w:rPr>
          <w:color w:val="002060"/>
        </w:rPr>
        <w:t>3. Research Objectives</w:t>
      </w:r>
    </w:p>
    <w:p w14:paraId="606B33CF">
      <w:pPr>
        <w:pStyle w:val="17"/>
        <w:numPr>
          <w:ilvl w:val="0"/>
          <w:numId w:val="1"/>
        </w:numPr>
        <w:spacing w:after="60"/>
      </w:pPr>
      <w:r>
        <w:t xml:space="preserve">To examine the influence of work attire on state </w:t>
      </w:r>
      <w:r>
        <w:rPr>
          <w:highlight w:val="yellow"/>
        </w:rPr>
        <w:t>self-esteem</w:t>
      </w:r>
      <w:r>
        <w:t xml:space="preserve"> among professionals and interns across sectors.</w:t>
      </w:r>
    </w:p>
    <w:p w14:paraId="2EEF1AA9">
      <w:pPr>
        <w:pStyle w:val="17"/>
        <w:numPr>
          <w:ilvl w:val="0"/>
          <w:numId w:val="1"/>
        </w:numPr>
        <w:spacing w:after="60"/>
      </w:pPr>
      <w:r>
        <w:t xml:space="preserve">To examine the influence of work attire on </w:t>
      </w:r>
      <w:r>
        <w:rPr>
          <w:highlight w:val="yellow"/>
        </w:rPr>
        <w:t>psychological safety</w:t>
      </w:r>
      <w:r>
        <w:t xml:space="preserve"> among professionals and interns across sectors.</w:t>
      </w:r>
    </w:p>
    <w:p w14:paraId="551C32C9">
      <w:pPr>
        <w:pStyle w:val="17"/>
        <w:numPr>
          <w:ilvl w:val="0"/>
          <w:numId w:val="1"/>
        </w:numPr>
        <w:spacing w:after="60"/>
      </w:pPr>
      <w:r>
        <w:t xml:space="preserve">To examine the influence of work attire on </w:t>
      </w:r>
      <w:r>
        <w:rPr>
          <w:highlight w:val="yellow"/>
        </w:rPr>
        <w:t xml:space="preserve">work engagement </w:t>
      </w:r>
      <w:r>
        <w:t>among professionals and interns across sectors.</w:t>
      </w:r>
    </w:p>
    <w:p w14:paraId="6AA08652">
      <w:pPr>
        <w:pStyle w:val="2"/>
        <w:spacing w:before="300" w:after="150"/>
      </w:pPr>
      <w:r>
        <w:rPr>
          <w:color w:val="002060"/>
        </w:rPr>
        <w:t>4. Hypotheses</w:t>
      </w:r>
    </w:p>
    <w:p w14:paraId="1C8A9D96">
      <w:pPr>
        <w:spacing w:after="120"/>
      </w:pPr>
      <w:r>
        <w:rPr>
          <w:b/>
          <w:bCs/>
        </w:rPr>
        <w:t>H1: Work attire has a significant positive effect on state self-esteem.</w:t>
      </w:r>
    </w:p>
    <w:p w14:paraId="10C9507C">
      <w:pPr>
        <w:spacing w:after="120"/>
      </w:pPr>
      <w:r>
        <w:rPr>
          <w:b/>
          <w:bCs/>
        </w:rPr>
        <w:t>H2: Work attire has a significant effect on psychological safety. (Non-directional; this is the study's core originality claim, as no direct prior literature tests this link.)</w:t>
      </w:r>
    </w:p>
    <w:p w14:paraId="31A30F95">
      <w:pPr>
        <w:spacing w:after="120"/>
      </w:pPr>
      <w:r>
        <w:rPr>
          <w:b/>
          <w:bCs/>
        </w:rPr>
        <w:t>H3: Work attire has a significant positive effect on work engagement.</w:t>
      </w:r>
    </w:p>
    <w:p w14:paraId="59D97F53">
      <w:pPr>
        <w:pStyle w:val="2"/>
        <w:spacing w:before="300" w:after="150"/>
      </w:pPr>
      <w:r>
        <w:rPr>
          <w:color w:val="002060"/>
        </w:rPr>
        <w:t>5. Population and Sampling</w:t>
      </w:r>
    </w:p>
    <w:p w14:paraId="5C52C708">
      <w:pPr>
        <w:spacing w:after="120"/>
      </w:pPr>
      <w:r>
        <w:rPr>
          <w:i/>
          <w:iCs/>
        </w:rPr>
        <w:t>Population</w:t>
      </w:r>
      <w:r>
        <w:t xml:space="preserve">: Professionals and interns across sectors (predominantly IT), spanning all experience and seniority levels, reached through a consultancy internship and academic network. </w:t>
      </w:r>
    </w:p>
    <w:p w14:paraId="7FAC002C">
      <w:pPr>
        <w:spacing w:after="120"/>
      </w:pPr>
      <w:r>
        <w:rPr>
          <w:i/>
          <w:iCs/>
        </w:rPr>
        <w:t>Technique</w:t>
      </w:r>
      <w:r>
        <w:t xml:space="preserve">: Purposive sampling, supplemented by snowball sampling. </w:t>
      </w:r>
    </w:p>
    <w:p w14:paraId="23215588">
      <w:pPr>
        <w:spacing w:after="120"/>
      </w:pPr>
      <w:r>
        <w:rPr>
          <w:i/>
          <w:iCs/>
        </w:rPr>
        <w:t>Target sample size</w:t>
      </w:r>
      <w:r>
        <w:t xml:space="preserve">: 150 to 200 respondents </w:t>
      </w:r>
    </w:p>
    <w:p w14:paraId="5F247264">
      <w:pPr>
        <w:pStyle w:val="2"/>
        <w:numPr>
          <w:ilvl w:val="0"/>
          <w:numId w:val="2"/>
        </w:numPr>
        <w:spacing w:before="300" w:after="150"/>
        <w:rPr>
          <w:color w:val="002060"/>
        </w:rPr>
      </w:pPr>
      <w:r>
        <w:rPr>
          <w:color w:val="002060"/>
        </w:rPr>
        <w:t>Review of Literature (Summary)</w:t>
      </w:r>
    </w:p>
    <w:p w14:paraId="079BF519">
      <w:pPr>
        <w:numPr>
          <w:numId w:val="0"/>
        </w:numPr>
      </w:pPr>
    </w:p>
    <w:tbl>
      <w:tblPr>
        <w:tblStyle w:val="15"/>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2750"/>
        <w:gridCol w:w="4000"/>
      </w:tblGrid>
      <w:tr w14:paraId="2D4ED512">
        <w:tblPrEx>
          <w:tblLayout w:type="fixed"/>
        </w:tblPrEx>
        <w:trPr>
          <w:tblHeader/>
        </w:trPr>
        <w:tc>
          <w:tcPr>
            <w:tcW w:w="2600" w:type="dxa"/>
            <w:shd w:val="clear" w:color="auto" w:fill="1A2B4C"/>
            <w:tcMar>
              <w:top w:w="80" w:type="dxa"/>
              <w:left w:w="100" w:type="dxa"/>
              <w:bottom w:w="80" w:type="dxa"/>
              <w:right w:w="100" w:type="dxa"/>
            </w:tcMar>
          </w:tcPr>
          <w:p w14:paraId="24FBC288">
            <w:pPr/>
            <w:r>
              <w:rPr>
                <w:b/>
                <w:bCs/>
                <w:color w:val="FFFFFF"/>
                <w:sz w:val="20"/>
                <w:szCs w:val="20"/>
              </w:rPr>
              <w:t>Author (Year)</w:t>
            </w:r>
          </w:p>
        </w:tc>
        <w:tc>
          <w:tcPr>
            <w:tcW w:w="2750" w:type="dxa"/>
            <w:shd w:val="clear" w:color="auto" w:fill="1A2B4C"/>
            <w:tcMar>
              <w:top w:w="80" w:type="dxa"/>
              <w:left w:w="100" w:type="dxa"/>
              <w:bottom w:w="80" w:type="dxa"/>
              <w:right w:w="100" w:type="dxa"/>
            </w:tcMar>
          </w:tcPr>
          <w:p w14:paraId="7C7DB3F7">
            <w:pPr/>
            <w:r>
              <w:rPr>
                <w:b/>
                <w:bCs/>
                <w:color w:val="FFFFFF"/>
                <w:sz w:val="20"/>
                <w:szCs w:val="20"/>
              </w:rPr>
              <w:t>Title</w:t>
            </w:r>
          </w:p>
        </w:tc>
        <w:tc>
          <w:tcPr>
            <w:tcW w:w="4000" w:type="dxa"/>
            <w:shd w:val="clear" w:color="auto" w:fill="1A2B4C"/>
            <w:tcMar>
              <w:top w:w="80" w:type="dxa"/>
              <w:left w:w="100" w:type="dxa"/>
              <w:bottom w:w="80" w:type="dxa"/>
              <w:right w:w="100" w:type="dxa"/>
            </w:tcMar>
          </w:tcPr>
          <w:p w14:paraId="15E7BC87">
            <w:pPr/>
            <w:r>
              <w:rPr>
                <w:b/>
                <w:bCs/>
                <w:color w:val="FFFFFF"/>
                <w:sz w:val="20"/>
                <w:szCs w:val="20"/>
              </w:rPr>
              <w:t>Relevance</w:t>
            </w:r>
          </w:p>
        </w:tc>
      </w:tr>
      <w:tr w14:paraId="47125C8A">
        <w:tblPrEx>
          <w:tblLayout w:type="fixed"/>
        </w:tblPrEx>
        <w:tc>
          <w:tcPr>
            <w:tcW w:w="2600" w:type="dxa"/>
            <w:tcMar>
              <w:top w:w="80" w:type="dxa"/>
              <w:left w:w="100" w:type="dxa"/>
              <w:bottom w:w="80" w:type="dxa"/>
              <w:right w:w="100" w:type="dxa"/>
            </w:tcMar>
          </w:tcPr>
          <w:p w14:paraId="322E8A99">
            <w:pPr/>
            <w:r>
              <w:rPr>
                <w:b w:val="0"/>
                <w:bCs w:val="0"/>
                <w:sz w:val="20"/>
                <w:szCs w:val="20"/>
              </w:rPr>
              <w:t>Kim, Holtz &amp; Vogel (2023)</w:t>
            </w:r>
          </w:p>
        </w:tc>
        <w:tc>
          <w:tcPr>
            <w:tcW w:w="2750" w:type="dxa"/>
            <w:tcMar>
              <w:top w:w="80" w:type="dxa"/>
              <w:left w:w="100" w:type="dxa"/>
              <w:bottom w:w="80" w:type="dxa"/>
              <w:right w:w="100" w:type="dxa"/>
            </w:tcMar>
          </w:tcPr>
          <w:p w14:paraId="366B622E">
            <w:pPr/>
            <w:r>
              <w:rPr>
                <w:b w:val="0"/>
                <w:bCs w:val="0"/>
                <w:sz w:val="20"/>
                <w:szCs w:val="20"/>
              </w:rPr>
              <w:t>Wearing Your Worth at Work</w:t>
            </w:r>
          </w:p>
        </w:tc>
        <w:tc>
          <w:tcPr>
            <w:tcW w:w="4000" w:type="dxa"/>
            <w:tcMar>
              <w:top w:w="80" w:type="dxa"/>
              <w:left w:w="100" w:type="dxa"/>
              <w:bottom w:w="80" w:type="dxa"/>
              <w:right w:w="100" w:type="dxa"/>
            </w:tcMar>
          </w:tcPr>
          <w:p w14:paraId="7554DECB">
            <w:pPr/>
            <w:r>
              <w:rPr>
                <w:b w:val="0"/>
                <w:bCs w:val="0"/>
                <w:sz w:val="20"/>
                <w:szCs w:val="20"/>
              </w:rPr>
              <w:t>Base paper. Links clothing aesthetics/uniqueness to state self-esteem and subsequent work behavior.</w:t>
            </w:r>
          </w:p>
        </w:tc>
      </w:tr>
      <w:tr w14:paraId="177F3578">
        <w:tblPrEx>
          <w:tblLayout w:type="fixed"/>
        </w:tblPrEx>
        <w:tc>
          <w:tcPr>
            <w:tcW w:w="2600" w:type="dxa"/>
            <w:tcMar>
              <w:top w:w="80" w:type="dxa"/>
              <w:left w:w="100" w:type="dxa"/>
              <w:bottom w:w="80" w:type="dxa"/>
              <w:right w:w="100" w:type="dxa"/>
            </w:tcMar>
          </w:tcPr>
          <w:p w14:paraId="0EE4DB76">
            <w:pPr/>
            <w:r>
              <w:rPr>
                <w:b w:val="0"/>
                <w:bCs w:val="0"/>
                <w:sz w:val="20"/>
                <w:szCs w:val="20"/>
              </w:rPr>
              <w:t>Peluchette &amp; Karl (2007)</w:t>
            </w:r>
          </w:p>
        </w:tc>
        <w:tc>
          <w:tcPr>
            <w:tcW w:w="2750" w:type="dxa"/>
            <w:tcMar>
              <w:top w:w="80" w:type="dxa"/>
              <w:left w:w="100" w:type="dxa"/>
              <w:bottom w:w="80" w:type="dxa"/>
              <w:right w:w="100" w:type="dxa"/>
            </w:tcMar>
          </w:tcPr>
          <w:p w14:paraId="5085027F">
            <w:pPr/>
            <w:r>
              <w:rPr>
                <w:b w:val="0"/>
                <w:bCs w:val="0"/>
                <w:sz w:val="20"/>
                <w:szCs w:val="20"/>
              </w:rPr>
              <w:t>Impact of Workplace Attire on Employee Self-Perceptions</w:t>
            </w:r>
          </w:p>
        </w:tc>
        <w:tc>
          <w:tcPr>
            <w:tcW w:w="4000" w:type="dxa"/>
            <w:tcMar>
              <w:top w:w="80" w:type="dxa"/>
              <w:left w:w="100" w:type="dxa"/>
              <w:bottom w:w="80" w:type="dxa"/>
              <w:right w:w="100" w:type="dxa"/>
            </w:tcMar>
          </w:tcPr>
          <w:p w14:paraId="69C5B1D2">
            <w:pPr/>
            <w:r>
              <w:rPr>
                <w:b w:val="0"/>
                <w:bCs w:val="0"/>
                <w:sz w:val="20"/>
                <w:szCs w:val="20"/>
              </w:rPr>
              <w:t>Foundational for operationalizing attire formality; shows formal wear boosts authority, casual wear boosts warmth.</w:t>
            </w:r>
          </w:p>
        </w:tc>
      </w:tr>
      <w:tr w14:paraId="00BD4C4F">
        <w:tblPrEx>
          <w:tblLayout w:type="fixed"/>
        </w:tblPrEx>
        <w:tc>
          <w:tcPr>
            <w:tcW w:w="2600" w:type="dxa"/>
            <w:tcMar>
              <w:top w:w="80" w:type="dxa"/>
              <w:left w:w="100" w:type="dxa"/>
              <w:bottom w:w="80" w:type="dxa"/>
              <w:right w:w="100" w:type="dxa"/>
            </w:tcMar>
          </w:tcPr>
          <w:p w14:paraId="16827146">
            <w:pPr/>
            <w:r>
              <w:rPr>
                <w:b w:val="0"/>
                <w:bCs w:val="0"/>
                <w:sz w:val="20"/>
                <w:szCs w:val="20"/>
              </w:rPr>
              <w:t>Adam &amp; Galinsky (2012)</w:t>
            </w:r>
          </w:p>
        </w:tc>
        <w:tc>
          <w:tcPr>
            <w:tcW w:w="2750" w:type="dxa"/>
            <w:tcMar>
              <w:top w:w="80" w:type="dxa"/>
              <w:left w:w="100" w:type="dxa"/>
              <w:bottom w:w="80" w:type="dxa"/>
              <w:right w:w="100" w:type="dxa"/>
            </w:tcMar>
          </w:tcPr>
          <w:p w14:paraId="0C8BF460">
            <w:pPr/>
            <w:r>
              <w:rPr>
                <w:b w:val="0"/>
                <w:bCs w:val="0"/>
                <w:sz w:val="20"/>
                <w:szCs w:val="20"/>
              </w:rPr>
              <w:t>Enclothed Cognition</w:t>
            </w:r>
          </w:p>
        </w:tc>
        <w:tc>
          <w:tcPr>
            <w:tcW w:w="4000" w:type="dxa"/>
            <w:tcMar>
              <w:top w:w="80" w:type="dxa"/>
              <w:left w:w="100" w:type="dxa"/>
              <w:bottom w:w="80" w:type="dxa"/>
              <w:right w:w="100" w:type="dxa"/>
            </w:tcMar>
          </w:tcPr>
          <w:p w14:paraId="4D41654D">
            <w:pPr/>
            <w:r>
              <w:rPr>
                <w:b w:val="0"/>
                <w:bCs w:val="0"/>
                <w:sz w:val="20"/>
                <w:szCs w:val="20"/>
              </w:rPr>
              <w:t>Originates the core theory: clothing shapes cognition only when worn AND symbolically meaningful.</w:t>
            </w:r>
          </w:p>
        </w:tc>
      </w:tr>
      <w:tr w14:paraId="76BD45ED">
        <w:tblPrEx>
          <w:tblLayout w:type="fixed"/>
        </w:tblPrEx>
        <w:tc>
          <w:tcPr>
            <w:tcW w:w="2600" w:type="dxa"/>
            <w:tcMar>
              <w:top w:w="80" w:type="dxa"/>
              <w:left w:w="100" w:type="dxa"/>
              <w:bottom w:w="80" w:type="dxa"/>
              <w:right w:w="100" w:type="dxa"/>
            </w:tcMar>
          </w:tcPr>
          <w:p w14:paraId="6C27990A">
            <w:pPr/>
            <w:r>
              <w:rPr>
                <w:b w:val="0"/>
                <w:bCs w:val="0"/>
                <w:sz w:val="20"/>
                <w:szCs w:val="20"/>
              </w:rPr>
              <w:t>Wardhana &amp; Harsono (2020)</w:t>
            </w:r>
          </w:p>
        </w:tc>
        <w:tc>
          <w:tcPr>
            <w:tcW w:w="2750" w:type="dxa"/>
            <w:tcMar>
              <w:top w:w="80" w:type="dxa"/>
              <w:left w:w="100" w:type="dxa"/>
              <w:bottom w:w="80" w:type="dxa"/>
              <w:right w:w="100" w:type="dxa"/>
            </w:tcMar>
          </w:tcPr>
          <w:p w14:paraId="12D8C191">
            <w:pPr/>
            <w:r>
              <w:rPr>
                <w:b w:val="0"/>
                <w:bCs w:val="0"/>
                <w:sz w:val="20"/>
                <w:szCs w:val="20"/>
              </w:rPr>
              <w:t>Employees' Perceptions of Work Attire</w:t>
            </w:r>
          </w:p>
        </w:tc>
        <w:tc>
          <w:tcPr>
            <w:tcW w:w="4000" w:type="dxa"/>
            <w:tcMar>
              <w:top w:w="80" w:type="dxa"/>
              <w:left w:w="100" w:type="dxa"/>
              <w:bottom w:w="80" w:type="dxa"/>
              <w:right w:w="100" w:type="dxa"/>
            </w:tcMar>
          </w:tcPr>
          <w:p w14:paraId="3BA89E75">
            <w:pPr/>
            <w:r>
              <w:rPr>
                <w:b w:val="0"/>
                <w:bCs w:val="0"/>
                <w:sz w:val="20"/>
                <w:szCs w:val="20"/>
              </w:rPr>
              <w:t>Non-Western replication (Indonesia); visual/symbolic attributes of attire matter more than function.</w:t>
            </w:r>
          </w:p>
        </w:tc>
      </w:tr>
      <w:tr w14:paraId="5ED1C294">
        <w:tblPrEx>
          <w:tblLayout w:type="fixed"/>
        </w:tblPrEx>
        <w:tc>
          <w:tcPr>
            <w:tcW w:w="2600" w:type="dxa"/>
            <w:tcMar>
              <w:top w:w="80" w:type="dxa"/>
              <w:left w:w="100" w:type="dxa"/>
              <w:bottom w:w="80" w:type="dxa"/>
              <w:right w:w="100" w:type="dxa"/>
            </w:tcMar>
          </w:tcPr>
          <w:p w14:paraId="489D2964">
            <w:pPr/>
            <w:r>
              <w:rPr>
                <w:b w:val="0"/>
                <w:bCs w:val="0"/>
                <w:sz w:val="20"/>
                <w:szCs w:val="20"/>
              </w:rPr>
              <w:t>Karl, Peluchette &amp; Collins (2017)</w:t>
            </w:r>
          </w:p>
        </w:tc>
        <w:tc>
          <w:tcPr>
            <w:tcW w:w="2750" w:type="dxa"/>
            <w:tcMar>
              <w:top w:w="80" w:type="dxa"/>
              <w:left w:w="100" w:type="dxa"/>
              <w:bottom w:w="80" w:type="dxa"/>
              <w:right w:w="100" w:type="dxa"/>
            </w:tcMar>
          </w:tcPr>
          <w:p w14:paraId="79AB4996">
            <w:pPr/>
            <w:r>
              <w:rPr>
                <w:b w:val="0"/>
                <w:bCs w:val="0"/>
                <w:sz w:val="20"/>
                <w:szCs w:val="20"/>
              </w:rPr>
              <w:t>Workplace Attire in Turkey</w:t>
            </w:r>
          </w:p>
        </w:tc>
        <w:tc>
          <w:tcPr>
            <w:tcW w:w="4000" w:type="dxa"/>
            <w:tcMar>
              <w:top w:w="80" w:type="dxa"/>
              <w:left w:w="100" w:type="dxa"/>
              <w:bottom w:w="80" w:type="dxa"/>
              <w:right w:w="100" w:type="dxa"/>
            </w:tcMar>
          </w:tcPr>
          <w:p w14:paraId="0DBDE109">
            <w:pPr/>
            <w:r>
              <w:rPr>
                <w:b w:val="0"/>
                <w:bCs w:val="0"/>
                <w:sz w:val="20"/>
                <w:szCs w:val="20"/>
              </w:rPr>
              <w:t>Cross-cultural replication supporting generalizability of attire-self-perception link.</w:t>
            </w:r>
          </w:p>
        </w:tc>
      </w:tr>
      <w:tr w14:paraId="20297FC7">
        <w:tblPrEx>
          <w:tblLayout w:type="fixed"/>
        </w:tblPrEx>
        <w:tc>
          <w:tcPr>
            <w:tcW w:w="2600" w:type="dxa"/>
            <w:tcMar>
              <w:top w:w="80" w:type="dxa"/>
              <w:left w:w="100" w:type="dxa"/>
              <w:bottom w:w="80" w:type="dxa"/>
              <w:right w:w="100" w:type="dxa"/>
            </w:tcMar>
          </w:tcPr>
          <w:p w14:paraId="06C8BA63">
            <w:pPr/>
            <w:r>
              <w:rPr>
                <w:b w:val="0"/>
                <w:bCs w:val="0"/>
                <w:sz w:val="20"/>
                <w:szCs w:val="20"/>
              </w:rPr>
              <w:t>Inoue, Eguchi, Kachi &amp; Tsutsumi (2023)</w:t>
            </w:r>
          </w:p>
        </w:tc>
        <w:tc>
          <w:tcPr>
            <w:tcW w:w="2750" w:type="dxa"/>
            <w:tcMar>
              <w:top w:w="80" w:type="dxa"/>
              <w:left w:w="100" w:type="dxa"/>
              <w:bottom w:w="80" w:type="dxa"/>
              <w:right w:w="100" w:type="dxa"/>
            </w:tcMar>
          </w:tcPr>
          <w:p w14:paraId="1DCABD90">
            <w:pPr/>
            <w:r>
              <w:rPr>
                <w:b w:val="0"/>
                <w:bCs w:val="0"/>
                <w:sz w:val="20"/>
                <w:szCs w:val="20"/>
              </w:rPr>
              <w:t>Psychosocial Safety Climate in Japan</w:t>
            </w:r>
          </w:p>
        </w:tc>
        <w:tc>
          <w:tcPr>
            <w:tcW w:w="4000" w:type="dxa"/>
            <w:tcMar>
              <w:top w:w="80" w:type="dxa"/>
              <w:left w:w="100" w:type="dxa"/>
              <w:bottom w:w="80" w:type="dxa"/>
              <w:right w:w="100" w:type="dxa"/>
            </w:tcMar>
          </w:tcPr>
          <w:p w14:paraId="7EDC3B24">
            <w:pPr/>
            <w:r>
              <w:rPr>
                <w:b w:val="0"/>
                <w:bCs w:val="0"/>
                <w:sz w:val="20"/>
                <w:szCs w:val="20"/>
              </w:rPr>
              <w:t>Establishes psychological safety to work engagement pathway (not attire-related).</w:t>
            </w:r>
          </w:p>
        </w:tc>
      </w:tr>
      <w:tr w14:paraId="4B55D768">
        <w:tblPrEx>
          <w:tblLayout w:type="fixed"/>
        </w:tblPrEx>
        <w:tc>
          <w:tcPr>
            <w:tcW w:w="2600" w:type="dxa"/>
            <w:tcMar>
              <w:top w:w="80" w:type="dxa"/>
              <w:left w:w="100" w:type="dxa"/>
              <w:bottom w:w="80" w:type="dxa"/>
              <w:right w:w="100" w:type="dxa"/>
            </w:tcMar>
          </w:tcPr>
          <w:p w14:paraId="77A2381F">
            <w:pPr/>
            <w:r>
              <w:rPr>
                <w:b w:val="0"/>
                <w:bCs w:val="0"/>
                <w:sz w:val="20"/>
                <w:szCs w:val="20"/>
              </w:rPr>
              <w:t>Saeed, Lakhan &amp; Keeryo (2022)</w:t>
            </w:r>
          </w:p>
        </w:tc>
        <w:tc>
          <w:tcPr>
            <w:tcW w:w="2750" w:type="dxa"/>
            <w:tcMar>
              <w:top w:w="80" w:type="dxa"/>
              <w:left w:w="100" w:type="dxa"/>
              <w:bottom w:w="80" w:type="dxa"/>
              <w:right w:w="100" w:type="dxa"/>
            </w:tcMar>
          </w:tcPr>
          <w:p w14:paraId="7B674DA6">
            <w:pPr/>
            <w:r>
              <w:rPr>
                <w:b w:val="0"/>
                <w:bCs w:val="0"/>
                <w:sz w:val="20"/>
                <w:szCs w:val="20"/>
              </w:rPr>
              <w:t>Workplace Attire and Performance</w:t>
            </w:r>
          </w:p>
        </w:tc>
        <w:tc>
          <w:tcPr>
            <w:tcW w:w="4000" w:type="dxa"/>
            <w:tcMar>
              <w:top w:w="80" w:type="dxa"/>
              <w:left w:w="100" w:type="dxa"/>
              <w:bottom w:w="80" w:type="dxa"/>
              <w:right w:w="100" w:type="dxa"/>
            </w:tcMar>
          </w:tcPr>
          <w:p w14:paraId="5AA0A865">
            <w:pPr/>
            <w:r>
              <w:rPr>
                <w:b w:val="0"/>
                <w:bCs w:val="0"/>
                <w:sz w:val="20"/>
                <w:szCs w:val="20"/>
              </w:rPr>
              <w:t>Tests self-esteem as a mediator between attire and performance; methodological reference.</w:t>
            </w:r>
          </w:p>
        </w:tc>
      </w:tr>
      <w:tr w14:paraId="43FE4390">
        <w:tblPrEx>
          <w:tblLayout w:type="fixed"/>
        </w:tblPrEx>
        <w:tc>
          <w:tcPr>
            <w:tcW w:w="2600" w:type="dxa"/>
            <w:tcMar>
              <w:top w:w="80" w:type="dxa"/>
              <w:left w:w="100" w:type="dxa"/>
              <w:bottom w:w="80" w:type="dxa"/>
              <w:right w:w="100" w:type="dxa"/>
            </w:tcMar>
          </w:tcPr>
          <w:p w14:paraId="1F5FE613">
            <w:pPr/>
            <w:r>
              <w:rPr>
                <w:b w:val="0"/>
                <w:bCs w:val="0"/>
                <w:sz w:val="20"/>
                <w:szCs w:val="20"/>
              </w:rPr>
              <w:t>Cui, Liu, Sun, Shang &amp; Xu (2024)</w:t>
            </w:r>
          </w:p>
        </w:tc>
        <w:tc>
          <w:tcPr>
            <w:tcW w:w="2750" w:type="dxa"/>
            <w:tcMar>
              <w:top w:w="80" w:type="dxa"/>
              <w:left w:w="100" w:type="dxa"/>
              <w:bottom w:w="80" w:type="dxa"/>
              <w:right w:w="100" w:type="dxa"/>
            </w:tcMar>
          </w:tcPr>
          <w:p w14:paraId="67F81ED6">
            <w:pPr/>
            <w:r>
              <w:rPr>
                <w:b w:val="0"/>
                <w:bCs w:val="0"/>
                <w:sz w:val="20"/>
                <w:szCs w:val="20"/>
              </w:rPr>
              <w:t>Veiled to Express (mask-wearing)</w:t>
            </w:r>
          </w:p>
        </w:tc>
        <w:tc>
          <w:tcPr>
            <w:tcW w:w="4000" w:type="dxa"/>
            <w:tcMar>
              <w:top w:w="80" w:type="dxa"/>
              <w:left w:w="100" w:type="dxa"/>
              <w:bottom w:w="80" w:type="dxa"/>
              <w:right w:w="100" w:type="dxa"/>
            </w:tcMar>
          </w:tcPr>
          <w:p w14:paraId="6BAD631D">
            <w:pPr/>
            <w:r>
              <w:rPr>
                <w:b w:val="0"/>
                <w:bCs w:val="0"/>
                <w:sz w:val="20"/>
                <w:szCs w:val="20"/>
              </w:rPr>
              <w:t>Bridges the literature gap: shows a worn item can raise psychological safety via self-perception.</w:t>
            </w:r>
          </w:p>
        </w:tc>
      </w:tr>
      <w:tr w14:paraId="4FDA0957">
        <w:tblPrEx>
          <w:tblLayout w:type="fixed"/>
        </w:tblPrEx>
        <w:tc>
          <w:tcPr>
            <w:tcW w:w="2600" w:type="dxa"/>
            <w:tcMar>
              <w:top w:w="80" w:type="dxa"/>
              <w:left w:w="100" w:type="dxa"/>
              <w:bottom w:w="80" w:type="dxa"/>
              <w:right w:w="100" w:type="dxa"/>
            </w:tcMar>
          </w:tcPr>
          <w:p w14:paraId="765C8C14">
            <w:pPr/>
            <w:r>
              <w:rPr>
                <w:b w:val="0"/>
                <w:bCs w:val="0"/>
                <w:sz w:val="20"/>
                <w:szCs w:val="20"/>
              </w:rPr>
              <w:t>Kızrak (2025)</w:t>
            </w:r>
          </w:p>
        </w:tc>
        <w:tc>
          <w:tcPr>
            <w:tcW w:w="2750" w:type="dxa"/>
            <w:tcMar>
              <w:top w:w="80" w:type="dxa"/>
              <w:left w:w="100" w:type="dxa"/>
              <w:bottom w:w="80" w:type="dxa"/>
              <w:right w:w="100" w:type="dxa"/>
            </w:tcMar>
          </w:tcPr>
          <w:p w14:paraId="4770EA1C">
            <w:pPr/>
            <w:r>
              <w:rPr>
                <w:b w:val="0"/>
                <w:bCs w:val="0"/>
                <w:sz w:val="20"/>
                <w:szCs w:val="20"/>
              </w:rPr>
              <w:t>Psychological Safety, Self-Esteem &amp; Job Performance</w:t>
            </w:r>
          </w:p>
        </w:tc>
        <w:tc>
          <w:tcPr>
            <w:tcW w:w="4000" w:type="dxa"/>
            <w:tcMar>
              <w:top w:w="80" w:type="dxa"/>
              <w:left w:w="100" w:type="dxa"/>
              <w:bottom w:w="80" w:type="dxa"/>
              <w:right w:w="100" w:type="dxa"/>
            </w:tcMar>
          </w:tcPr>
          <w:p w14:paraId="1BE6DBDA">
            <w:pPr/>
            <w:r>
              <w:rPr>
                <w:b w:val="0"/>
                <w:bCs w:val="0"/>
                <w:sz w:val="20"/>
                <w:szCs w:val="20"/>
              </w:rPr>
              <w:t>Confirms psychological safety and self-esteem are empirically linked constructs.</w:t>
            </w:r>
          </w:p>
        </w:tc>
      </w:tr>
    </w:tbl>
    <w:p w14:paraId="333ECF77">
      <w:pPr>
        <w:spacing w:before="200"/>
      </w:pPr>
    </w:p>
    <w:p w14:paraId="7F6F1524">
      <w:pPr>
        <w:pStyle w:val="2"/>
        <w:numPr>
          <w:ilvl w:val="0"/>
          <w:numId w:val="2"/>
        </w:numPr>
        <w:spacing w:before="300" w:after="150"/>
        <w:rPr>
          <w:color w:val="002060"/>
        </w:rPr>
      </w:pPr>
      <w:r>
        <w:rPr>
          <w:color w:val="002060"/>
        </w:rPr>
        <w:t>Measures and Scales</w:t>
      </w:r>
    </w:p>
    <w:p w14:paraId="66327A1A">
      <w:pPr>
        <w:numPr>
          <w:numId w:val="0"/>
        </w:numPr>
      </w:pPr>
    </w:p>
    <w:tbl>
      <w:tblPr>
        <w:tblStyle w:val="15"/>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2400"/>
        <w:gridCol w:w="2350"/>
        <w:gridCol w:w="1200"/>
        <w:gridCol w:w="1200"/>
      </w:tblGrid>
      <w:tr w14:paraId="24ED3A33">
        <w:tblPrEx>
          <w:tblLayout w:type="fixed"/>
        </w:tblPrEx>
        <w:trPr>
          <w:tblHeader/>
        </w:trPr>
        <w:tc>
          <w:tcPr>
            <w:tcW w:w="2200" w:type="dxa"/>
            <w:shd w:val="clear" w:color="auto" w:fill="1A2B4C"/>
            <w:tcMar>
              <w:top w:w="80" w:type="dxa"/>
              <w:left w:w="100" w:type="dxa"/>
              <w:bottom w:w="80" w:type="dxa"/>
              <w:right w:w="100" w:type="dxa"/>
            </w:tcMar>
          </w:tcPr>
          <w:p w14:paraId="545EE8E0">
            <w:pPr/>
            <w:r>
              <w:rPr>
                <w:b/>
                <w:bCs/>
                <w:color w:val="FFFFFF"/>
                <w:sz w:val="20"/>
                <w:szCs w:val="20"/>
              </w:rPr>
              <w:t>Variable</w:t>
            </w:r>
          </w:p>
        </w:tc>
        <w:tc>
          <w:tcPr>
            <w:tcW w:w="2400" w:type="dxa"/>
            <w:shd w:val="clear" w:color="auto" w:fill="1A2B4C"/>
            <w:tcMar>
              <w:top w:w="80" w:type="dxa"/>
              <w:left w:w="100" w:type="dxa"/>
              <w:bottom w:w="80" w:type="dxa"/>
              <w:right w:w="100" w:type="dxa"/>
            </w:tcMar>
          </w:tcPr>
          <w:p w14:paraId="4BC1907D">
            <w:pPr/>
            <w:r>
              <w:rPr>
                <w:b/>
                <w:bCs/>
                <w:color w:val="FFFFFF"/>
                <w:sz w:val="20"/>
                <w:szCs w:val="20"/>
              </w:rPr>
              <w:t>Source</w:t>
            </w:r>
          </w:p>
        </w:tc>
        <w:tc>
          <w:tcPr>
            <w:tcW w:w="2350" w:type="dxa"/>
            <w:shd w:val="clear" w:color="auto" w:fill="1A2B4C"/>
            <w:tcMar>
              <w:top w:w="80" w:type="dxa"/>
              <w:left w:w="100" w:type="dxa"/>
              <w:bottom w:w="80" w:type="dxa"/>
              <w:right w:w="100" w:type="dxa"/>
            </w:tcMar>
          </w:tcPr>
          <w:p w14:paraId="01E17DC7">
            <w:pPr/>
            <w:r>
              <w:rPr>
                <w:b/>
                <w:bCs/>
                <w:color w:val="FFFFFF"/>
                <w:sz w:val="20"/>
                <w:szCs w:val="20"/>
              </w:rPr>
              <w:t>Scale</w:t>
            </w:r>
          </w:p>
        </w:tc>
        <w:tc>
          <w:tcPr>
            <w:tcW w:w="1200" w:type="dxa"/>
            <w:shd w:val="clear" w:color="auto" w:fill="1A2B4C"/>
            <w:tcMar>
              <w:top w:w="80" w:type="dxa"/>
              <w:left w:w="100" w:type="dxa"/>
              <w:bottom w:w="80" w:type="dxa"/>
              <w:right w:w="100" w:type="dxa"/>
            </w:tcMar>
          </w:tcPr>
          <w:p w14:paraId="03DE7C36">
            <w:pPr/>
            <w:r>
              <w:rPr>
                <w:b/>
                <w:bCs/>
                <w:color w:val="FFFFFF"/>
                <w:sz w:val="20"/>
                <w:szCs w:val="20"/>
              </w:rPr>
              <w:t>Items</w:t>
            </w:r>
          </w:p>
        </w:tc>
        <w:tc>
          <w:tcPr>
            <w:tcW w:w="1200" w:type="dxa"/>
            <w:shd w:val="clear" w:color="auto" w:fill="1A2B4C"/>
            <w:tcMar>
              <w:top w:w="80" w:type="dxa"/>
              <w:left w:w="100" w:type="dxa"/>
              <w:bottom w:w="80" w:type="dxa"/>
              <w:right w:w="100" w:type="dxa"/>
            </w:tcMar>
          </w:tcPr>
          <w:p w14:paraId="1D3B5813">
            <w:pPr/>
            <w:r>
              <w:rPr>
                <w:b/>
                <w:bCs/>
                <w:color w:val="FFFFFF"/>
                <w:sz w:val="20"/>
                <w:szCs w:val="20"/>
              </w:rPr>
              <w:t>Format</w:t>
            </w:r>
          </w:p>
        </w:tc>
      </w:tr>
      <w:tr w14:paraId="0422ECB2">
        <w:tblPrEx>
          <w:tblLayout w:type="fixed"/>
        </w:tblPrEx>
        <w:tc>
          <w:tcPr>
            <w:tcW w:w="2200" w:type="dxa"/>
            <w:tcMar>
              <w:top w:w="80" w:type="dxa"/>
              <w:left w:w="100" w:type="dxa"/>
              <w:bottom w:w="80" w:type="dxa"/>
              <w:right w:w="100" w:type="dxa"/>
            </w:tcMar>
          </w:tcPr>
          <w:p w14:paraId="7660FC88">
            <w:pPr/>
            <w:r>
              <w:rPr>
                <w:b w:val="0"/>
                <w:bCs w:val="0"/>
                <w:sz w:val="20"/>
                <w:szCs w:val="20"/>
              </w:rPr>
              <w:t>Work Attire (IV)</w:t>
            </w:r>
          </w:p>
        </w:tc>
        <w:tc>
          <w:tcPr>
            <w:tcW w:w="2400" w:type="dxa"/>
            <w:tcMar>
              <w:top w:w="80" w:type="dxa"/>
              <w:left w:w="100" w:type="dxa"/>
              <w:bottom w:w="80" w:type="dxa"/>
              <w:right w:w="100" w:type="dxa"/>
            </w:tcMar>
          </w:tcPr>
          <w:p w14:paraId="1943B8D3">
            <w:pPr/>
            <w:r>
              <w:rPr>
                <w:b w:val="0"/>
                <w:bCs w:val="0"/>
                <w:sz w:val="20"/>
                <w:szCs w:val="20"/>
              </w:rPr>
              <w:t>Researcher-constructed</w:t>
            </w:r>
          </w:p>
        </w:tc>
        <w:tc>
          <w:tcPr>
            <w:tcW w:w="2350" w:type="dxa"/>
            <w:tcMar>
              <w:top w:w="80" w:type="dxa"/>
              <w:left w:w="100" w:type="dxa"/>
              <w:bottom w:w="80" w:type="dxa"/>
              <w:right w:w="100" w:type="dxa"/>
            </w:tcMar>
          </w:tcPr>
          <w:p w14:paraId="2E4CA052">
            <w:pPr/>
            <w:r>
              <w:rPr>
                <w:b w:val="0"/>
                <w:bCs w:val="0"/>
                <w:sz w:val="20"/>
                <w:szCs w:val="20"/>
              </w:rPr>
              <w:t>—</w:t>
            </w:r>
          </w:p>
        </w:tc>
        <w:tc>
          <w:tcPr>
            <w:tcW w:w="1200" w:type="dxa"/>
            <w:tcMar>
              <w:top w:w="80" w:type="dxa"/>
              <w:left w:w="100" w:type="dxa"/>
              <w:bottom w:w="80" w:type="dxa"/>
              <w:right w:w="100" w:type="dxa"/>
            </w:tcMar>
          </w:tcPr>
          <w:p w14:paraId="4CC758CC">
            <w:pPr/>
            <w:r>
              <w:rPr>
                <w:rFonts w:hint="eastAsia"/>
              </w:rPr>
              <w:t>≈</w:t>
            </w:r>
            <w:r>
              <w:rPr>
                <w:rFonts w:hint="default"/>
              </w:rPr>
              <w:t xml:space="preserve"> 7</w:t>
            </w:r>
          </w:p>
        </w:tc>
        <w:tc>
          <w:tcPr>
            <w:tcW w:w="1200" w:type="dxa"/>
            <w:tcMar>
              <w:top w:w="80" w:type="dxa"/>
              <w:left w:w="100" w:type="dxa"/>
              <w:bottom w:w="80" w:type="dxa"/>
              <w:right w:w="100" w:type="dxa"/>
            </w:tcMar>
          </w:tcPr>
          <w:p w14:paraId="034A26AA">
            <w:pPr/>
            <w:r>
              <w:rPr>
                <w:b w:val="0"/>
                <w:bCs w:val="0"/>
                <w:sz w:val="20"/>
                <w:szCs w:val="20"/>
              </w:rPr>
              <w:t>5-point Likert</w:t>
            </w:r>
          </w:p>
        </w:tc>
      </w:tr>
      <w:tr w14:paraId="77EA550B">
        <w:tblPrEx>
          <w:tblLayout w:type="fixed"/>
        </w:tblPrEx>
        <w:tc>
          <w:tcPr>
            <w:tcW w:w="2200" w:type="dxa"/>
            <w:tcMar>
              <w:top w:w="80" w:type="dxa"/>
              <w:left w:w="100" w:type="dxa"/>
              <w:bottom w:w="80" w:type="dxa"/>
              <w:right w:w="100" w:type="dxa"/>
            </w:tcMar>
          </w:tcPr>
          <w:p w14:paraId="1357496A">
            <w:pPr/>
            <w:r>
              <w:rPr>
                <w:b w:val="0"/>
                <w:bCs w:val="0"/>
                <w:sz w:val="20"/>
                <w:szCs w:val="20"/>
              </w:rPr>
              <w:t>State Self-Esteem (DV1)</w:t>
            </w:r>
          </w:p>
        </w:tc>
        <w:tc>
          <w:tcPr>
            <w:tcW w:w="2400" w:type="dxa"/>
            <w:tcMar>
              <w:top w:w="80" w:type="dxa"/>
              <w:left w:w="100" w:type="dxa"/>
              <w:bottom w:w="80" w:type="dxa"/>
              <w:right w:w="100" w:type="dxa"/>
            </w:tcMar>
          </w:tcPr>
          <w:p w14:paraId="5D8753B1">
            <w:pPr/>
            <w:r>
              <w:rPr>
                <w:b w:val="0"/>
                <w:bCs w:val="0"/>
                <w:sz w:val="20"/>
                <w:szCs w:val="20"/>
              </w:rPr>
              <w:t>Heatherton &amp; Polivy (1991)</w:t>
            </w:r>
          </w:p>
        </w:tc>
        <w:tc>
          <w:tcPr>
            <w:tcW w:w="2350" w:type="dxa"/>
            <w:tcMar>
              <w:top w:w="80" w:type="dxa"/>
              <w:left w:w="100" w:type="dxa"/>
              <w:bottom w:w="80" w:type="dxa"/>
              <w:right w:w="100" w:type="dxa"/>
            </w:tcMar>
          </w:tcPr>
          <w:p w14:paraId="7814908F">
            <w:pPr/>
            <w:r>
              <w:rPr>
                <w:b w:val="0"/>
                <w:bCs w:val="0"/>
                <w:sz w:val="20"/>
                <w:szCs w:val="20"/>
              </w:rPr>
              <w:t>SSES</w:t>
            </w:r>
          </w:p>
        </w:tc>
        <w:tc>
          <w:tcPr>
            <w:tcW w:w="1200" w:type="dxa"/>
            <w:tcMar>
              <w:top w:w="80" w:type="dxa"/>
              <w:left w:w="100" w:type="dxa"/>
              <w:bottom w:w="80" w:type="dxa"/>
              <w:right w:w="100" w:type="dxa"/>
            </w:tcMar>
          </w:tcPr>
          <w:p w14:paraId="3708563B">
            <w:pPr/>
            <w:r>
              <w:rPr>
                <w:b w:val="0"/>
                <w:bCs w:val="0"/>
                <w:sz w:val="20"/>
                <w:szCs w:val="20"/>
              </w:rPr>
              <w:t>20</w:t>
            </w:r>
          </w:p>
        </w:tc>
        <w:tc>
          <w:tcPr>
            <w:tcW w:w="1200" w:type="dxa"/>
            <w:tcMar>
              <w:top w:w="80" w:type="dxa"/>
              <w:left w:w="100" w:type="dxa"/>
              <w:bottom w:w="80" w:type="dxa"/>
              <w:right w:w="100" w:type="dxa"/>
            </w:tcMar>
          </w:tcPr>
          <w:p w14:paraId="654313BE">
            <w:pPr/>
            <w:r>
              <w:rPr>
                <w:b w:val="0"/>
                <w:bCs w:val="0"/>
                <w:sz w:val="20"/>
                <w:szCs w:val="20"/>
              </w:rPr>
              <w:t>5-point Likert</w:t>
            </w:r>
          </w:p>
        </w:tc>
      </w:tr>
      <w:tr w14:paraId="319F57CF">
        <w:tblPrEx>
          <w:tblLayout w:type="fixed"/>
        </w:tblPrEx>
        <w:tc>
          <w:tcPr>
            <w:tcW w:w="2200" w:type="dxa"/>
            <w:tcMar>
              <w:top w:w="80" w:type="dxa"/>
              <w:left w:w="100" w:type="dxa"/>
              <w:bottom w:w="80" w:type="dxa"/>
              <w:right w:w="100" w:type="dxa"/>
            </w:tcMar>
          </w:tcPr>
          <w:p w14:paraId="6B420615">
            <w:pPr/>
            <w:r>
              <w:rPr>
                <w:b w:val="0"/>
                <w:bCs w:val="0"/>
                <w:sz w:val="20"/>
                <w:szCs w:val="20"/>
              </w:rPr>
              <w:t>Psychological Safety (DV2)</w:t>
            </w:r>
          </w:p>
        </w:tc>
        <w:tc>
          <w:tcPr>
            <w:tcW w:w="2400" w:type="dxa"/>
            <w:tcMar>
              <w:top w:w="80" w:type="dxa"/>
              <w:left w:w="100" w:type="dxa"/>
              <w:bottom w:w="80" w:type="dxa"/>
              <w:right w:w="100" w:type="dxa"/>
            </w:tcMar>
          </w:tcPr>
          <w:p w14:paraId="7C850F07">
            <w:pPr/>
            <w:r>
              <w:rPr>
                <w:b w:val="0"/>
                <w:bCs w:val="0"/>
                <w:sz w:val="20"/>
                <w:szCs w:val="20"/>
              </w:rPr>
              <w:t>Edmondson (1999)</w:t>
            </w:r>
          </w:p>
        </w:tc>
        <w:tc>
          <w:tcPr>
            <w:tcW w:w="2350" w:type="dxa"/>
            <w:tcMar>
              <w:top w:w="80" w:type="dxa"/>
              <w:left w:w="100" w:type="dxa"/>
              <w:bottom w:w="80" w:type="dxa"/>
              <w:right w:w="100" w:type="dxa"/>
            </w:tcMar>
          </w:tcPr>
          <w:p w14:paraId="4B26E472">
            <w:pPr/>
            <w:r>
              <w:rPr>
                <w:b w:val="0"/>
                <w:bCs w:val="0"/>
                <w:sz w:val="20"/>
                <w:szCs w:val="20"/>
              </w:rPr>
              <w:t>Team Psychological Safety Scale</w:t>
            </w:r>
          </w:p>
        </w:tc>
        <w:tc>
          <w:tcPr>
            <w:tcW w:w="1200" w:type="dxa"/>
            <w:tcMar>
              <w:top w:w="80" w:type="dxa"/>
              <w:left w:w="100" w:type="dxa"/>
              <w:bottom w:w="80" w:type="dxa"/>
              <w:right w:w="100" w:type="dxa"/>
            </w:tcMar>
          </w:tcPr>
          <w:p w14:paraId="24A7E2D2">
            <w:pPr/>
            <w:r>
              <w:rPr>
                <w:b w:val="0"/>
                <w:bCs w:val="0"/>
                <w:sz w:val="20"/>
                <w:szCs w:val="20"/>
              </w:rPr>
              <w:t>7</w:t>
            </w:r>
          </w:p>
        </w:tc>
        <w:tc>
          <w:tcPr>
            <w:tcW w:w="1200" w:type="dxa"/>
            <w:tcMar>
              <w:top w:w="80" w:type="dxa"/>
              <w:left w:w="100" w:type="dxa"/>
              <w:bottom w:w="80" w:type="dxa"/>
              <w:right w:w="100" w:type="dxa"/>
            </w:tcMar>
          </w:tcPr>
          <w:p w14:paraId="1897686D">
            <w:pPr/>
            <w:r>
              <w:rPr>
                <w:b w:val="0"/>
                <w:bCs w:val="0"/>
                <w:sz w:val="20"/>
                <w:szCs w:val="20"/>
              </w:rPr>
              <w:t>5</w:t>
            </w:r>
            <w:r>
              <w:rPr>
                <w:b w:val="0"/>
                <w:bCs w:val="0"/>
                <w:sz w:val="20"/>
                <w:szCs w:val="20"/>
              </w:rPr>
              <w:t>-</w:t>
            </w:r>
            <w:r>
              <w:rPr>
                <w:b w:val="0"/>
                <w:bCs w:val="0"/>
                <w:sz w:val="20"/>
                <w:szCs w:val="20"/>
              </w:rPr>
              <w:t>point Likert</w:t>
            </w:r>
          </w:p>
        </w:tc>
      </w:tr>
      <w:tr w14:paraId="12C7BE4E">
        <w:tblPrEx>
          <w:tblLayout w:type="fixed"/>
        </w:tblPrEx>
        <w:tc>
          <w:tcPr>
            <w:tcW w:w="2200" w:type="dxa"/>
            <w:tcMar>
              <w:top w:w="80" w:type="dxa"/>
              <w:left w:w="100" w:type="dxa"/>
              <w:bottom w:w="80" w:type="dxa"/>
              <w:right w:w="100" w:type="dxa"/>
            </w:tcMar>
          </w:tcPr>
          <w:p w14:paraId="66B4D8CF">
            <w:pPr/>
            <w:r>
              <w:rPr>
                <w:b w:val="0"/>
                <w:bCs w:val="0"/>
                <w:sz w:val="20"/>
                <w:szCs w:val="20"/>
              </w:rPr>
              <w:t>Work Engagement (DV3)</w:t>
            </w:r>
          </w:p>
        </w:tc>
        <w:tc>
          <w:tcPr>
            <w:tcW w:w="2400" w:type="dxa"/>
            <w:tcMar>
              <w:top w:w="80" w:type="dxa"/>
              <w:left w:w="100" w:type="dxa"/>
              <w:bottom w:w="80" w:type="dxa"/>
              <w:right w:w="100" w:type="dxa"/>
            </w:tcMar>
          </w:tcPr>
          <w:p w14:paraId="263F1B8E">
            <w:pPr/>
            <w:r>
              <w:rPr>
                <w:b w:val="0"/>
                <w:bCs w:val="0"/>
                <w:sz w:val="20"/>
                <w:szCs w:val="20"/>
              </w:rPr>
              <w:t>Schaufeli &amp; Bakker (2006)</w:t>
            </w:r>
          </w:p>
        </w:tc>
        <w:tc>
          <w:tcPr>
            <w:tcW w:w="2350" w:type="dxa"/>
            <w:tcMar>
              <w:top w:w="80" w:type="dxa"/>
              <w:left w:w="100" w:type="dxa"/>
              <w:bottom w:w="80" w:type="dxa"/>
              <w:right w:w="100" w:type="dxa"/>
            </w:tcMar>
          </w:tcPr>
          <w:p w14:paraId="692FFB4C">
            <w:pPr/>
            <w:r>
              <w:rPr>
                <w:b w:val="0"/>
                <w:bCs w:val="0"/>
                <w:sz w:val="20"/>
                <w:szCs w:val="20"/>
              </w:rPr>
              <w:t>UWES-9</w:t>
            </w:r>
          </w:p>
        </w:tc>
        <w:tc>
          <w:tcPr>
            <w:tcW w:w="1200" w:type="dxa"/>
            <w:tcMar>
              <w:top w:w="80" w:type="dxa"/>
              <w:left w:w="100" w:type="dxa"/>
              <w:bottom w:w="80" w:type="dxa"/>
              <w:right w:w="100" w:type="dxa"/>
            </w:tcMar>
          </w:tcPr>
          <w:p w14:paraId="2A996B2F">
            <w:pPr/>
            <w:r>
              <w:rPr>
                <w:b w:val="0"/>
                <w:bCs w:val="0"/>
                <w:sz w:val="20"/>
                <w:szCs w:val="20"/>
              </w:rPr>
              <w:t>9</w:t>
            </w:r>
          </w:p>
        </w:tc>
        <w:tc>
          <w:tcPr>
            <w:tcW w:w="1200" w:type="dxa"/>
            <w:tcMar>
              <w:top w:w="80" w:type="dxa"/>
              <w:left w:w="100" w:type="dxa"/>
              <w:bottom w:w="80" w:type="dxa"/>
              <w:right w:w="100" w:type="dxa"/>
            </w:tcMar>
          </w:tcPr>
          <w:p w14:paraId="49659327">
            <w:pPr/>
            <w:r>
              <w:rPr>
                <w:b w:val="0"/>
                <w:bCs w:val="0"/>
                <w:sz w:val="20"/>
                <w:szCs w:val="20"/>
              </w:rPr>
              <w:t>7-point frequency</w:t>
            </w:r>
          </w:p>
        </w:tc>
      </w:tr>
    </w:tbl>
    <w:p w14:paraId="3664A364">
      <w:pPr>
        <w:spacing w:before="200"/>
      </w:pPr>
    </w:p>
    <w:p w14:paraId="2120748E">
      <w:pPr>
        <w:pStyle w:val="3"/>
        <w:spacing w:before="200" w:after="100"/>
      </w:pPr>
      <w:r>
        <w:rPr>
          <w:color w:val="002060"/>
        </w:rPr>
        <w:t>Independent Variable Questionnaire (Work Attire, 7 items, 5-point Likert)</w:t>
      </w:r>
    </w:p>
    <w:p w14:paraId="6C58503C">
      <w:pPr>
        <w:pStyle w:val="17"/>
        <w:numPr>
          <w:ilvl w:val="0"/>
          <w:numId w:val="3"/>
        </w:numPr>
        <w:spacing w:after="60"/>
      </w:pPr>
      <w:r>
        <w:t>My workplace has a clearly defined dress code.</w:t>
      </w:r>
    </w:p>
    <w:p w14:paraId="3A522F4E">
      <w:pPr>
        <w:pStyle w:val="17"/>
        <w:numPr>
          <w:ilvl w:val="0"/>
          <w:numId w:val="3"/>
        </w:numPr>
        <w:spacing w:after="60"/>
      </w:pPr>
      <w:r>
        <w:t>I have the freedom to choose how formally or casually I dress for work.</w:t>
      </w:r>
    </w:p>
    <w:p w14:paraId="6C3BAC7C">
      <w:pPr>
        <w:pStyle w:val="17"/>
        <w:numPr>
          <w:ilvl w:val="0"/>
          <w:numId w:val="3"/>
        </w:numPr>
        <w:spacing w:after="60"/>
      </w:pPr>
      <w:r>
        <w:t>My organization's dress code reflects professionalism.</w:t>
      </w:r>
    </w:p>
    <w:p w14:paraId="33A36C3A">
      <w:pPr>
        <w:pStyle w:val="17"/>
        <w:numPr>
          <w:ilvl w:val="0"/>
          <w:numId w:val="3"/>
        </w:numPr>
        <w:spacing w:after="60"/>
      </w:pPr>
      <w:r>
        <w:t>I feel that wearing formal attire is expected in my role.</w:t>
      </w:r>
    </w:p>
    <w:p w14:paraId="5C0254B3">
      <w:pPr>
        <w:pStyle w:val="17"/>
        <w:numPr>
          <w:ilvl w:val="0"/>
          <w:numId w:val="3"/>
        </w:numPr>
        <w:spacing w:after="60"/>
      </w:pPr>
      <w:r>
        <w:t>My organization allows flexibility in attire based on the nature of work each day.</w:t>
      </w:r>
    </w:p>
    <w:p w14:paraId="7493671F">
      <w:pPr>
        <w:pStyle w:val="17"/>
        <w:numPr>
          <w:ilvl w:val="0"/>
          <w:numId w:val="3"/>
        </w:numPr>
        <w:spacing w:after="60"/>
      </w:pPr>
      <w:r>
        <w:t>I am comfortable with the current level of formality required by my workplace attire.</w:t>
      </w:r>
    </w:p>
    <w:p w14:paraId="1D579D13">
      <w:pPr>
        <w:pStyle w:val="17"/>
        <w:numPr>
          <w:ilvl w:val="0"/>
          <w:numId w:val="3"/>
        </w:numPr>
        <w:spacing w:after="60"/>
      </w:pPr>
      <w:r>
        <w:t>I believe my choice of work attire is taken seriously within my organization.</w:t>
      </w:r>
    </w:p>
    <w:p w14:paraId="658537AE">
      <w:pPr>
        <w:pStyle w:val="2"/>
        <w:spacing w:before="300" w:after="150"/>
      </w:pPr>
      <w:r>
        <w:rPr>
          <w:color w:val="002060"/>
        </w:rPr>
        <w:t>8. Note on Base Paper</w:t>
      </w:r>
    </w:p>
    <w:p w14:paraId="528D259F">
      <w:pPr>
        <w:spacing w:after="120"/>
      </w:pPr>
      <w:r>
        <w:t>The base paper for this study is Kim, J. K., Holtz, B. C., &amp; Vogel, R. M. (2023). Wearing Your Worth at Work: The Consequences of Employees' Daily Clothing Choices. Academy of Management Journal, 66(5), 1411–1437. The full text is currently paywalled. I have emailed Dr. Holtz directly requesting a copy for academic use, and will also access it through the institutional library during the upcoming conference. In the interim, the attached paper is being used as a secondary reference to continue development of the theoretical framework.</w:t>
      </w:r>
    </w:p>
    <w:p w14:paraId="6BAD7F2B">
      <w:pPr>
        <w:spacing w:after="120"/>
      </w:pPr>
    </w:p>
    <w:p w14:paraId="086274D8">
      <w:pPr>
        <w:spacing w:after="120"/>
        <w:rPr>
          <w:rFonts w:hint="eastAsia"/>
          <w:color w:val="2E74B5"/>
          <w:sz w:val="32"/>
          <w:szCs w:val="32"/>
        </w:rPr>
      </w:pPr>
      <w:r>
        <w:rPr>
          <w:rFonts w:hint="eastAsia"/>
          <w:color w:val="002060"/>
          <w:sz w:val="32"/>
          <w:szCs w:val="32"/>
        </w:rPr>
        <w:t>9. Note on Sector Coverage</w:t>
      </w:r>
    </w:p>
    <w:p w14:paraId="086274D8">
      <w:pPr>
        <w:spacing w:after="120"/>
      </w:pPr>
      <w:r>
        <w:rPr>
          <w:rFonts w:hint="eastAsia"/>
          <w:sz w:val="21"/>
          <w:szCs w:val="21"/>
        </w:rPr>
        <w:t>Data collection is currently focused primarily on the IT sector, accessed through my ongoing consultancy internship. Since the study is designed to be multi-sector, I am next planning to extend data collection to the education sector, with questionnaires to be filled by professors across various colleges.</w:t>
      </w:r>
      <w:bookmarkStart w:id="0" w:name="_GoBack"/>
      <w:bookmarkEnd w:id="0"/>
    </w:p>
    <w:sectPr>
      <w:pgSz w:w="12240" w:h="15840"/>
      <w:pgMar w:top="1080" w:right="1080" w:bottom="1080" w:left="1080"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8D5333"/>
    <w:multiLevelType w:val="singleLevel"/>
    <w:tmpl w:val="6A8D5333"/>
    <w:lvl w:ilvl="0" w:tentative="0">
      <w:start w:val="1"/>
      <w:numFmt w:val="decimal"/>
      <w:lvlText w:val="%1."/>
      <w:lvlJc w:val="left"/>
      <w:pPr>
        <w:ind w:left="360" w:hanging="260"/>
      </w:pPr>
    </w:lvl>
  </w:abstractNum>
  <w:abstractNum w:abstractNumId="1">
    <w:nsid w:val="6A8D5349"/>
    <w:multiLevelType w:val="singleLevel"/>
    <w:tmpl w:val="6A8D5349"/>
    <w:lvl w:ilvl="0" w:tentative="0">
      <w:start w:val="1"/>
      <w:numFmt w:val="decimal"/>
      <w:lvlText w:val="%1."/>
      <w:lvlJc w:val="left"/>
      <w:pPr>
        <w:ind w:left="360" w:hanging="260"/>
      </w:pPr>
    </w:lvl>
  </w:abstractNum>
  <w:abstractNum w:abstractNumId="2">
    <w:nsid w:val="6A8D553C"/>
    <w:multiLevelType w:val="singleLevel"/>
    <w:tmpl w:val="6A8D553C"/>
    <w:lvl w:ilvl="0" w:tentative="0">
      <w:start w:val="6"/>
      <w:numFmt w:val="decimal"/>
      <w:lvlText w:val="%1."/>
      <w:lvlJc w:val="left"/>
    </w:lvl>
  </w:abstractNum>
  <w:num w:numId="1">
    <w:abstractNumId w:val="0"/>
    <w:lvlOverride w:ilvl="0">
      <w:startOverride w:val="1"/>
    </w:lvlOverride>
  </w:num>
  <w:num w:numId="2">
    <w:abstractNumId w:val="2"/>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documentProtection w:enforcement="0"/>
  <w:compat>
    <w:compatSetting w:name="compatibilityMode" w:uri="http://schemas.microsoft.com/office/word" w:val="15"/>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1">
    <w:name w:val="Default Paragraph Font"/>
    <w:semiHidden/>
    <w:uiPriority w:val="0"/>
  </w:style>
  <w:style w:type="table" w:default="1" w:styleId="15">
    <w:name w:val="Normal Table"/>
    <w:semiHidden/>
    <w:uiPriority w:val="0"/>
    <w:tblPr>
      <w:tblLayout w:type="fixed"/>
      <w:tblCellMar>
        <w:top w:w="0" w:type="dxa"/>
        <w:left w:w="108" w:type="dxa"/>
        <w:bottom w:w="0" w:type="dxa"/>
        <w:right w:w="108" w:type="dxa"/>
      </w:tblCellMar>
    </w:tblPr>
  </w:style>
  <w:style w:type="paragraph" w:styleId="8">
    <w:name w:val="endnote text"/>
    <w:link w:val="19"/>
    <w:unhideWhenUsed/>
    <w:uiPriority w:val="99"/>
    <w:pPr>
      <w:spacing w:after="0" w:line="240" w:lineRule="auto"/>
    </w:pPr>
    <w:rPr>
      <w:sz w:val="20"/>
      <w:szCs w:val="20"/>
    </w:rPr>
  </w:style>
  <w:style w:type="paragraph" w:styleId="9">
    <w:name w:val="footnote text"/>
    <w:link w:val="18"/>
    <w:unhideWhenUsed/>
    <w:uiPriority w:val="99"/>
    <w:pPr>
      <w:spacing w:after="0" w:line="240" w:lineRule="auto"/>
    </w:pPr>
    <w:rPr>
      <w:sz w:val="20"/>
      <w:szCs w:val="20"/>
    </w:rPr>
  </w:style>
  <w:style w:type="paragraph" w:styleId="10">
    <w:name w:val="Title"/>
    <w:qFormat/>
    <w:uiPriority w:val="0"/>
    <w:rPr>
      <w:sz w:val="56"/>
      <w:szCs w:val="56"/>
    </w:rPr>
  </w:style>
  <w:style w:type="character" w:styleId="12">
    <w:name w:val="endnote reference"/>
    <w:unhideWhenUsed/>
    <w:uiPriority w:val="99"/>
    <w:rPr>
      <w:vertAlign w:val="superscript"/>
    </w:rPr>
  </w:style>
  <w:style w:type="character" w:styleId="13">
    <w:name w:val="footnote reference"/>
    <w:unhideWhenUsed/>
    <w:uiPriority w:val="99"/>
    <w:rPr>
      <w:vertAlign w:val="superscript"/>
    </w:rPr>
  </w:style>
  <w:style w:type="character" w:styleId="14">
    <w:name w:val="Hyperlink"/>
    <w:unhideWhenUsed/>
    <w:uiPriority w:val="99"/>
    <w:rPr>
      <w:color w:val="0563C1"/>
      <w:u w:val="single"/>
    </w:rPr>
  </w:style>
  <w:style w:type="paragraph" w:customStyle="1" w:styleId="16">
    <w:name w:val="Strong1"/>
    <w:qFormat/>
    <w:uiPriority w:val="0"/>
    <w:rPr>
      <w:b/>
      <w:bCs/>
      <w:sz w:val="21"/>
      <w:szCs w:val="22"/>
    </w:rPr>
  </w:style>
  <w:style w:type="paragraph" w:customStyle="1" w:styleId="17">
    <w:name w:val="List Paragraph"/>
    <w:qFormat/>
    <w:uiPriority w:val="0"/>
    <w:rPr>
      <w:sz w:val="21"/>
      <w:szCs w:val="22"/>
    </w:rPr>
  </w:style>
  <w:style w:type="character" w:customStyle="1" w:styleId="18">
    <w:name w:val="Footnote Text Char"/>
    <w:link w:val="9"/>
    <w:unhideWhenUsed/>
    <w:uiPriority w:val="99"/>
    <w:rPr>
      <w:sz w:val="20"/>
      <w:szCs w:val="20"/>
    </w:rPr>
  </w:style>
  <w:style w:type="character" w:customStyle="1" w:styleId="19">
    <w:name w:val="Endnote Text Char"/>
    <w:link w:val="8"/>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iPad</cp:lastModifiedBy>
  <dcterms:modified xsi:type="dcterms:W3CDTF">2026-08-25T14:21:33Z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621A4E549A431B9527538D6A67CBA1F4_31</vt:lpwstr>
  </property>
  <property fmtid="{D5CDD505-2E9C-101B-9397-08002B2CF9AE}" pid="3" name="KSOProductBuildVer">
    <vt:lpwstr>3081-26.8.0</vt:lpwstr>
  </property>
</Properties>
</file>