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0"/>
          <w:szCs w:val="30"/>
          <w:rtl w:val="0"/>
        </w:rPr>
        <w:t xml:space="preserve">OC&amp;OD Take-Home Assignment: Organisational Change at Union Bank of India</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i w:val="1"/>
          <w:iCs w:val="1"/>
          <w:rtl w:val="0"/>
        </w:rPr>
        <w:t xml:space="preserve">Sreetama Ghosh Ray | PG 2nd Year, HRM | Madras School of Social Work (MSSW), Chennai</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rtl w:val="0"/>
        </w:rPr>
        <w:t xml:space="preserve">1. Organisation Profile</w:t>
      </w:r>
    </w:p>
    <w:p w:rsidR="00000000" w:rsidDel="00000000" w:rsidP="00000000" w:rsidRDefault="00000000" w:rsidRPr="00000000" w14:paraId="00000004">
      <w:pPr>
        <w:spacing w:after="150" w:lineRule="auto"/>
        <w:jc w:val="both"/>
        <w:rPr/>
      </w:pPr>
      <w:r w:rsidDel="00000000" w:rsidR="00000000" w:rsidRPr="00000000">
        <w:rPr>
          <w:rtl w:val="0"/>
        </w:rPr>
        <w:t xml:space="preserve">Union Bank of India (UBI) is one of India's leading public sector banks. It was founded by Seth Sitaram Poddar on 11 November 1919 and was nationalised by the Government of India in 1969. Headquartered in Mumbai, UBI today operates a network of over 8,650 domestic branches and more than 8,700 ATMs, supported by a workforce of around 74,000 employees and over 28,550 Business Correspondent points. It also maintains an international presence through two overseas branches, in Dubai and Sydney, and a banking subsidiary in London. In 2020, following a government-led consolidation of public sector banks, UBI was named an anchor bank and merged with Andhra Bank and Corporation Bank. I completed a six-week internship with UBI's Human Resource department, during which I studied how the bank managed this large organisational change.</w:t>
      </w:r>
    </w:p>
    <w:p w:rsidR="00000000" w:rsidDel="00000000" w:rsidP="00000000" w:rsidRDefault="00000000" w:rsidRPr="00000000" w14:paraId="00000005">
      <w:pPr>
        <w:pStyle w:val="Heading1"/>
        <w:spacing w:after="150" w:before="300" w:lineRule="auto"/>
        <w:rPr/>
      </w:pPr>
      <w:r w:rsidDel="00000000" w:rsidR="00000000" w:rsidRPr="00000000">
        <w:rPr>
          <w:rtl w:val="0"/>
        </w:rPr>
        <w:t xml:space="preserve">2. Nature of the Change</w:t>
      </w:r>
    </w:p>
    <w:p w:rsidR="00000000" w:rsidDel="00000000" w:rsidP="00000000" w:rsidRDefault="00000000" w:rsidRPr="00000000" w14:paraId="00000006">
      <w:pPr>
        <w:spacing w:after="150" w:lineRule="auto"/>
        <w:jc w:val="both"/>
        <w:rPr/>
      </w:pPr>
      <w:r w:rsidDel="00000000" w:rsidR="00000000" w:rsidRPr="00000000">
        <w:rPr>
          <w:rtl w:val="0"/>
        </w:rPr>
        <w:t xml:space="preserve">The change examined in this assignment is a merger and amalgamation: the consolidation of three separate public sector banks - Union Bank of India, Andhra Bank, and Corporation Bank - into a single, larger entity operating under the UBI name from 1 April 2020. This was not a small operational adjustment but a structural transformation that touched every part of the organisation, including reporting lines, technology systems, HR policies, work locations, and even employees' sense of organisational identity.</w:t>
      </w:r>
    </w:p>
    <w:p w:rsidR="00000000" w:rsidDel="00000000" w:rsidP="00000000" w:rsidRDefault="00000000" w:rsidRPr="00000000" w14:paraId="00000007">
      <w:pPr>
        <w:pStyle w:val="Heading1"/>
        <w:spacing w:after="150" w:before="300" w:lineRule="auto"/>
        <w:rPr/>
      </w:pPr>
      <w:r w:rsidDel="00000000" w:rsidR="00000000" w:rsidRPr="00000000">
        <w:rPr>
          <w:rtl w:val="0"/>
        </w:rPr>
        <w:t xml:space="preserve">3. Why the Change Was Required</w:t>
      </w:r>
    </w:p>
    <w:p w:rsidR="00000000" w:rsidDel="00000000" w:rsidP="00000000" w:rsidRDefault="00000000" w:rsidRPr="00000000" w14:paraId="00000008">
      <w:pPr>
        <w:spacing w:after="150" w:lineRule="auto"/>
        <w:jc w:val="both"/>
        <w:rPr/>
      </w:pPr>
      <w:r w:rsidDel="00000000" w:rsidR="00000000" w:rsidRPr="00000000">
        <w:rPr>
          <w:rtl w:val="0"/>
        </w:rPr>
        <w:t xml:space="preserve">The Government of India announced this amalgamation on 30 August 2019, stating that the goal was to improve the cost efficiency and risk management of public sector banks, and to achieve cost reduction, profit maximisation, and gains through wider portfolio and geographical diversification. On their own, several of India's public sector banks were considered too small and undercapitalised to compete effectively with large private banks or to comfortably absorb loan losses. By merging weaker or mid-sized banks into a smaller number of strong anchor banks, the government aimed to build institutions with greater financial strength, wider reach, and better capacity to support the credit needs of a growing economy.</w:t>
      </w:r>
    </w:p>
    <w:p w:rsidR="00000000" w:rsidDel="00000000" w:rsidP="00000000" w:rsidRDefault="00000000" w:rsidRPr="00000000" w14:paraId="00000009">
      <w:pPr>
        <w:pStyle w:val="Heading1"/>
        <w:spacing w:after="150" w:before="300" w:lineRule="auto"/>
        <w:rPr/>
      </w:pPr>
      <w:r w:rsidDel="00000000" w:rsidR="00000000" w:rsidRPr="00000000">
        <w:rPr>
          <w:rtl w:val="0"/>
        </w:rPr>
        <w:t xml:space="preserve">4. Internal Factors Driving Change</w:t>
      </w:r>
    </w:p>
    <w:p w:rsidR="00000000" w:rsidDel="00000000" w:rsidP="00000000" w:rsidRDefault="00000000" w:rsidRPr="00000000" w14:paraId="0000000A">
      <w:pPr>
        <w:spacing w:after="150" w:lineRule="auto"/>
        <w:jc w:val="both"/>
        <w:rPr/>
      </w:pPr>
      <w:r w:rsidDel="00000000" w:rsidR="00000000" w:rsidRPr="00000000">
        <w:rPr>
          <w:rtl w:val="0"/>
        </w:rPr>
        <w:t xml:space="preserve">Within UBI and the two merging banks, several internal pressures made this change necessary. There was a clear need to modernise and standardise core banking technology across the merged entity, and to remove duplicate branches, overlapping job roles, and redundant back-office functions in order to control costs. The merger also created an opportunity to build a larger, more capable talent pool and a stronger combined balance sheet. For the HR department specifically, the internal challenge was to align three different sets of HR policies, pay structures, promotion rules, and organisational cultures into one coherent framework without disrupting day-to-day operations.</w:t>
      </w:r>
    </w:p>
    <w:p w:rsidR="00000000" w:rsidDel="00000000" w:rsidP="00000000" w:rsidRDefault="00000000" w:rsidRPr="00000000" w14:paraId="0000000B">
      <w:pPr>
        <w:pStyle w:val="Heading1"/>
        <w:spacing w:after="150" w:before="300" w:lineRule="auto"/>
        <w:rPr/>
      </w:pPr>
      <w:r w:rsidDel="00000000" w:rsidR="00000000" w:rsidRPr="00000000">
        <w:rPr>
          <w:rtl w:val="0"/>
        </w:rPr>
        <w:t xml:space="preserve">5. External Factors Driving Change</w:t>
      </w:r>
    </w:p>
    <w:p w:rsidR="00000000" w:rsidDel="00000000" w:rsidP="00000000" w:rsidRDefault="00000000" w:rsidRPr="00000000" w14:paraId="0000000C">
      <w:pPr>
        <w:spacing w:after="150" w:lineRule="auto"/>
        <w:jc w:val="both"/>
        <w:rPr/>
      </w:pPr>
      <w:r w:rsidDel="00000000" w:rsidR="00000000" w:rsidRPr="00000000">
        <w:rPr>
          <w:rtl w:val="0"/>
        </w:rPr>
        <w:t xml:space="preserve">Externally, the change was shaped by government banking-sector policy, the Reserve Bank of India's continuing push for a more stable and resilient banking system, and rising competitive pressure from private-sector and digital-first banks that were gaining market share through faster, more convenient service. There was also a broader economic push to expand credit flow to small businesses, farmers, and individual borrowers, which required banks with a larger capital base. Growing customer expectations around digital banking and faster service further increased the urgency to modernise through consolidation.</w:t>
      </w:r>
    </w:p>
    <w:p w:rsidR="00000000" w:rsidDel="00000000" w:rsidP="00000000" w:rsidRDefault="00000000" w:rsidRPr="00000000" w14:paraId="0000000D">
      <w:pPr>
        <w:pStyle w:val="Heading1"/>
        <w:spacing w:after="150" w:before="300" w:lineRule="auto"/>
        <w:rPr/>
      </w:pPr>
      <w:r w:rsidDel="00000000" w:rsidR="00000000" w:rsidRPr="00000000">
        <w:rPr>
          <w:rtl w:val="0"/>
        </w:rPr>
        <w:t xml:space="preserve">6. Stakeholders Affected</w:t>
      </w:r>
    </w:p>
    <w:p w:rsidR="00000000" w:rsidDel="00000000" w:rsidP="00000000" w:rsidRDefault="00000000" w:rsidRPr="00000000" w14:paraId="0000000E">
      <w:pPr>
        <w:spacing w:after="150" w:lineRule="auto"/>
        <w:jc w:val="both"/>
        <w:rPr/>
      </w:pPr>
      <w:r w:rsidDel="00000000" w:rsidR="00000000" w:rsidRPr="00000000">
        <w:rPr>
          <w:rtl w:val="0"/>
        </w:rPr>
        <w:t xml:space="preserve">A wide range of stakeholders were affected by this change. Employees across all three merging banks - from clerical staff to senior management - faced the most direct impact, with uncertainty around reporting relationships, seniority, postings, and career progression. Customers of all three banks were concerned about the continuity of their account numbers, debit cards, chequebooks, and access to internet banking. Employee unions represented staff interests during the transition, while the Ministry of Finance and the Reserve Bank of India acted as regulators overseeing the process. Shareholders and investors were also stakeholders, given the financial implications of the merger.</w:t>
      </w:r>
    </w:p>
    <w:p w:rsidR="00000000" w:rsidDel="00000000" w:rsidP="00000000" w:rsidRDefault="00000000" w:rsidRPr="00000000" w14:paraId="0000000F">
      <w:pPr>
        <w:pStyle w:val="Heading1"/>
        <w:spacing w:after="150" w:before="300" w:lineRule="auto"/>
        <w:rPr/>
      </w:pPr>
      <w:r w:rsidDel="00000000" w:rsidR="00000000" w:rsidRPr="00000000">
        <w:rPr>
          <w:rtl w:val="0"/>
        </w:rPr>
        <w:t xml:space="preserve">7. Employee Response and Resistance</w:t>
      </w:r>
    </w:p>
    <w:p w:rsidR="00000000" w:rsidDel="00000000" w:rsidP="00000000" w:rsidRDefault="00000000" w:rsidRPr="00000000" w14:paraId="00000010">
      <w:pPr>
        <w:spacing w:after="150" w:lineRule="auto"/>
        <w:jc w:val="both"/>
        <w:rPr/>
      </w:pPr>
      <w:r w:rsidDel="00000000" w:rsidR="00000000" w:rsidRPr="00000000">
        <w:rPr>
          <w:rtl w:val="0"/>
        </w:rPr>
        <w:t xml:space="preserve">As part of my internship project, I designed a short questionnaire and circulated it among employees to understand their experience of the amalgamation. Almost all respondents said they first learned about the merger through official government and bank communication rather than through informal channels or rumours, which helped keep anxiety relatively low. That said, the announcement did create an initial period of uncertainty among staff, particularly regarding changes to organisational structure, reporting arrangements, work locations, and long-term career prospects. There was no strong open resistance to the merger itself, but once integration began, employees noticed genuine differences between the three banks in areas such as documentation formats, delegation of authority, reporting styles, and day-to-day operating procedures. These differences created some early friction and coordination difficulties rather than deliberate resistance.</w:t>
      </w:r>
    </w:p>
    <w:p w:rsidR="00000000" w:rsidDel="00000000" w:rsidP="00000000" w:rsidRDefault="00000000" w:rsidRPr="00000000" w14:paraId="00000011">
      <w:pPr>
        <w:pStyle w:val="Heading1"/>
        <w:spacing w:after="150" w:before="300" w:lineRule="auto"/>
        <w:rPr/>
      </w:pPr>
      <w:r w:rsidDel="00000000" w:rsidR="00000000" w:rsidRPr="00000000">
        <w:rPr>
          <w:rtl w:val="0"/>
        </w:rPr>
        <w:t xml:space="preserve">8. Evidence from Internship Observations</w:t>
      </w:r>
    </w:p>
    <w:p w:rsidR="00000000" w:rsidDel="00000000" w:rsidP="00000000" w:rsidRDefault="00000000" w:rsidRPr="00000000" w14:paraId="00000012">
      <w:pPr>
        <w:spacing w:after="150" w:lineRule="auto"/>
        <w:jc w:val="both"/>
        <w:rPr/>
      </w:pPr>
      <w:r w:rsidDel="00000000" w:rsidR="00000000" w:rsidRPr="00000000">
        <w:rPr>
          <w:rtl w:val="0"/>
        </w:rPr>
        <w:t xml:space="preserve">My questionnaire asked employees how they first learned about the amalgamation, how staff from the different banks began working together, whether daily processes and work styles differed significantly, and whether they had to learn new computer systems or banking software. Responses indicated that UBI's HR department played an active role in easing the transition - organising training sessions and demonstrations, issuing clarifying circulars, and providing ongoing guidance to staff who were adjusting to new colleagues and procedures. One factor that clearly worked in UBI's favour was that all three banks were already running on the same Finacle core banking platform, so the technology integration caused very little disruption to customer-facing digital banking services - a point that came up repeatedly and positively in employee responses.</w:t>
      </w:r>
    </w:p>
    <w:p w:rsidR="00000000" w:rsidDel="00000000" w:rsidP="00000000" w:rsidRDefault="00000000" w:rsidRPr="00000000" w14:paraId="00000013">
      <w:pPr>
        <w:pStyle w:val="Heading1"/>
        <w:spacing w:after="150" w:before="300" w:lineRule="auto"/>
        <w:rPr/>
      </w:pPr>
      <w:r w:rsidDel="00000000" w:rsidR="00000000" w:rsidRPr="00000000">
        <w:rPr>
          <w:rtl w:val="0"/>
        </w:rPr>
        <w:t xml:space="preserve">9. Change Management Strategy: Lewin's Three-Step Model</w:t>
      </w:r>
    </w:p>
    <w:p w:rsidR="00000000" w:rsidDel="00000000" w:rsidP="00000000" w:rsidRDefault="00000000" w:rsidRPr="00000000" w14:paraId="00000014">
      <w:pPr>
        <w:spacing w:after="150" w:lineRule="auto"/>
        <w:jc w:val="both"/>
        <w:rPr/>
      </w:pPr>
      <w:r w:rsidDel="00000000" w:rsidR="00000000" w:rsidRPr="00000000">
        <w:rPr>
          <w:rtl w:val="0"/>
        </w:rPr>
        <w:t xml:space="preserve">To analyse how UBI managed this transition, I have applied Kurt Lewin's classic three-step model of change - Unfreeze, Change, and Refreeze - to the bank's actual amalgamation process, rather than treating the model as pure theory.</w:t>
      </w:r>
    </w:p>
    <w:p w:rsidR="00000000" w:rsidDel="00000000" w:rsidP="00000000" w:rsidRDefault="00000000" w:rsidRPr="00000000" w14:paraId="00000015">
      <w:pPr>
        <w:pStyle w:val="Heading2"/>
        <w:spacing w:after="100" w:before="200" w:lineRule="auto"/>
        <w:rPr/>
      </w:pPr>
      <w:r w:rsidDel="00000000" w:rsidR="00000000" w:rsidRPr="00000000">
        <w:rPr>
          <w:rtl w:val="0"/>
        </w:rPr>
        <w:t xml:space="preserve">Unfreeze: Preparing for the Merger</w:t>
      </w:r>
    </w:p>
    <w:p w:rsidR="00000000" w:rsidDel="00000000" w:rsidP="00000000" w:rsidRDefault="00000000" w:rsidRPr="00000000" w14:paraId="00000016">
      <w:pPr>
        <w:spacing w:after="150" w:lineRule="auto"/>
        <w:jc w:val="both"/>
        <w:rPr/>
      </w:pPr>
      <w:r w:rsidDel="00000000" w:rsidR="00000000" w:rsidRPr="00000000">
        <w:rPr>
          <w:rtl w:val="0"/>
        </w:rPr>
        <w:t xml:space="preserve">The unfreezing stage involves loosening the existing status quo and preparing people psychologically for change. In UBI's case, the fact that the amalgamation was formally notified through an official government gazette gave the change an immediate sense of legitimacy, which limited outright resistance from the start. Following the notification, senior leadership from all three banks held joint press conferences in the cities that hosted each bank's head office - Mumbai, Hyderabad, and Bengaluru - and gave clear public assurances that there would be no employee layoffs as a result of the merger. Customers were similarly reassured that their existing debit cards, chequebooks, and account numbers would remain valid and functional. Leadership also used this stage to actively communicate the expected benefits of the merger, such as economies of scale, a larger combined customer base, lower operating costs, and stronger long-term profitability, in order to build support among employees and the public before the actual integration began.</w:t>
      </w:r>
    </w:p>
    <w:p w:rsidR="00000000" w:rsidDel="00000000" w:rsidP="00000000" w:rsidRDefault="00000000" w:rsidRPr="00000000" w14:paraId="00000017">
      <w:pPr>
        <w:pStyle w:val="Heading2"/>
        <w:spacing w:after="100" w:before="200" w:lineRule="auto"/>
        <w:rPr/>
      </w:pPr>
      <w:r w:rsidDel="00000000" w:rsidR="00000000" w:rsidRPr="00000000">
        <w:rPr>
          <w:rtl w:val="0"/>
        </w:rPr>
        <w:t xml:space="preserve">Change: Executing the Merger</w:t>
      </w:r>
    </w:p>
    <w:p w:rsidR="00000000" w:rsidDel="00000000" w:rsidP="00000000" w:rsidRDefault="00000000" w:rsidRPr="00000000" w14:paraId="00000018">
      <w:pPr>
        <w:spacing w:after="150" w:lineRule="auto"/>
        <w:jc w:val="both"/>
        <w:rPr/>
      </w:pPr>
      <w:r w:rsidDel="00000000" w:rsidR="00000000" w:rsidRPr="00000000">
        <w:rPr>
          <w:rtl w:val="0"/>
        </w:rPr>
        <w:t xml:space="preserve">In the 'moving' or change stage, UBI, as the designated anchor bank, took the lead role in integrating processes, systems, and people from all three organisations. A significant advantage at this stage was that all three banks already operated on the same Finacle core banking software, which meant the technical migration created minimal disruption for digital banking customers. Working closely with the IT team, the HR department ran structured training programmes to bring staff from all three legacy banks up to speed on the unified banking software, updated compliance requirements, and standardised customer-service protocols. This training effort was central to resolving the procedural differences and coordination difficulties identified during the diagnosis stage.</w:t>
      </w:r>
    </w:p>
    <w:p w:rsidR="00000000" w:rsidDel="00000000" w:rsidP="00000000" w:rsidRDefault="00000000" w:rsidRPr="00000000" w14:paraId="00000019">
      <w:pPr>
        <w:pStyle w:val="Heading2"/>
        <w:spacing w:after="100" w:before="200" w:lineRule="auto"/>
        <w:rPr/>
      </w:pPr>
      <w:r w:rsidDel="00000000" w:rsidR="00000000" w:rsidRPr="00000000">
        <w:rPr>
          <w:rtl w:val="0"/>
        </w:rPr>
        <w:t xml:space="preserve">Refreeze: Stabilising the New Entity</w:t>
      </w:r>
    </w:p>
    <w:p w:rsidR="00000000" w:rsidDel="00000000" w:rsidP="00000000" w:rsidRDefault="00000000" w:rsidRPr="00000000" w14:paraId="0000001A">
      <w:pPr>
        <w:spacing w:after="150" w:lineRule="auto"/>
        <w:jc w:val="both"/>
        <w:rPr/>
      </w:pPr>
      <w:r w:rsidDel="00000000" w:rsidR="00000000" w:rsidRPr="00000000">
        <w:rPr>
          <w:rtl w:val="0"/>
        </w:rPr>
        <w:t xml:space="preserve">The final stage focused on stabilising the merged organisation and reinforcing new, shared ways of working as the norm going forward. UBI publicly recognised key milestones, such as the completion of data migration and the successful rollout of its unified brand identity, to reinforce a sense of progress and achievement. On 25 March 2020, ahead of the formal amalgamation date of 1 April 2020, the bank issued public advisories through its official social media channels, giving customers clear guidance and confirming that existing account numbers, IFSC codes, internet banking access, and the combined network of over 13,500 branches and ATMs would remain fully usable. Customers were also cautioned against believing unverified rumours circulating on social media and messaging platforms. These communication efforts helped lock in the change and reduce residual uncertainty among both employees and customers after the merger took effect.</w:t>
      </w:r>
    </w:p>
    <w:p w:rsidR="00000000" w:rsidDel="00000000" w:rsidP="00000000" w:rsidRDefault="00000000" w:rsidRPr="00000000" w14:paraId="0000001B">
      <w:pPr>
        <w:pStyle w:val="Heading1"/>
        <w:spacing w:after="150" w:before="300" w:lineRule="auto"/>
        <w:rPr/>
      </w:pPr>
      <w:r w:rsidDel="00000000" w:rsidR="00000000" w:rsidRPr="00000000">
        <w:rPr>
          <w:rtl w:val="0"/>
        </w:rPr>
        <w:t xml:space="preserve">10. OD Intervention Design</w:t>
      </w:r>
    </w:p>
    <w:p w:rsidR="00000000" w:rsidDel="00000000" w:rsidP="00000000" w:rsidRDefault="00000000" w:rsidRPr="00000000" w14:paraId="0000001C">
      <w:pPr>
        <w:spacing w:after="150" w:lineRule="auto"/>
        <w:jc w:val="both"/>
        <w:rPr/>
      </w:pPr>
      <w:r w:rsidDel="00000000" w:rsidR="00000000" w:rsidRPr="00000000">
        <w:rPr>
          <w:rtl w:val="0"/>
        </w:rPr>
        <w:t xml:space="preserve">Based on the diagnosis above, particularly the early procedural friction between staff of the three legacy banks and the lingering uncertainty around career progression, I recommend the following four Organisational Development interventions to help consolidate the gains of the merger:</w:t>
      </w:r>
    </w:p>
    <w:p w:rsidR="00000000" w:rsidDel="00000000" w:rsidP="00000000" w:rsidRDefault="00000000" w:rsidRPr="00000000" w14:paraId="0000001D">
      <w:pPr>
        <w:spacing w:after="150" w:lineRule="auto"/>
        <w:jc w:val="both"/>
        <w:rPr/>
      </w:pPr>
      <w:r w:rsidDel="00000000" w:rsidR="00000000" w:rsidRPr="00000000">
        <w:rPr>
          <w:b w:val="1"/>
          <w:bCs w:val="1"/>
          <w:rtl w:val="0"/>
        </w:rPr>
        <w:t xml:space="preserve">Communication Intervention: </w:t>
      </w:r>
      <w:r w:rsidDel="00000000" w:rsidR="00000000" w:rsidRPr="00000000">
        <w:rPr>
          <w:rtl w:val="0"/>
        </w:rPr>
        <w:t xml:space="preserve">Although the merger itself was communicated well at a broad level, UBI should institutionalise ongoing two-way communication channels - regular town-hall sessions, an internal FAQ portal, and a dedicated query or grievance cell - to continuously address employee questions about seniority, promotion timelines, and long-term career paths, rather than treating communication as a one-time announcement exercise.</w:t>
      </w:r>
    </w:p>
    <w:p w:rsidR="00000000" w:rsidDel="00000000" w:rsidP="00000000" w:rsidRDefault="00000000" w:rsidRPr="00000000" w14:paraId="0000001E">
      <w:pPr>
        <w:spacing w:after="150" w:lineRule="auto"/>
        <w:jc w:val="both"/>
        <w:rPr/>
      </w:pPr>
      <w:r w:rsidDel="00000000" w:rsidR="00000000" w:rsidRPr="00000000">
        <w:rPr>
          <w:b w:val="1"/>
          <w:bCs w:val="1"/>
          <w:rtl w:val="0"/>
        </w:rPr>
        <w:t xml:space="preserve">Training &amp; Development: </w:t>
      </w:r>
      <w:r w:rsidDel="00000000" w:rsidR="00000000" w:rsidRPr="00000000">
        <w:rPr>
          <w:rtl w:val="0"/>
        </w:rPr>
        <w:t xml:space="preserve">Beyond the initial round of core-banking software training, UBI should introduce ongoing cross-training so that employees from all three legacy banks become equally familiar with one another's former documentation styles, delegation structures, and reporting formats, instead of one bank's practices becoming the unofficial 'default' that others must adapt to.</w:t>
      </w:r>
    </w:p>
    <w:p w:rsidR="00000000" w:rsidDel="00000000" w:rsidP="00000000" w:rsidRDefault="00000000" w:rsidRPr="00000000" w14:paraId="0000001F">
      <w:pPr>
        <w:spacing w:after="150" w:lineRule="auto"/>
        <w:jc w:val="both"/>
        <w:rPr/>
      </w:pPr>
      <w:r w:rsidDel="00000000" w:rsidR="00000000" w:rsidRPr="00000000">
        <w:rPr>
          <w:b w:val="1"/>
          <w:bCs w:val="1"/>
          <w:rtl w:val="0"/>
        </w:rPr>
        <w:t xml:space="preserve">Culture Change through Team-Building: </w:t>
      </w:r>
      <w:r w:rsidDel="00000000" w:rsidR="00000000" w:rsidRPr="00000000">
        <w:rPr>
          <w:rtl w:val="0"/>
        </w:rPr>
        <w:t xml:space="preserve">Structured, cross-bank team-building initiatives - such as mixed-branch project teams, joint problem-solving workshops, and informal social integration events - would help employees move past their earlier organisational identities more quickly and develop a shared 'One UBI' culture, rather than three separate cultures simply operating side by side under one name.</w:t>
      </w:r>
    </w:p>
    <w:p w:rsidR="00000000" w:rsidDel="00000000" w:rsidP="00000000" w:rsidRDefault="00000000" w:rsidRPr="00000000" w14:paraId="00000020">
      <w:pPr>
        <w:spacing w:after="150" w:lineRule="auto"/>
        <w:jc w:val="both"/>
        <w:rPr/>
      </w:pPr>
      <w:r w:rsidDel="00000000" w:rsidR="00000000" w:rsidRPr="00000000">
        <w:rPr>
          <w:b w:val="1"/>
          <w:bCs w:val="1"/>
          <w:rtl w:val="0"/>
        </w:rPr>
        <w:t xml:space="preserve">Employee Engagement and Recognition: </w:t>
      </w:r>
      <w:r w:rsidDel="00000000" w:rsidR="00000000" w:rsidRPr="00000000">
        <w:rPr>
          <w:rtl w:val="0"/>
        </w:rPr>
        <w:t xml:space="preserve">Formally recognising employees, teams, or branches that contributed to a smooth merger - for example, branches that completed data migration without customer complaints, or staff who mentored colleagues from other legacy banks - would reinforce positive integration behaviour and help sustain morale once the initial visibility of the merger fades.</w:t>
      </w:r>
    </w:p>
    <w:p w:rsidR="00000000" w:rsidDel="00000000" w:rsidP="00000000" w:rsidRDefault="00000000" w:rsidRPr="00000000" w14:paraId="00000021">
      <w:pPr>
        <w:pStyle w:val="Heading1"/>
        <w:spacing w:after="150" w:before="300" w:lineRule="auto"/>
        <w:rPr/>
      </w:pPr>
      <w:r w:rsidDel="00000000" w:rsidR="00000000" w:rsidRPr="00000000">
        <w:rPr>
          <w:rtl w:val="0"/>
        </w:rPr>
        <w:t xml:space="preserve">11. Consultant's Recommendation: Change Action Plan</w:t>
      </w:r>
    </w:p>
    <w:p w:rsidR="00000000" w:rsidDel="00000000" w:rsidP="00000000" w:rsidRDefault="00000000" w:rsidRPr="00000000" w14:paraId="00000022">
      <w:pPr>
        <w:spacing w:after="150" w:lineRule="auto"/>
        <w:jc w:val="both"/>
        <w:rPr/>
      </w:pPr>
      <w:r w:rsidDel="00000000" w:rsidR="00000000" w:rsidRPr="00000000">
        <w:rPr>
          <w:rtl w:val="0"/>
        </w:rPr>
        <w:t xml:space="preserve">As an OD consultant, my practical recommendation for UBI going forward is to formalise the interventions above into a structured action plan, summarised below:</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shd w:fill="d9e2f3" w:val="clear"/>
          </w:tcPr>
          <w:p w:rsidR="00000000" w:rsidDel="00000000" w:rsidP="00000000" w:rsidRDefault="00000000" w:rsidRPr="00000000" w14:paraId="00000023">
            <w:pPr>
              <w:rPr/>
            </w:pPr>
            <w:r w:rsidDel="00000000" w:rsidR="00000000" w:rsidRPr="00000000">
              <w:rPr>
                <w:b w:val="1"/>
                <w:bCs w:val="1"/>
                <w:rtl w:val="0"/>
              </w:rPr>
              <w:t xml:space="preserve">Area</w:t>
            </w:r>
            <w:r w:rsidDel="00000000" w:rsidR="00000000" w:rsidRPr="00000000">
              <w:rPr>
                <w:rtl w:val="0"/>
              </w:rPr>
            </w:r>
          </w:p>
        </w:tc>
        <w:tc>
          <w:tcPr>
            <w:shd w:fill="d9e2f3" w:val="clear"/>
          </w:tcPr>
          <w:p w:rsidR="00000000" w:rsidDel="00000000" w:rsidP="00000000" w:rsidRDefault="00000000" w:rsidRPr="00000000" w14:paraId="00000024">
            <w:pPr>
              <w:rPr/>
            </w:pPr>
            <w:r w:rsidDel="00000000" w:rsidR="00000000" w:rsidRPr="00000000">
              <w:rPr>
                <w:b w:val="1"/>
                <w:bCs w:val="1"/>
                <w:rtl w:val="0"/>
              </w:rPr>
              <w:t xml:space="preserve">Recommendation</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b w:val="0"/>
                <w:bCs w:val="0"/>
                <w:rtl w:val="0"/>
              </w:rPr>
              <w:t xml:space="preserve">Change objective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rtl w:val="0"/>
              </w:rPr>
              <w:t xml:space="preserve">Complete cultural and procedural integration of the three legacy banks into one consistent 'Union Bank of India' way of working, while retaining staff confidence and customer trust.</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0"/>
                <w:bCs w:val="0"/>
                <w:rtl w:val="0"/>
              </w:rPr>
              <w:t xml:space="preserve">Key stakeholders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0"/>
                <w:bCs w:val="0"/>
                <w:rtl w:val="0"/>
              </w:rPr>
              <w:t xml:space="preserve">HR department, branch managers and staff of all three legacy banks, IT/core-banking team, employee unions, and customers.</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b w:val="0"/>
                <w:bCs w:val="0"/>
                <w:rtl w:val="0"/>
              </w:rPr>
              <w:t xml:space="preserve">Intervention</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0"/>
                <w:bCs w:val="0"/>
                <w:rtl w:val="0"/>
              </w:rPr>
              <w:t xml:space="preserve">Roll out communication forums, cross-training, cross-bank team-building activities, and a recognition programme (detailed above).</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0"/>
                <w:bCs w:val="0"/>
                <w:rtl w:val="0"/>
              </w:rPr>
              <w:t xml:space="preserve">Responsibility</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0"/>
                <w:bCs w:val="0"/>
                <w:rtl w:val="0"/>
              </w:rPr>
              <w:t xml:space="preserve">Corporate HR department and Learning &amp; Development team, supported by branch-level managers and team leads.</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b w:val="0"/>
                <w:bCs w:val="0"/>
                <w:rtl w:val="0"/>
              </w:rPr>
              <w:t xml:space="preserve">Timeline</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0"/>
                <w:bCs w:val="0"/>
                <w:rtl w:val="0"/>
              </w:rPr>
              <w:t xml:space="preserve">Phase over 12-18 months post-merger: communication and training in the first 6 months, culture-building activities across months 6-12, recognition and review in months 12-18.</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b w:val="0"/>
                <w:bCs w:val="0"/>
                <w:rtl w:val="0"/>
              </w:rPr>
              <w:t xml:space="preserve">Expected outcome</w:t>
            </w:r>
            <w:r w:rsidDel="00000000" w:rsidR="00000000" w:rsidRPr="00000000">
              <w:rPr>
                <w:rtl w:val="0"/>
              </w:rPr>
            </w:r>
          </w:p>
        </w:tc>
        <w:tc>
          <w:tcPr/>
          <w:p w:rsidR="00000000" w:rsidDel="00000000" w:rsidP="00000000" w:rsidRDefault="00000000" w:rsidRPr="00000000" w14:paraId="00000030">
            <w:pPr>
              <w:rPr/>
            </w:pPr>
            <w:r w:rsidDel="00000000" w:rsidR="00000000" w:rsidRPr="00000000">
              <w:rPr>
                <w:b w:val="0"/>
                <w:bCs w:val="0"/>
                <w:rtl w:val="0"/>
              </w:rPr>
              <w:t xml:space="preserve">Reduced procedural friction between ex-employees of the three banks, a shared organisational identity, and stable employee morale.</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b w:val="0"/>
                <w:bCs w:val="0"/>
                <w:rtl w:val="0"/>
              </w:rPr>
              <w:t xml:space="preserve">Success indicators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0"/>
                <w:bCs w:val="0"/>
                <w:rtl w:val="0"/>
              </w:rPr>
              <w:t xml:space="preserve">Fewer internal queries/complaints about procedural inconsistency, higher participation in joint training and team activities, and improved employee engagement scores in follow-up surveys.</w:t>
            </w:r>
            <w:r w:rsidDel="00000000" w:rsidR="00000000" w:rsidRPr="00000000">
              <w:rPr>
                <w:rtl w:val="0"/>
              </w:rPr>
            </w:r>
          </w:p>
        </w:tc>
      </w:tr>
    </w:tbl>
    <w:p w:rsidR="00000000" w:rsidDel="00000000" w:rsidP="00000000" w:rsidRDefault="00000000" w:rsidRPr="00000000" w14:paraId="00000033">
      <w:pPr>
        <w:pStyle w:val="Heading1"/>
        <w:spacing w:after="150" w:before="300" w:lineRule="auto"/>
        <w:rPr/>
      </w:pPr>
      <w:r w:rsidDel="00000000" w:rsidR="00000000" w:rsidRPr="00000000">
        <w:rPr>
          <w:rtl w:val="0"/>
        </w:rPr>
        <w:t xml:space="preserve">Conclusion</w:t>
      </w:r>
    </w:p>
    <w:p w:rsidR="00000000" w:rsidDel="00000000" w:rsidP="00000000" w:rsidRDefault="00000000" w:rsidRPr="00000000" w14:paraId="00000034">
      <w:pPr>
        <w:spacing w:after="150" w:lineRule="auto"/>
        <w:jc w:val="both"/>
        <w:rPr/>
      </w:pPr>
      <w:r w:rsidDel="00000000" w:rsidR="00000000" w:rsidRPr="00000000">
        <w:rPr>
          <w:rtl w:val="0"/>
        </w:rPr>
        <w:t xml:space="preserve">Over a six-week internship with UBI's HR department, I observed a merger that was, on the whole, managed with considerable care - clear early communication, minimal technology disruption due to a common banking platform, and an HR function that actively supported employees through training and guidance. At the same time, the diagnosis shows that some procedural friction and unresolved employee uncertainty remained even after the formal amalgamation date. The recommended OD interventions - stronger continuous communication, cross-training, structured team-building, and formal recognition - are intended to close this remaining gap and help UBI move from a technically completed merger to a fully integrated organisation with one shared culture.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