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rPr>
          <w:rFonts w:ascii="Times New Roman" w:cs="Times New Roman" w:eastAsia="Times New Roman" w:hAnsi="Times New Roman"/>
          <w:b/>
          <w:bCs/>
          <w:color w:val="19324A"/>
          <w:sz w:val="30"/>
          <w:szCs w:val="30"/>
        </w:rPr>
        <w:t xml:space="preserve">PROJECT REPORT</w:t>
      </w:r>
    </w:p>
    <w:p>
      <w:pPr>
        <w:spacing w:after="540"/>
        <w:jc w:val="center"/>
      </w:pPr>
      <w:r>
        <w:rPr>
          <w:rFonts w:ascii="Times New Roman" w:cs="Times New Roman" w:eastAsia="Times New Roman" w:hAnsi="Times New Roman"/>
          <w:b/>
          <w:bCs/>
          <w:color w:val="000000"/>
          <w:sz w:val="32"/>
          <w:szCs w:val="32"/>
        </w:rPr>
        <w:t xml:space="preserve">HYBRID LEARNING AND TRAINING EFFECTIVENESS
AT UNION BANK OF INDIA</w:t>
      </w:r>
    </w:p>
    <w:p>
      <w:pPr>
        <w:spacing w:after="100"/>
        <w:jc w:val="center"/>
      </w:pPr>
      <w:r>
        <w:rPr>
          <w:rFonts w:ascii="Times New Roman" w:cs="Times New Roman" w:eastAsia="Times New Roman" w:hAnsi="Times New Roman"/>
          <w:color w:val="000000"/>
          <w:sz w:val="22"/>
          <w:szCs w:val="22"/>
        </w:rPr>
        <w:t xml:space="preserve">Submitted in partial fulfilment of the requirements for the award of the degree of</w:t>
      </w:r>
    </w:p>
    <w:p>
      <w:pPr>
        <w:spacing w:after="540"/>
        <w:jc w:val="center"/>
      </w:pPr>
      <w:r>
        <w:rPr>
          <w:rFonts w:ascii="Times New Roman" w:cs="Times New Roman" w:eastAsia="Times New Roman" w:hAnsi="Times New Roman"/>
          <w:b/>
          <w:bCs/>
          <w:color w:val="000000"/>
          <w:sz w:val="26"/>
          <w:szCs w:val="26"/>
        </w:rPr>
        <w:t xml:space="preserve">MASTER OF ARTS IN HUMAN RESOURCE MANAGEMENT</w:t>
      </w:r>
    </w:p>
    <w:p>
      <w:pPr>
        <w:spacing w:after="100"/>
        <w:jc w:val="center"/>
      </w:pPr>
      <w:r>
        <w:rPr>
          <w:rFonts w:ascii="Times New Roman" w:cs="Times New Roman" w:eastAsia="Times New Roman" w:hAnsi="Times New Roman"/>
          <w:color w:val="000000"/>
          <w:sz w:val="22"/>
          <w:szCs w:val="22"/>
        </w:rPr>
        <w:t xml:space="preserve">Submitted by</w:t>
      </w:r>
    </w:p>
    <w:p>
      <w:pPr>
        <w:spacing w:after="90"/>
        <w:jc w:val="center"/>
      </w:pPr>
      <w:r>
        <w:rPr>
          <w:rFonts w:ascii="Times New Roman" w:cs="Times New Roman" w:eastAsia="Times New Roman" w:hAnsi="Times New Roman"/>
          <w:b/>
          <w:bCs/>
          <w:color w:val="000000"/>
          <w:sz w:val="26"/>
          <w:szCs w:val="26"/>
        </w:rPr>
        <w:t xml:space="preserve">[STUDENT NAME]</w:t>
      </w:r>
    </w:p>
    <w:p>
      <w:pPr>
        <w:spacing w:after="500"/>
        <w:jc w:val="center"/>
      </w:pPr>
      <w:r>
        <w:rPr>
          <w:rFonts w:ascii="Times New Roman" w:cs="Times New Roman" w:eastAsia="Times New Roman" w:hAnsi="Times New Roman"/>
          <w:color w:val="000000"/>
          <w:sz w:val="22"/>
          <w:szCs w:val="22"/>
        </w:rPr>
        <w:t xml:space="preserve">(Register No.: [REGISTER NUMBER])</w:t>
      </w:r>
    </w:p>
    <w:p>
      <w:pPr>
        <w:spacing w:after="100"/>
        <w:jc w:val="center"/>
      </w:pPr>
      <w:r>
        <w:rPr>
          <w:rFonts w:ascii="Times New Roman" w:cs="Times New Roman" w:eastAsia="Times New Roman" w:hAnsi="Times New Roman"/>
          <w:color w:val="000000"/>
          <w:sz w:val="22"/>
          <w:szCs w:val="22"/>
        </w:rPr>
        <w:t xml:space="preserve">Under the guidance of</w:t>
      </w:r>
    </w:p>
    <w:p>
      <w:pPr>
        <w:spacing w:after="500"/>
        <w:jc w:val="center"/>
      </w:pPr>
      <w:r>
        <w:rPr>
          <w:rFonts w:ascii="Times New Roman" w:cs="Times New Roman" w:eastAsia="Times New Roman" w:hAnsi="Times New Roman"/>
          <w:b/>
          <w:bCs/>
          <w:color w:val="000000"/>
          <w:sz w:val="24"/>
          <w:szCs w:val="24"/>
        </w:rPr>
        <w:t xml:space="preserve">[GUIDE NAME]</w:t>
      </w:r>
    </w:p>
    <w:p>
      <w:pPr>
        <w:spacing w:after="500"/>
        <w:jc w:val="center"/>
      </w:pPr>
      <w:r>
        <w:rPr>
          <w:rFonts w:ascii="Times New Roman" w:cs="Times New Roman" w:eastAsia="Times New Roman" w:hAnsi="Times New Roman"/>
          <w:b/>
          <w:bCs/>
          <w:color w:val="000000"/>
          <w:sz w:val="22"/>
          <w:szCs w:val="22"/>
        </w:rPr>
        <w:t xml:space="preserve">P.G. Department of Human Resource Management
Madras School of Social Work
Chennai - 600008</w:t>
      </w:r>
    </w:p>
    <w:p>
      <w:pPr>
        <w:spacing w:after="180"/>
        <w:jc w:val="center"/>
      </w:pPr>
      <w:r>
        <w:rPr>
          <w:rFonts w:ascii="Times New Roman" w:cs="Times New Roman" w:eastAsia="Times New Roman" w:hAnsi="Times New Roman"/>
          <w:b/>
          <w:bCs/>
          <w:color w:val="000000"/>
          <w:sz w:val="22"/>
          <w:szCs w:val="22"/>
        </w:rPr>
        <w:t xml:space="preserve">[MONTH AND YEAR]</w:t>
      </w:r>
    </w:p>
    <w:p>
      <w:r>
        <w:br w:type="page"/>
      </w:r>
    </w:p>
    <w:p>
      <w:pPr>
        <w:spacing w:after="400" w:before="600"/>
        <w:jc w:val="center"/>
      </w:pPr>
      <w:r>
        <w:rPr>
          <w:rFonts w:ascii="Times New Roman" w:cs="Times New Roman" w:eastAsia="Times New Roman" w:hAnsi="Times New Roman"/>
          <w:b/>
          <w:bCs/>
          <w:color w:val="19324A"/>
          <w:sz w:val="30"/>
          <w:szCs w:val="30"/>
        </w:rPr>
        <w:t xml:space="preserve">BONAFIDE CERTIFICATE</w:t>
      </w:r>
    </w:p>
    <w:p>
      <w:pPr>
        <w:spacing w:after="440" w:line="420"/>
        <w:jc w:val="both"/>
      </w:pPr>
      <w:r>
        <w:rPr>
          <w:rFonts w:ascii="Times New Roman" w:cs="Times New Roman" w:eastAsia="Times New Roman" w:hAnsi="Times New Roman"/>
          <w:sz w:val="24"/>
          <w:szCs w:val="24"/>
        </w:rPr>
        <w:t xml:space="preserve">This is to certify that the project report titled “Hybrid Learning and Training Effectiveness at Union Bank of India” is a bonafide work carried out by [STUDENT NAME], Register No. [REGISTER NUMBER], in partial fulfilment of the requirements for the award of the degree of Master of Arts in Human Resource Management, Madras School of Social Work.</w:t>
      </w:r>
    </w:p>
    <w:p>
      <w:pPr>
        <w:spacing w:after="720" w:line="420"/>
        <w:jc w:val="both"/>
      </w:pPr>
      <w:r>
        <w:rPr>
          <w:rFonts w:ascii="Times New Roman" w:cs="Times New Roman" w:eastAsia="Times New Roman" w:hAnsi="Times New Roman"/>
          <w:sz w:val="24"/>
          <w:szCs w:val="24"/>
        </w:rPr>
        <w:t xml:space="preserve">The project was completed under the required academic and fieldwork supervision.</w:t>
      </w:r>
    </w:p>
    <w:tbl>
      <w:tblPr>
        <w:tblW w:type="dxa" w:w="9000"/>
        <w:tblBorders>
          <w:top w:val="none"/>
          <w:left w:val="none"/>
          <w:bottom w:val="none"/>
          <w:right w:val="none"/>
          <w:insideH w:val="none"/>
          <w:insideV w:val="none"/>
        </w:tblBorders>
      </w:tblPr>
      <w:tblGrid>
        <w:gridCol w:w="4500"/>
        <w:gridCol w:w="4500"/>
      </w:tblGrid>
      <w:tr>
        <w:tc>
          <w:tcPr>
            <w:tcW w:type="dxa" w:w="45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Academic Guide
[Name and Signature]</w:t>
            </w:r>
          </w:p>
        </w:tc>
        <w:tc>
          <w:tcPr>
            <w:tcW w:type="dxa" w:w="45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Company / Fieldwork Supervisor
[Name, Designation and Signature]</w:t>
            </w:r>
          </w:p>
        </w:tc>
      </w:tr>
    </w:tbl>
    <w:p>
      <w:pPr>
        <w:spacing w:after="0" w:before="520" w:line="360"/>
        <w:jc w:val="both"/>
      </w:pPr>
      <w:r>
        <w:rPr>
          <w:rFonts w:ascii="Times New Roman" w:cs="Times New Roman" w:eastAsia="Times New Roman" w:hAnsi="Times New Roman"/>
          <w:sz w:val="24"/>
          <w:szCs w:val="24"/>
        </w:rPr>
        <w:t xml:space="preserve">Place: Chennai
Date: [DATE]</w:t>
      </w:r>
    </w:p>
    <w:p>
      <w:r>
        <w:br w:type="page"/>
      </w:r>
    </w:p>
    <w:p>
      <w:pPr>
        <w:spacing w:after="400" w:before="600"/>
        <w:jc w:val="center"/>
      </w:pPr>
      <w:r>
        <w:rPr>
          <w:rFonts w:ascii="Times New Roman" w:cs="Times New Roman" w:eastAsia="Times New Roman" w:hAnsi="Times New Roman"/>
          <w:b/>
          <w:bCs/>
          <w:color w:val="19324A"/>
          <w:sz w:val="30"/>
          <w:szCs w:val="30"/>
        </w:rPr>
        <w:t xml:space="preserve">DECLARATION</w:t>
      </w:r>
    </w:p>
    <w:p>
      <w:pPr>
        <w:spacing w:after="800" w:line="420"/>
        <w:jc w:val="both"/>
      </w:pPr>
      <w:r>
        <w:rPr>
          <w:rFonts w:ascii="Times New Roman" w:cs="Times New Roman" w:eastAsia="Times New Roman" w:hAnsi="Times New Roman"/>
          <w:sz w:val="24"/>
          <w:szCs w:val="24"/>
        </w:rPr>
        <w:t xml:space="preserve">I, [STUDENT NAME], declare that the project report titled “Hybrid Learning and Training Effectiveness at Union Bank of India” is my original work. It has not formed part of any other degree, diploma, or similar academic award. All sources used in the report have been acknowledged in the references.</w:t>
      </w:r>
    </w:p>
    <w:p>
      <w:pPr>
        <w:spacing w:after="0" w:line="360"/>
        <w:jc w:val="left"/>
      </w:pPr>
      <w:r>
        <w:rPr>
          <w:rFonts w:ascii="Times New Roman" w:cs="Times New Roman" w:eastAsia="Times New Roman" w:hAnsi="Times New Roman"/>
          <w:sz w:val="24"/>
          <w:szCs w:val="24"/>
        </w:rPr>
        <w:t xml:space="preserve">Place: Chennai
Date: [DATE]</w:t>
      </w:r>
    </w:p>
    <w:p>
      <w:pPr>
        <w:spacing w:after="0" w:line="360"/>
        <w:jc w:val="right"/>
      </w:pPr>
      <w:r>
        <w:rPr>
          <w:rFonts w:ascii="Times New Roman" w:cs="Times New Roman" w:eastAsia="Times New Roman" w:hAnsi="Times New Roman"/>
          <w:sz w:val="24"/>
          <w:szCs w:val="24"/>
        </w:rPr>
        <w:t xml:space="preserve">[STUDENT NAME]
Signature</w:t>
      </w:r>
    </w:p>
    <w:p>
      <w:r>
        <w:br w:type="page"/>
      </w:r>
    </w:p>
    <w:p>
      <w:pPr>
        <w:spacing w:after="400" w:before="600"/>
        <w:jc w:val="center"/>
      </w:pPr>
      <w:r>
        <w:rPr>
          <w:rFonts w:ascii="Times New Roman" w:cs="Times New Roman" w:eastAsia="Times New Roman" w:hAnsi="Times New Roman"/>
          <w:b/>
          <w:bCs/>
          <w:color w:val="19324A"/>
          <w:sz w:val="30"/>
          <w:szCs w:val="30"/>
        </w:rPr>
        <w:t xml:space="preserve">ACKNOWLEDGEMENT</w:t>
      </w:r>
    </w:p>
    <w:p>
      <w:pPr>
        <w:spacing w:after="240" w:line="420"/>
        <w:jc w:val="both"/>
      </w:pPr>
      <w:r>
        <w:rPr>
          <w:rFonts w:ascii="Times New Roman" w:cs="Times New Roman" w:eastAsia="Times New Roman" w:hAnsi="Times New Roman"/>
          <w:sz w:val="24"/>
          <w:szCs w:val="24"/>
        </w:rPr>
        <w:t xml:space="preserve">The researcher expresses sincere gratitude to the Principal, Head of the P.G. Department of Human Resource Management, Madras School of Social Work, for the academic support provided during the project.</w:t>
      </w:r>
    </w:p>
    <w:p>
      <w:pPr>
        <w:spacing w:after="240" w:line="420"/>
        <w:jc w:val="both"/>
      </w:pPr>
      <w:r>
        <w:rPr>
          <w:rFonts w:ascii="Times New Roman" w:cs="Times New Roman" w:eastAsia="Times New Roman" w:hAnsi="Times New Roman"/>
          <w:sz w:val="24"/>
          <w:szCs w:val="24"/>
        </w:rPr>
        <w:t xml:space="preserve">The researcher gratefully acknowledges the guidance of [GUIDE NAME], whose feedback and direction helped shape this work. Appreciation is also extended to the fieldwork supervisor and the concerned officials of Union Bank of India for their support.</w:t>
      </w:r>
    </w:p>
    <w:p>
      <w:pPr>
        <w:spacing w:after="620" w:line="420"/>
        <w:jc w:val="both"/>
      </w:pPr>
      <w:r>
        <w:rPr>
          <w:rFonts w:ascii="Times New Roman" w:cs="Times New Roman" w:eastAsia="Times New Roman" w:hAnsi="Times New Roman"/>
          <w:sz w:val="24"/>
          <w:szCs w:val="24"/>
        </w:rPr>
        <w:t xml:space="preserve">Finally, the researcher thanks the employees who gave their time and shared their views for the study.</w:t>
      </w:r>
    </w:p>
    <w:p>
      <w:pPr>
        <w:spacing w:after="0"/>
        <w:jc w:val="right"/>
      </w:pPr>
      <w:r>
        <w:rPr>
          <w:rFonts w:ascii="Times New Roman" w:cs="Times New Roman" w:eastAsia="Times New Roman" w:hAnsi="Times New Roman"/>
          <w:sz w:val="24"/>
          <w:szCs w:val="24"/>
        </w:rPr>
        <w:t xml:space="preserve">[STUDENT NAME]</w:t>
      </w:r>
    </w:p>
    <w:p>
      <w:r>
        <w:br w:type="page"/>
      </w:r>
    </w:p>
    <w:p>
      <w:pPr>
        <w:spacing w:after="400" w:before="600"/>
        <w:jc w:val="center"/>
      </w:pPr>
      <w:r>
        <w:rPr>
          <w:rFonts w:ascii="Times New Roman" w:cs="Times New Roman" w:eastAsia="Times New Roman" w:hAnsi="Times New Roman"/>
          <w:b/>
          <w:bCs/>
          <w:color w:val="19324A"/>
          <w:sz w:val="30"/>
          <w:szCs w:val="30"/>
        </w:rPr>
        <w:t xml:space="preserve">LIST OF CONTENTS</w:t>
      </w:r>
    </w:p>
    <w:p>
      <w:pPr>
        <w:spacing w:after="0" w:line="220"/>
        <w:jc w:val="left"/>
      </w:pPr>
      <w:r>
        <w:rPr>
          <w:rFonts w:ascii="Times New Roman" w:cs="Times New Roman" w:eastAsia="Times New Roman" w:hAnsi="Times New Roman"/>
          <w:b/>
          <w:bCs/>
          <w:sz w:val="18"/>
          <w:szCs w:val="18"/>
        </w:rPr>
        <w:t xml:space="preserve">CHAPTER 1 - INTRODUCTION                                                            8</w:t>
      </w:r>
    </w:p>
    <w:p>
      <w:pPr>
        <w:spacing w:after="0" w:line="220"/>
        <w:jc w:val="left"/>
      </w:pPr>
      <w:r>
        <w:rPr>
          <w:rFonts w:ascii="Times New Roman" w:cs="Times New Roman" w:eastAsia="Times New Roman" w:hAnsi="Times New Roman"/>
          <w:b w:val="false"/>
          <w:bCs w:val="false"/>
          <w:sz w:val="18"/>
          <w:szCs w:val="18"/>
        </w:rPr>
        <w:t xml:space="preserve">1.1 Background and Context                                                            8</w:t>
      </w:r>
    </w:p>
    <w:p>
      <w:pPr>
        <w:spacing w:after="0" w:line="220"/>
        <w:jc w:val="left"/>
      </w:pPr>
      <w:r>
        <w:rPr>
          <w:rFonts w:ascii="Times New Roman" w:cs="Times New Roman" w:eastAsia="Times New Roman" w:hAnsi="Times New Roman"/>
          <w:b w:val="false"/>
          <w:bCs w:val="false"/>
          <w:sz w:val="18"/>
          <w:szCs w:val="18"/>
        </w:rPr>
        <w:t xml:space="preserve">1.2 Key Concepts and Definitions                                                            10</w:t>
      </w:r>
    </w:p>
    <w:p>
      <w:pPr>
        <w:spacing w:after="0" w:line="220"/>
        <w:jc w:val="left"/>
      </w:pPr>
      <w:r>
        <w:rPr>
          <w:rFonts w:ascii="Times New Roman" w:cs="Times New Roman" w:eastAsia="Times New Roman" w:hAnsi="Times New Roman"/>
          <w:b w:val="false"/>
          <w:bCs w:val="false"/>
          <w:sz w:val="18"/>
          <w:szCs w:val="18"/>
        </w:rPr>
        <w:t xml:space="preserve">1.3 Need, Scope and Significance of the Study                                                            12</w:t>
      </w:r>
    </w:p>
    <w:p>
      <w:pPr>
        <w:spacing w:after="0" w:line="220"/>
        <w:jc w:val="left"/>
      </w:pPr>
      <w:r>
        <w:rPr>
          <w:rFonts w:ascii="Times New Roman" w:cs="Times New Roman" w:eastAsia="Times New Roman" w:hAnsi="Times New Roman"/>
          <w:b w:val="false"/>
          <w:bCs w:val="false"/>
          <w:sz w:val="18"/>
          <w:szCs w:val="18"/>
        </w:rPr>
        <w:t xml:space="preserve">1.4 Statement of the Problem                                                            14</w:t>
      </w:r>
    </w:p>
    <w:p>
      <w:pPr>
        <w:spacing w:after="0" w:line="220"/>
        <w:jc w:val="left"/>
      </w:pPr>
      <w:r>
        <w:rPr>
          <w:rFonts w:ascii="Times New Roman" w:cs="Times New Roman" w:eastAsia="Times New Roman" w:hAnsi="Times New Roman"/>
          <w:b w:val="false"/>
          <w:bCs w:val="false"/>
          <w:sz w:val="18"/>
          <w:szCs w:val="18"/>
        </w:rPr>
        <w:t xml:space="preserve">1.5 Research Questions                                                            14</w:t>
      </w:r>
    </w:p>
    <w:p>
      <w:pPr>
        <w:spacing w:after="0" w:line="220"/>
        <w:jc w:val="left"/>
      </w:pPr>
      <w:r>
        <w:rPr>
          <w:rFonts w:ascii="Times New Roman" w:cs="Times New Roman" w:eastAsia="Times New Roman" w:hAnsi="Times New Roman"/>
          <w:b w:val="false"/>
          <w:bCs w:val="false"/>
          <w:sz w:val="18"/>
          <w:szCs w:val="18"/>
        </w:rPr>
        <w:t xml:space="preserve">1.6 Industry and Company Context                                                            15</w:t>
      </w:r>
    </w:p>
    <w:p>
      <w:pPr>
        <w:spacing w:after="0" w:line="220"/>
        <w:jc w:val="left"/>
      </w:pPr>
      <w:r>
        <w:rPr>
          <w:rFonts w:ascii="Times New Roman" w:cs="Times New Roman" w:eastAsia="Times New Roman" w:hAnsi="Times New Roman"/>
          <w:b w:val="false"/>
          <w:bCs w:val="false"/>
          <w:sz w:val="18"/>
          <w:szCs w:val="18"/>
        </w:rPr>
        <w:t xml:space="preserve">1.7 Chapterisation                                                            15</w:t>
      </w:r>
    </w:p>
    <w:p>
      <w:pPr>
        <w:spacing w:after="0" w:line="220"/>
        <w:jc w:val="left"/>
      </w:pPr>
      <w:r>
        <w:rPr>
          <w:rFonts w:ascii="Times New Roman" w:cs="Times New Roman" w:eastAsia="Times New Roman" w:hAnsi="Times New Roman"/>
          <w:b/>
          <w:bCs/>
          <w:sz w:val="18"/>
          <w:szCs w:val="18"/>
        </w:rPr>
        <w:t xml:space="preserve">CHAPTER 2 - REVIEW OF LITERATURE                                                            17</w:t>
      </w:r>
    </w:p>
    <w:p>
      <w:pPr>
        <w:spacing w:after="0" w:line="220"/>
        <w:jc w:val="left"/>
      </w:pPr>
      <w:r>
        <w:rPr>
          <w:rFonts w:ascii="Times New Roman" w:cs="Times New Roman" w:eastAsia="Times New Roman" w:hAnsi="Times New Roman"/>
          <w:b w:val="false"/>
          <w:bCs w:val="false"/>
          <w:sz w:val="18"/>
          <w:szCs w:val="18"/>
        </w:rPr>
        <w:t xml:space="preserve">2.1 Review of Relevant Literature                                                            17</w:t>
      </w:r>
    </w:p>
    <w:p>
      <w:pPr>
        <w:spacing w:after="0" w:line="220"/>
        <w:jc w:val="left"/>
      </w:pPr>
      <w:r>
        <w:rPr>
          <w:rFonts w:ascii="Times New Roman" w:cs="Times New Roman" w:eastAsia="Times New Roman" w:hAnsi="Times New Roman"/>
          <w:b w:val="false"/>
          <w:bCs w:val="false"/>
          <w:sz w:val="18"/>
          <w:szCs w:val="18"/>
        </w:rPr>
        <w:t xml:space="preserve">2.2 Theoretical Framework                                                            25</w:t>
      </w:r>
    </w:p>
    <w:p>
      <w:pPr>
        <w:spacing w:after="0" w:line="220"/>
        <w:jc w:val="left"/>
      </w:pPr>
      <w:r>
        <w:rPr>
          <w:rFonts w:ascii="Times New Roman" w:cs="Times New Roman" w:eastAsia="Times New Roman" w:hAnsi="Times New Roman"/>
          <w:b w:val="false"/>
          <w:bCs w:val="false"/>
          <w:sz w:val="18"/>
          <w:szCs w:val="18"/>
        </w:rPr>
        <w:t xml:space="preserve">2.3 Case Study: Union Bank of India                                                            26</w:t>
      </w:r>
    </w:p>
    <w:p>
      <w:pPr>
        <w:spacing w:after="0" w:line="220"/>
        <w:jc w:val="left"/>
      </w:pPr>
      <w:r>
        <w:rPr>
          <w:rFonts w:ascii="Times New Roman" w:cs="Times New Roman" w:eastAsia="Times New Roman" w:hAnsi="Times New Roman"/>
          <w:b w:val="false"/>
          <w:bCs w:val="false"/>
          <w:sz w:val="18"/>
          <w:szCs w:val="18"/>
        </w:rPr>
        <w:t xml:space="preserve">2.4 Gaps in the Study                                                            27</w:t>
      </w:r>
    </w:p>
    <w:p>
      <w:pPr>
        <w:spacing w:after="0" w:line="220"/>
        <w:jc w:val="left"/>
      </w:pPr>
      <w:r>
        <w:rPr>
          <w:rFonts w:ascii="Times New Roman" w:cs="Times New Roman" w:eastAsia="Times New Roman" w:hAnsi="Times New Roman"/>
          <w:b/>
          <w:bCs/>
          <w:sz w:val="18"/>
          <w:szCs w:val="18"/>
        </w:rPr>
        <w:t xml:space="preserve">CHAPTER 3 - RESEARCH METHODOLOGY                                                            29</w:t>
      </w:r>
    </w:p>
    <w:p>
      <w:pPr>
        <w:spacing w:after="0" w:line="220"/>
        <w:jc w:val="left"/>
      </w:pPr>
      <w:r>
        <w:rPr>
          <w:rFonts w:ascii="Times New Roman" w:cs="Times New Roman" w:eastAsia="Times New Roman" w:hAnsi="Times New Roman"/>
          <w:b w:val="false"/>
          <w:bCs w:val="false"/>
          <w:sz w:val="18"/>
          <w:szCs w:val="18"/>
        </w:rPr>
        <w:t xml:space="preserve">3.1 Objectives of the Study                                                            29</w:t>
      </w:r>
    </w:p>
    <w:p>
      <w:pPr>
        <w:spacing w:after="0" w:line="220"/>
        <w:jc w:val="left"/>
      </w:pPr>
      <w:r>
        <w:rPr>
          <w:rFonts w:ascii="Times New Roman" w:cs="Times New Roman" w:eastAsia="Times New Roman" w:hAnsi="Times New Roman"/>
          <w:b w:val="false"/>
          <w:bCs w:val="false"/>
          <w:sz w:val="18"/>
          <w:szCs w:val="18"/>
        </w:rPr>
        <w:t xml:space="preserve">3.2 Hypotheses of the Study                                                            29</w:t>
      </w:r>
    </w:p>
    <w:p>
      <w:pPr>
        <w:spacing w:after="0" w:line="220"/>
        <w:jc w:val="left"/>
      </w:pPr>
      <w:r>
        <w:rPr>
          <w:rFonts w:ascii="Times New Roman" w:cs="Times New Roman" w:eastAsia="Times New Roman" w:hAnsi="Times New Roman"/>
          <w:b w:val="false"/>
          <w:bCs w:val="false"/>
          <w:sz w:val="18"/>
          <w:szCs w:val="18"/>
        </w:rPr>
        <w:t xml:space="preserve">3.3 Definition of Variables                                                            30</w:t>
      </w:r>
    </w:p>
    <w:p>
      <w:pPr>
        <w:spacing w:after="0" w:line="220"/>
        <w:jc w:val="left"/>
      </w:pPr>
      <w:r>
        <w:rPr>
          <w:rFonts w:ascii="Times New Roman" w:cs="Times New Roman" w:eastAsia="Times New Roman" w:hAnsi="Times New Roman"/>
          <w:b w:val="false"/>
          <w:bCs w:val="false"/>
          <w:sz w:val="18"/>
          <w:szCs w:val="18"/>
        </w:rPr>
        <w:t xml:space="preserve">3.4 Research Design                                                            31</w:t>
      </w:r>
    </w:p>
    <w:p>
      <w:pPr>
        <w:spacing w:after="0" w:line="220"/>
        <w:jc w:val="left"/>
      </w:pPr>
      <w:r>
        <w:rPr>
          <w:rFonts w:ascii="Times New Roman" w:cs="Times New Roman" w:eastAsia="Times New Roman" w:hAnsi="Times New Roman"/>
          <w:b w:val="false"/>
          <w:bCs w:val="false"/>
          <w:sz w:val="18"/>
          <w:szCs w:val="18"/>
        </w:rPr>
        <w:t xml:space="preserve">3.5 Population, Sample and Sampling Method                                                            32</w:t>
      </w:r>
    </w:p>
    <w:p>
      <w:pPr>
        <w:spacing w:after="0" w:line="220"/>
        <w:jc w:val="left"/>
      </w:pPr>
      <w:r>
        <w:rPr>
          <w:rFonts w:ascii="Times New Roman" w:cs="Times New Roman" w:eastAsia="Times New Roman" w:hAnsi="Times New Roman"/>
          <w:b w:val="false"/>
          <w:bCs w:val="false"/>
          <w:sz w:val="18"/>
          <w:szCs w:val="18"/>
        </w:rPr>
        <w:t xml:space="preserve">3.6 Data Collection Procedure                                                            32</w:t>
      </w:r>
    </w:p>
    <w:p>
      <w:pPr>
        <w:spacing w:after="0" w:line="220"/>
        <w:jc w:val="left"/>
      </w:pPr>
      <w:r>
        <w:rPr>
          <w:rFonts w:ascii="Times New Roman" w:cs="Times New Roman" w:eastAsia="Times New Roman" w:hAnsi="Times New Roman"/>
          <w:b w:val="false"/>
          <w:bCs w:val="false"/>
          <w:sz w:val="18"/>
          <w:szCs w:val="18"/>
        </w:rPr>
        <w:t xml:space="preserve">3.7 Research Instrument and Scoring                                                            33</w:t>
      </w:r>
    </w:p>
    <w:p>
      <w:pPr>
        <w:spacing w:after="0" w:line="220"/>
        <w:jc w:val="left"/>
      </w:pPr>
      <w:r>
        <w:rPr>
          <w:rFonts w:ascii="Times New Roman" w:cs="Times New Roman" w:eastAsia="Times New Roman" w:hAnsi="Times New Roman"/>
          <w:b w:val="false"/>
          <w:bCs w:val="false"/>
          <w:sz w:val="18"/>
          <w:szCs w:val="18"/>
        </w:rPr>
        <w:t xml:space="preserve">3.8 Research Questions                                                            33</w:t>
      </w:r>
    </w:p>
    <w:p>
      <w:pPr>
        <w:spacing w:after="0" w:line="220"/>
        <w:jc w:val="left"/>
      </w:pPr>
      <w:r>
        <w:rPr>
          <w:rFonts w:ascii="Times New Roman" w:cs="Times New Roman" w:eastAsia="Times New Roman" w:hAnsi="Times New Roman"/>
          <w:b w:val="false"/>
          <w:bCs w:val="false"/>
          <w:sz w:val="18"/>
          <w:szCs w:val="18"/>
        </w:rPr>
        <w:t xml:space="preserve">3.9 Data Analysis Techniques                                                            33</w:t>
      </w:r>
    </w:p>
    <w:p>
      <w:pPr>
        <w:spacing w:after="0" w:line="220"/>
        <w:jc w:val="left"/>
      </w:pPr>
      <w:r>
        <w:rPr>
          <w:rFonts w:ascii="Times New Roman" w:cs="Times New Roman" w:eastAsia="Times New Roman" w:hAnsi="Times New Roman"/>
          <w:b w:val="false"/>
          <w:bCs w:val="false"/>
          <w:sz w:val="18"/>
          <w:szCs w:val="18"/>
        </w:rPr>
        <w:t xml:space="preserve">3.10 Pilot Study, Reliability and Validity                                                            34</w:t>
      </w:r>
    </w:p>
    <w:p>
      <w:pPr>
        <w:spacing w:after="0" w:line="220"/>
        <w:jc w:val="left"/>
      </w:pPr>
      <w:r>
        <w:rPr>
          <w:rFonts w:ascii="Times New Roman" w:cs="Times New Roman" w:eastAsia="Times New Roman" w:hAnsi="Times New Roman"/>
          <w:b w:val="false"/>
          <w:bCs w:val="false"/>
          <w:sz w:val="18"/>
          <w:szCs w:val="18"/>
        </w:rPr>
        <w:t xml:space="preserve">3.11 Ethical Considerations and Limitations                                                            35</w:t>
      </w:r>
    </w:p>
    <w:p>
      <w:pPr>
        <w:spacing w:after="0" w:line="220"/>
        <w:jc w:val="left"/>
      </w:pPr>
      <w:r>
        <w:rPr>
          <w:rFonts w:ascii="Times New Roman" w:cs="Times New Roman" w:eastAsia="Times New Roman" w:hAnsi="Times New Roman"/>
          <w:b/>
          <w:bCs/>
          <w:sz w:val="18"/>
          <w:szCs w:val="18"/>
        </w:rPr>
        <w:t xml:space="preserve">REFERENCES                                                            37</w:t>
      </w:r>
    </w:p>
    <w:p>
      <w:pPr>
        <w:spacing w:after="0" w:line="220"/>
        <w:jc w:val="left"/>
      </w:pPr>
      <w:r>
        <w:rPr>
          <w:rFonts w:ascii="Times New Roman" w:cs="Times New Roman" w:eastAsia="Times New Roman" w:hAnsi="Times New Roman"/>
          <w:b/>
          <w:bCs/>
          <w:sz w:val="18"/>
          <w:szCs w:val="18"/>
        </w:rPr>
        <w:t xml:space="preserve">APPENDIX - QUESTIONNAIRE                                                            39</w:t>
      </w:r>
    </w:p>
    <w:p>
      <w:r>
        <w:br w:type="page"/>
      </w:r>
    </w:p>
    <w:p>
      <w:pPr>
        <w:spacing w:after="400" w:before="600"/>
        <w:jc w:val="center"/>
      </w:pPr>
      <w:r>
        <w:rPr>
          <w:rFonts w:ascii="Times New Roman" w:cs="Times New Roman" w:eastAsia="Times New Roman" w:hAnsi="Times New Roman"/>
          <w:b/>
          <w:bCs/>
          <w:color w:val="19324A"/>
          <w:sz w:val="30"/>
          <w:szCs w:val="30"/>
        </w:rPr>
        <w:t xml:space="preserve">LIST OF TABLES</w:t>
      </w:r>
    </w:p>
    <w:p>
      <w:pPr>
        <w:spacing w:after="140" w:line="360"/>
        <w:jc w:val="left"/>
      </w:pPr>
      <w:r>
        <w:rPr>
          <w:rFonts w:ascii="Times New Roman" w:cs="Times New Roman" w:eastAsia="Times New Roman" w:hAnsi="Times New Roman"/>
          <w:sz w:val="24"/>
          <w:szCs w:val="24"/>
        </w:rPr>
        <w:t xml:space="preserve">Table 2.1   Literature supporting the present study                                      24</w:t>
      </w:r>
    </w:p>
    <w:p>
      <w:pPr>
        <w:spacing w:after="140" w:line="360"/>
        <w:jc w:val="left"/>
      </w:pPr>
      <w:r>
        <w:rPr>
          <w:rFonts w:ascii="Times New Roman" w:cs="Times New Roman" w:eastAsia="Times New Roman" w:hAnsi="Times New Roman"/>
          <w:sz w:val="24"/>
          <w:szCs w:val="24"/>
        </w:rPr>
        <w:t xml:space="preserve">Table 3.1   Relationship hypotheses                                                     30</w:t>
      </w:r>
    </w:p>
    <w:p>
      <w:pPr>
        <w:spacing w:after="140" w:line="360"/>
        <w:jc w:val="left"/>
      </w:pPr>
      <w:r>
        <w:rPr>
          <w:rFonts w:ascii="Times New Roman" w:cs="Times New Roman" w:eastAsia="Times New Roman" w:hAnsi="Times New Roman"/>
          <w:sz w:val="24"/>
          <w:szCs w:val="24"/>
        </w:rPr>
        <w:t xml:space="preserve">Table 3.2   Construct operationalisation and item allocation                           31</w:t>
      </w:r>
    </w:p>
    <w:p>
      <w:pPr>
        <w:spacing w:after="140" w:line="360"/>
        <w:jc w:val="left"/>
      </w:pPr>
      <w:r>
        <w:rPr>
          <w:rFonts w:ascii="Times New Roman" w:cs="Times New Roman" w:eastAsia="Times New Roman" w:hAnsi="Times New Roman"/>
          <w:sz w:val="24"/>
          <w:szCs w:val="24"/>
        </w:rPr>
        <w:t xml:space="preserve">Table 3.3   Data-analysis plan                                                          33</w:t>
      </w:r>
    </w:p>
    <w:p>
      <w:r>
        <w:br w:type="page"/>
      </w:r>
    </w:p>
    <w:p>
      <w:pPr>
        <w:spacing w:after="400" w:before="600"/>
        <w:jc w:val="center"/>
      </w:pPr>
      <w:r>
        <w:rPr>
          <w:rFonts w:ascii="Times New Roman" w:cs="Times New Roman" w:eastAsia="Times New Roman" w:hAnsi="Times New Roman"/>
          <w:b/>
          <w:bCs/>
          <w:color w:val="19324A"/>
          <w:sz w:val="30"/>
          <w:szCs w:val="30"/>
        </w:rPr>
        <w:t xml:space="preserve">LIST OF CHARTS</w:t>
      </w:r>
    </w:p>
    <w:p>
      <w:pPr>
        <w:spacing w:after="140" w:line="360"/>
        <w:jc w:val="left"/>
      </w:pPr>
      <w:r>
        <w:rPr>
          <w:rFonts w:ascii="Times New Roman" w:cs="Times New Roman" w:eastAsia="Times New Roman" w:hAnsi="Times New Roman"/>
          <w:sz w:val="24"/>
          <w:szCs w:val="24"/>
        </w:rPr>
        <w:t xml:space="preserve">Figure 2.1   Research conceptual framework                                               26</w:t>
      </w:r>
    </w:p>
    <w:p>
      <w:r>
        <w:br w:type="page"/>
      </w:r>
    </w:p>
    <w:p>
      <w:pPr>
        <w:sectPr>
          <w:pgSz w:w="11906" w:h="16838" w:orient="portrait"/>
          <w:pgMar w:top="1440" w:right="1440" w:bottom="1260" w:left="1440" w:header="708" w:footer="708" w:gutter="0"/>
          <w:pgNumType/>
          <w:docGrid w:linePitch="360"/>
        </w:sectPr>
      </w:pPr>
    </w:p>
    <w:p>
      <w:pPr>
        <w:pStyle w:val="Heading1"/>
        <w:keepNext/>
        <w:spacing w:after="160" w:before="0"/>
      </w:pPr>
      <w:r>
        <w:rPr>
          <w:rFonts w:ascii="Times New Roman" w:cs="Times New Roman" w:eastAsia="Times New Roman" w:hAnsi="Times New Roman"/>
          <w:b/>
          <w:bCs/>
          <w:color w:val="19324A"/>
          <w:sz w:val="30"/>
          <w:szCs w:val="30"/>
        </w:rPr>
        <w:t xml:space="preserve">Chapter 1 - Introduction</w:t>
      </w:r>
    </w:p>
    <w:p>
      <w:pPr>
        <w:pStyle w:val="Heading2"/>
        <w:keepNext/>
        <w:spacing w:after="160" w:before="280"/>
      </w:pPr>
      <w:r>
        <w:rPr>
          <w:rFonts w:ascii="Times New Roman" w:cs="Times New Roman" w:eastAsia="Times New Roman" w:hAnsi="Times New Roman"/>
          <w:b/>
          <w:bCs/>
          <w:color w:val="19324A"/>
          <w:sz w:val="27"/>
          <w:szCs w:val="27"/>
        </w:rPr>
        <w:t xml:space="preserve">1.1 Background and Context</w:t>
      </w:r>
    </w:p>
    <w:p>
      <w:pPr>
        <w:spacing w:after="140" w:line="360"/>
        <w:jc w:val="both"/>
      </w:pPr>
      <w:r>
        <w:rPr>
          <w:rFonts w:ascii="Times New Roman" w:cs="Times New Roman" w:eastAsia="Times New Roman" w:hAnsi="Times New Roman"/>
          <w:b w:val="false"/>
          <w:bCs w:val="false"/>
          <w:sz w:val="24"/>
          <w:szCs w:val="24"/>
        </w:rPr>
        <w:t xml:space="preserve">Training is an everyday requirement in banking, not an occasional activity outside normal work. Employees may need to understand revised procedures, digital systems, products, compliance requirements, risk controls, and customer-service practices while continuing to manage their regular responsibilities. For this reason, a training programme is useful only when employees can access the material, understand why it matters, participate in the learning process, and apply relevant learning in their work.</w:t>
      </w:r>
    </w:p>
    <w:p>
      <w:pPr>
        <w:spacing w:after="140" w:line="360"/>
        <w:jc w:val="both"/>
      </w:pPr>
      <w:r>
        <w:rPr>
          <w:rFonts w:ascii="Times New Roman" w:cs="Times New Roman" w:eastAsia="Times New Roman" w:hAnsi="Times New Roman"/>
          <w:b w:val="false"/>
          <w:bCs w:val="false"/>
          <w:sz w:val="24"/>
          <w:szCs w:val="24"/>
        </w:rPr>
        <w:t xml:space="preserve">Digital learning has made it easier for organisations to provide common learning material across locations. Through a digital platform, employees may receive modules, reading material, short videos, virtual sessions, assessments, and job aids without having to attend every activity in one physical location. This can be particularly useful when work schedules, travel, and the need to maintain customer service make conventional attendance difficult. At the same time, digital access alone does not ensure that learning has taken place. An employee may complete a module without understanding a new procedure, may be unable to locate material when it is needed, or may require a trainer to explain how a policy applies in an actual work situation.</w:t>
      </w:r>
    </w:p>
    <w:p>
      <w:pPr>
        <w:spacing w:after="140" w:line="360"/>
        <w:jc w:val="both"/>
      </w:pPr>
      <w:r>
        <w:rPr>
          <w:rFonts w:ascii="Times New Roman" w:cs="Times New Roman" w:eastAsia="Times New Roman" w:hAnsi="Times New Roman"/>
          <w:b w:val="false"/>
          <w:bCs w:val="false"/>
          <w:sz w:val="24"/>
          <w:szCs w:val="24"/>
        </w:rPr>
        <w:t xml:space="preserve">Face-to-face learning continues to serve a different but equally important purpose. A trainer-led session can give employees an opportunity to ask questions, discuss a case, observe a demonstration, practise a task, receive feedback, and learn from colleagues facing similar work situations. This does not mean that every topic needs classroom delivery. Basic information, short assessments, refresher material, and reference resources may be well suited to a digital platform. The practical issue is whether the digital and face-to-face activities are connected in a way that helps employees move from information to understanding and then to use at work.</w:t>
      </w:r>
    </w:p>
    <w:p>
      <w:pPr>
        <w:spacing w:after="140" w:line="360"/>
        <w:jc w:val="both"/>
      </w:pPr>
      <w:r>
        <w:rPr>
          <w:rFonts w:ascii="Times New Roman" w:cs="Times New Roman" w:eastAsia="Times New Roman" w:hAnsi="Times New Roman"/>
          <w:b w:val="false"/>
          <w:bCs w:val="false"/>
          <w:sz w:val="24"/>
          <w:szCs w:val="24"/>
        </w:rPr>
        <w:t xml:space="preserve">Hybrid learning, also called blended learning, is the planned combination of digital and face-to-face learning within one programme. It is not simply a programme that happens to contain both an online activity and a classroom session. A meaningful hybrid programme gives each activity a clear role. Digital material may prepare an employee before a session or remain available for revision later. A trainer-led session may then focus on clarification, practice, discussion, and work-related application. When the two parts are disconnected, training can feel like a set of separate requirements. When they are connected, employees can see why they are completing each activity and how it supports their work.</w:t>
      </w:r>
    </w:p>
    <w:p>
      <w:pPr>
        <w:spacing w:after="140" w:line="360"/>
        <w:jc w:val="both"/>
      </w:pPr>
      <w:r>
        <w:rPr>
          <w:rFonts w:ascii="Times New Roman" w:cs="Times New Roman" w:eastAsia="Times New Roman" w:hAnsi="Times New Roman"/>
          <w:b w:val="false"/>
          <w:bCs w:val="false"/>
          <w:sz w:val="24"/>
          <w:szCs w:val="24"/>
        </w:rPr>
        <w:t xml:space="preserve">The present study is situated at Union Bank of India, with planned data collection among eligible employees connected with Regional Office Chennai South in Royapettah, Chennai. Union Bank’s annual reports describe a learning and development system that includes Union Vidya, the Bank’s Learning Management System (LMS), along with e-books, podcasts and audiobooks, microlearning resources, virtual workshops, role-based learning, mandatory e-learning modules for officers, and a Training Management System (Union Bank of India, 2024, 2025). These arrangements show that the Bank has both digital-learning resources and trainer-led learning activity. They do not show that every programme is hybrid or that every employee has the same experience. The study therefore asks employees to consider one recent programme in which both digital and face-to-face learning were used.</w:t>
      </w:r>
    </w:p>
    <w:p>
      <w:pPr>
        <w:spacing w:after="140" w:line="360"/>
        <w:jc w:val="both"/>
      </w:pPr>
      <w:r>
        <w:rPr>
          <w:rFonts w:ascii="Times New Roman" w:cs="Times New Roman" w:eastAsia="Times New Roman" w:hAnsi="Times New Roman"/>
          <w:b w:val="false"/>
          <w:bCs w:val="false"/>
          <w:sz w:val="24"/>
          <w:szCs w:val="24"/>
        </w:rPr>
        <w:t xml:space="preserve">The study examines four constructs. Hybrid Learning refers to the employee’s experience of how the digital and face-to-face parts of the programme were connected, including platform access, availability of material, and opportunities to revisit learning. Trainer Competence refers to the trainer’s knowledge, clarity, ability to connect activities across modes, use of relevant digital tools, encouragement of participation, and feedback. Learner Engagement refers to the employee’s attention, effort, interest, participation, and willingness to seek clarification. Training Effectiveness refers to the employee’s perception that the programme produced useful, understandable, relevant, and applicable learning for the current role.</w:t>
      </w:r>
    </w:p>
    <w:p>
      <w:pPr>
        <w:spacing w:after="140" w:line="360"/>
        <w:jc w:val="both"/>
      </w:pPr>
      <w:r>
        <w:rPr>
          <w:rFonts w:ascii="Times New Roman" w:cs="Times New Roman" w:eastAsia="Times New Roman" w:hAnsi="Times New Roman"/>
          <w:b w:val="false"/>
          <w:bCs w:val="false"/>
          <w:sz w:val="24"/>
          <w:szCs w:val="24"/>
        </w:rPr>
        <w:t xml:space="preserve">The proposed framework is:</w:t>
      </w:r>
    </w:p>
    <w:p>
      <w:pPr>
        <w:spacing w:after="140"/>
        <w:jc w:val="center"/>
      </w:pPr>
      <w:r>
        <w:rPr>
          <w:rFonts w:ascii="Times New Roman" w:cs="Times New Roman" w:eastAsia="Times New Roman" w:hAnsi="Times New Roman"/>
          <w:sz w:val="22"/>
          <w:szCs w:val="22"/>
        </w:rPr>
        <w:t xml:space="preserve">Hybrid Learning ─┐</w:t>
      </w:r>
    </w:p>
    <w:p>
      <w:pPr>
        <w:spacing w:after="140"/>
        <w:jc w:val="center"/>
      </w:pPr>
      <w:r>
        <w:rPr>
          <w:rFonts w:ascii="Times New Roman" w:cs="Times New Roman" w:eastAsia="Times New Roman" w:hAnsi="Times New Roman"/>
          <w:sz w:val="22"/>
          <w:szCs w:val="22"/>
        </w:rPr>
        <w:t xml:space="preserve">├──→ Learner Engagement ───→ Training Effectiveness</w:t>
      </w:r>
    </w:p>
    <w:p>
      <w:pPr>
        <w:spacing w:after="140"/>
        <w:jc w:val="center"/>
      </w:pPr>
      <w:r>
        <w:rPr>
          <w:rFonts w:ascii="Times New Roman" w:cs="Times New Roman" w:eastAsia="Times New Roman" w:hAnsi="Times New Roman"/>
          <w:sz w:val="22"/>
          <w:szCs w:val="22"/>
        </w:rPr>
        <w:t xml:space="preserve">Trainer Competence ┘</w:t>
      </w:r>
    </w:p>
    <w:p>
      <w:pPr>
        <w:spacing w:after="140" w:line="360"/>
        <w:jc w:val="both"/>
      </w:pPr>
      <w:r>
        <w:rPr>
          <w:rFonts w:ascii="Times New Roman" w:cs="Times New Roman" w:eastAsia="Times New Roman" w:hAnsi="Times New Roman"/>
          <w:b w:val="false"/>
          <w:bCs w:val="false"/>
          <w:sz w:val="24"/>
          <w:szCs w:val="24"/>
        </w:rPr>
        <w:t xml:space="preserve">The framework is intended to examine reported relationships, not to prove a causal sequence. It asks whether employees who report a more positive experience of Hybrid Learning and Trainer Competence also report higher Learner Engagement, and whether employees who report higher Learner Engagement also report higher Training Effectiveness. Employee perception is important because employees are the people who use the platform, attend sessions, interact with trainers, and decide whether learning is useful in their work. However, these responses are not treated as a substitute for examination scores, supervisor ratings, system records, customer information, or organisation-level performance data.</w:t>
      </w:r>
    </w:p>
    <w:p>
      <w:pPr>
        <w:spacing w:after="140" w:line="360"/>
        <w:jc w:val="both"/>
      </w:pPr>
      <w:r>
        <w:rPr>
          <w:rFonts w:ascii="Times New Roman" w:cs="Times New Roman" w:eastAsia="Times New Roman" w:hAnsi="Times New Roman"/>
          <w:b w:val="false"/>
          <w:bCs w:val="false"/>
          <w:sz w:val="24"/>
          <w:szCs w:val="24"/>
        </w:rPr>
        <w:t xml:space="preserve">Three complementary base papers provide the academic foundation for the study. Sosnova et al. (2025) provide the guide-suggested conceptual anchor by examining hybrid education methods and learning effectiveness in higher education. Kim (2022) provides corporate evidence from automotive sales training and shows why training delivery, instructor involvement, practice, and design should be evaluated rather than assumed to be effective. Bahl, Kiran and Sharma (2024) provide the Indian banking anchor through an open-access study of 402 managerial and non-managerial bank employees using Kirkpatrick’s Reaction, Learning, Behaviour, and Results framework. None of these papers reproduces the present Union Bank model. Together, they provide a justified conceptual, corporate, and banking basis for examining employee training effectiveness.</w:t>
      </w:r>
    </w:p>
    <w:p>
      <w:pPr>
        <w:spacing w:after="140" w:line="360"/>
        <w:jc w:val="both"/>
      </w:pPr>
      <w:r>
        <w:rPr>
          <w:rFonts w:ascii="Times New Roman" w:cs="Times New Roman" w:eastAsia="Times New Roman" w:hAnsi="Times New Roman"/>
          <w:b w:val="false"/>
          <w:bCs w:val="false"/>
          <w:sz w:val="24"/>
          <w:szCs w:val="24"/>
        </w:rPr>
        <w:t xml:space="preserve">The topic is relevant to human-resource management because training design affects the employee’s experience of learning. If the digital and face-to-face parts are poorly connected, employees may see training as an additional task alongside their work. If a trainer cannot explain the purpose of an activity or respond to questions, employees may find it difficult to participate fully. In contrast, when learning activities are accessible, connected, and supported, employees may be better placed to understand and apply relevant knowledge. The study therefore focuses on practical conditions that can help the Bank design training that supports both employee capability and the continuity of work.</w:t>
      </w:r>
    </w:p>
    <w:p>
      <w:pPr>
        <w:pStyle w:val="Heading2"/>
        <w:keepNext/>
        <w:spacing w:after="160" w:before="280"/>
      </w:pPr>
      <w:r>
        <w:rPr>
          <w:rFonts w:ascii="Times New Roman" w:cs="Times New Roman" w:eastAsia="Times New Roman" w:hAnsi="Times New Roman"/>
          <w:b/>
          <w:bCs/>
          <w:color w:val="19324A"/>
          <w:sz w:val="27"/>
          <w:szCs w:val="27"/>
        </w:rPr>
        <w:t xml:space="preserve">1.2 Key Concepts and Definitions</w:t>
      </w:r>
    </w:p>
    <w:p>
      <w:pPr>
        <w:pStyle w:val="Heading3"/>
        <w:keepNext/>
        <w:spacing w:after="160" w:before="280"/>
      </w:pPr>
      <w:r>
        <w:rPr>
          <w:rFonts w:ascii="Times New Roman" w:cs="Times New Roman" w:eastAsia="Times New Roman" w:hAnsi="Times New Roman"/>
          <w:b/>
          <w:bCs/>
          <w:color w:val="19324A"/>
          <w:sz w:val="25"/>
          <w:szCs w:val="25"/>
        </w:rPr>
        <w:t xml:space="preserve">Hybrid Learning</w:t>
      </w:r>
    </w:p>
    <w:p>
      <w:pPr>
        <w:spacing w:after="140" w:line="360"/>
        <w:jc w:val="both"/>
      </w:pPr>
      <w:r>
        <w:rPr>
          <w:rFonts w:ascii="Times New Roman" w:cs="Times New Roman" w:eastAsia="Times New Roman" w:hAnsi="Times New Roman"/>
          <w:b w:val="false"/>
          <w:bCs w:val="false"/>
          <w:sz w:val="24"/>
          <w:szCs w:val="24"/>
        </w:rPr>
        <w:t xml:space="preserve">Hybrid Learning is the purposeful combination of digital and face-to-face learning within one training programme. The two modes are designed to support each other rather than operate as separate alternatives. In a banking programme, the digital component may include an LMS module, video, online assessment, virtual session, downloadable reference material, or short refresher. The face-to-face component may include a classroom session, demonstration, case discussion, role play, group exercise, or supervised practice.</w:t>
      </w:r>
    </w:p>
    <w:p>
      <w:pPr>
        <w:spacing w:after="140" w:line="360"/>
        <w:jc w:val="both"/>
      </w:pPr>
      <w:r>
        <w:rPr>
          <w:rFonts w:ascii="Times New Roman" w:cs="Times New Roman" w:eastAsia="Times New Roman" w:hAnsi="Times New Roman"/>
          <w:b w:val="false"/>
          <w:bCs w:val="false"/>
          <w:sz w:val="24"/>
          <w:szCs w:val="24"/>
        </w:rPr>
        <w:t xml:space="preserve">In this study, Hybrid Learning is measured through the employee’s view of whether the two modes formed one connected programme, whether the digital platform and learning material were accessible, and whether digital material could be revisited when revision was needed. The study does not evaluate Union Vidya as a technology product, prescribe one fixed balance between digital and face-to-face learning, or compare online-only and classroom-only programmes.</w:t>
      </w:r>
    </w:p>
    <w:p>
      <w:pPr>
        <w:pStyle w:val="Heading3"/>
        <w:keepNext/>
        <w:spacing w:after="160" w:before="280"/>
      </w:pPr>
      <w:r>
        <w:rPr>
          <w:rFonts w:ascii="Times New Roman" w:cs="Times New Roman" w:eastAsia="Times New Roman" w:hAnsi="Times New Roman"/>
          <w:b/>
          <w:bCs/>
          <w:color w:val="19324A"/>
          <w:sz w:val="25"/>
          <w:szCs w:val="25"/>
        </w:rPr>
        <w:t xml:space="preserve">Trainer Competence</w:t>
      </w:r>
    </w:p>
    <w:p>
      <w:pPr>
        <w:spacing w:after="140" w:line="360"/>
        <w:jc w:val="both"/>
      </w:pPr>
      <w:r>
        <w:rPr>
          <w:rFonts w:ascii="Times New Roman" w:cs="Times New Roman" w:eastAsia="Times New Roman" w:hAnsi="Times New Roman"/>
          <w:b w:val="false"/>
          <w:bCs w:val="false"/>
          <w:sz w:val="24"/>
          <w:szCs w:val="24"/>
        </w:rPr>
        <w:t xml:space="preserve">Trainer Competence refers to the ability of a trainer to support employee learning. It includes subject knowledge, clear explanation, effective use of relevant digital tools, the ability to connect digital and face-to-face activities, encouragement of participation, and useful feedback. These abilities matter in a hybrid programme because employees may need help in understanding why an online activity comes before a session, how a task will be discussed later, or how a new process applies in their own role.</w:t>
      </w:r>
    </w:p>
    <w:p>
      <w:pPr>
        <w:spacing w:after="140" w:line="360"/>
        <w:jc w:val="both"/>
      </w:pPr>
      <w:r>
        <w:rPr>
          <w:rFonts w:ascii="Times New Roman" w:cs="Times New Roman" w:eastAsia="Times New Roman" w:hAnsi="Times New Roman"/>
          <w:b w:val="false"/>
          <w:bCs w:val="false"/>
          <w:sz w:val="24"/>
          <w:szCs w:val="24"/>
        </w:rPr>
        <w:t xml:space="preserve">Trainer Competence is treated separately from Hybrid Learning. A platform may be accessible, yet an employee may still need clear guidance and feedback. Similarly, a competent trainer may face limitations if learning material is difficult to access. Keeping the two constructs separate allows the study to examine the distinct relationships of programme design and trainer support with Learner Engagement.</w:t>
      </w:r>
    </w:p>
    <w:p>
      <w:pPr>
        <w:pStyle w:val="Heading3"/>
        <w:keepNext/>
        <w:spacing w:after="160" w:before="280"/>
      </w:pPr>
      <w:r>
        <w:rPr>
          <w:rFonts w:ascii="Times New Roman" w:cs="Times New Roman" w:eastAsia="Times New Roman" w:hAnsi="Times New Roman"/>
          <w:b/>
          <w:bCs/>
          <w:color w:val="19324A"/>
          <w:sz w:val="25"/>
          <w:szCs w:val="25"/>
        </w:rPr>
        <w:t xml:space="preserve">Learner Engagement</w:t>
      </w:r>
    </w:p>
    <w:p>
      <w:pPr>
        <w:spacing w:after="140" w:line="360"/>
        <w:jc w:val="both"/>
      </w:pPr>
      <w:r>
        <w:rPr>
          <w:rFonts w:ascii="Times New Roman" w:cs="Times New Roman" w:eastAsia="Times New Roman" w:hAnsi="Times New Roman"/>
          <w:b w:val="false"/>
          <w:bCs w:val="false"/>
          <w:sz w:val="24"/>
          <w:szCs w:val="24"/>
        </w:rPr>
        <w:t xml:space="preserve">Learner Engagement is the employee’s active involvement in the selected programme. It includes attention, effort to understand the content, participation in activities, interest in completing the programme, and willingness to seek clarification. Engagement is more than attendance or recorded completion. An employee may be physically present in a session or logged into a platform without concentrating on the content. An engaged employee makes an effort to understand, participates in discussion or practice, and asks questions when necessary.</w:t>
      </w:r>
    </w:p>
    <w:p>
      <w:pPr>
        <w:spacing w:after="140" w:line="360"/>
        <w:jc w:val="both"/>
      </w:pPr>
      <w:r>
        <w:rPr>
          <w:rFonts w:ascii="Times New Roman" w:cs="Times New Roman" w:eastAsia="Times New Roman" w:hAnsi="Times New Roman"/>
          <w:b w:val="false"/>
          <w:bCs w:val="false"/>
          <w:sz w:val="24"/>
          <w:szCs w:val="24"/>
        </w:rPr>
        <w:t xml:space="preserve">The study measures engagement as the employee’s reported learning behaviour during one selected hybrid-training programme. It does not measure general work engagement, organisational commitment, motivation, or metacognitive skill as separate variables.</w:t>
      </w:r>
    </w:p>
    <w:p>
      <w:pPr>
        <w:pStyle w:val="Heading3"/>
        <w:keepNext/>
        <w:spacing w:after="160" w:before="280"/>
      </w:pPr>
      <w:r>
        <w:rPr>
          <w:rFonts w:ascii="Times New Roman" w:cs="Times New Roman" w:eastAsia="Times New Roman" w:hAnsi="Times New Roman"/>
          <w:b/>
          <w:bCs/>
          <w:color w:val="19324A"/>
          <w:sz w:val="25"/>
          <w:szCs w:val="25"/>
        </w:rPr>
        <w:t xml:space="preserve">Training Effectiveness</w:t>
      </w:r>
    </w:p>
    <w:p>
      <w:pPr>
        <w:spacing w:after="140" w:line="360"/>
        <w:jc w:val="both"/>
      </w:pPr>
      <w:r>
        <w:rPr>
          <w:rFonts w:ascii="Times New Roman" w:cs="Times New Roman" w:eastAsia="Times New Roman" w:hAnsi="Times New Roman"/>
          <w:b w:val="false"/>
          <w:bCs w:val="false"/>
          <w:sz w:val="24"/>
          <w:szCs w:val="24"/>
        </w:rPr>
        <w:t xml:space="preserve">Training Effectiveness is the extent to which employees believe that a programme produced useful learning for their current work. It includes understanding the knowledge or skill taught, seeing its relevance to the role, feeling capable of using it, applying it in day-to-day tasks, handling related problems more effectively, and gaining confidence in relevant responsibilities.</w:t>
      </w:r>
    </w:p>
    <w:p>
      <w:pPr>
        <w:spacing w:after="140" w:line="360"/>
        <w:jc w:val="both"/>
      </w:pPr>
      <w:r>
        <w:rPr>
          <w:rFonts w:ascii="Times New Roman" w:cs="Times New Roman" w:eastAsia="Times New Roman" w:hAnsi="Times New Roman"/>
          <w:b w:val="false"/>
          <w:bCs w:val="false"/>
          <w:sz w:val="24"/>
          <w:szCs w:val="24"/>
        </w:rPr>
        <w:t xml:space="preserve">This definition is informed by training-evaluation and training-transfer literature. It moves beyond immediate satisfaction, but it remains within the limits of employee self-report. The present study does not measure the Bank’s overall productivity, customer satisfaction, reputation, financial performance, or objective change in individual performance.</w:t>
      </w:r>
    </w:p>
    <w:p>
      <w:pPr>
        <w:pStyle w:val="Heading3"/>
        <w:keepNext/>
        <w:spacing w:after="160" w:before="280"/>
      </w:pPr>
      <w:r>
        <w:rPr>
          <w:rFonts w:ascii="Times New Roman" w:cs="Times New Roman" w:eastAsia="Times New Roman" w:hAnsi="Times New Roman"/>
          <w:b/>
          <w:bCs/>
          <w:color w:val="19324A"/>
          <w:sz w:val="25"/>
          <w:szCs w:val="25"/>
        </w:rPr>
        <w:t xml:space="preserve">Learning Management System</w:t>
      </w:r>
    </w:p>
    <w:p>
      <w:pPr>
        <w:spacing w:after="140" w:line="360"/>
        <w:jc w:val="both"/>
      </w:pPr>
      <w:r>
        <w:rPr>
          <w:rFonts w:ascii="Times New Roman" w:cs="Times New Roman" w:eastAsia="Times New Roman" w:hAnsi="Times New Roman"/>
          <w:b w:val="false"/>
          <w:bCs w:val="false"/>
          <w:sz w:val="24"/>
          <w:szCs w:val="24"/>
        </w:rPr>
        <w:t xml:space="preserve">A Learning Management System, or LMS, is a digital system that helps an organisation organise, deliver, monitor, or support learning. It may host modules, reading material, videos, quizzes, virtual sessions, announcements, and learning records. Union Bank identifies Union Vidya as its LMS and places it within a wider learning and development system that includes e-learning, virtual training, staggered programmes, and role-based learning (Union Bank of India, 2024, 2025).</w:t>
      </w:r>
    </w:p>
    <w:p>
      <w:pPr>
        <w:spacing w:after="140" w:line="360"/>
        <w:jc w:val="both"/>
      </w:pPr>
      <w:r>
        <w:rPr>
          <w:rFonts w:ascii="Times New Roman" w:cs="Times New Roman" w:eastAsia="Times New Roman" w:hAnsi="Times New Roman"/>
          <w:b w:val="false"/>
          <w:bCs w:val="false"/>
          <w:sz w:val="24"/>
          <w:szCs w:val="24"/>
        </w:rPr>
        <w:t xml:space="preserve">In the present study, Union Vidya is part of the Hybrid Learning context, not a separate construct. The questionnaire refers to the digital platform used for the selected programme and names Union Vidya as an example. This avoids assuming that every programme uses the same system or that all employees encounter the same platform features.</w:t>
      </w:r>
    </w:p>
    <w:p>
      <w:pPr>
        <w:pStyle w:val="Heading2"/>
        <w:keepNext/>
        <w:spacing w:after="160" w:before="280"/>
      </w:pPr>
      <w:r>
        <w:rPr>
          <w:rFonts w:ascii="Times New Roman" w:cs="Times New Roman" w:eastAsia="Times New Roman" w:hAnsi="Times New Roman"/>
          <w:b/>
          <w:bCs/>
          <w:color w:val="19324A"/>
          <w:sz w:val="27"/>
          <w:szCs w:val="27"/>
        </w:rPr>
        <w:t xml:space="preserve">1.3 Need, Scope and Significance of the Study</w:t>
      </w:r>
    </w:p>
    <w:p>
      <w:pPr>
        <w:pStyle w:val="Heading3"/>
        <w:keepNext/>
        <w:spacing w:after="160" w:before="280"/>
      </w:pPr>
      <w:r>
        <w:rPr>
          <w:rFonts w:ascii="Times New Roman" w:cs="Times New Roman" w:eastAsia="Times New Roman" w:hAnsi="Times New Roman"/>
          <w:b/>
          <w:bCs/>
          <w:color w:val="19324A"/>
          <w:sz w:val="25"/>
          <w:szCs w:val="25"/>
        </w:rPr>
        <w:t xml:space="preserve">Need for the Study</w:t>
      </w:r>
    </w:p>
    <w:p>
      <w:pPr>
        <w:spacing w:after="140" w:line="360"/>
        <w:jc w:val="both"/>
      </w:pPr>
      <w:r>
        <w:rPr>
          <w:rFonts w:ascii="Times New Roman" w:cs="Times New Roman" w:eastAsia="Times New Roman" w:hAnsi="Times New Roman"/>
          <w:b w:val="false"/>
          <w:bCs w:val="false"/>
          <w:sz w:val="24"/>
          <w:szCs w:val="24"/>
        </w:rPr>
        <w:t xml:space="preserve">The study addresses a practical question: when employees attend a programme that combines digital and face-to-face learning, how are the quality of the programme and the competence of the trainer related to their engagement and their perception of training effectiveness? This question matters because employees may be expected to learn while also managing regular work, responding to customers, following procedures, and keeping pace with digital change. Training that is difficult to access or poorly connected may increase the burden on employees rather than support them.</w:t>
      </w:r>
    </w:p>
    <w:p>
      <w:pPr>
        <w:spacing w:after="140" w:line="360"/>
        <w:jc w:val="both"/>
      </w:pPr>
      <w:r>
        <w:rPr>
          <w:rFonts w:ascii="Times New Roman" w:cs="Times New Roman" w:eastAsia="Times New Roman" w:hAnsi="Times New Roman"/>
          <w:b w:val="false"/>
          <w:bCs w:val="false"/>
          <w:sz w:val="24"/>
          <w:szCs w:val="24"/>
        </w:rPr>
        <w:t xml:space="preserve">Research supports the importance of examining this issue, but a context gap remains. Much blended-learning research has been conducted with students. Those studies are helpful for understanding how learning environments can be designed, yet employees in banks learn under different conditions. They may need to balance learning with operational schedules, customer responsibilities, compliance work, and changing systems. Corporate evidence is available, but verified evidence on the combined relationships of Hybrid Learning, Trainer Competence, Learner Engagement, and Training Effectiveness among employees of an Indian public-sector bank remains limited.</w:t>
      </w:r>
    </w:p>
    <w:p>
      <w:pPr>
        <w:spacing w:after="140" w:line="360"/>
        <w:jc w:val="both"/>
      </w:pPr>
      <w:r>
        <w:rPr>
          <w:rFonts w:ascii="Times New Roman" w:cs="Times New Roman" w:eastAsia="Times New Roman" w:hAnsi="Times New Roman"/>
          <w:b w:val="false"/>
          <w:bCs w:val="false"/>
          <w:sz w:val="24"/>
          <w:szCs w:val="24"/>
        </w:rPr>
        <w:t xml:space="preserve">Union Bank provides a suitable context because it has a documented digital-learning system and a broader training infrastructure. Public reporting confirms the availability of digital and trainer-led learning arrangements. It does not show how employees experience a particular programme. The present study focuses on this narrower employee-level question rather than making assumptions about the effectiveness of the complete training system.</w:t>
      </w:r>
    </w:p>
    <w:p>
      <w:pPr>
        <w:pStyle w:val="Heading3"/>
        <w:keepNext/>
        <w:spacing w:after="160" w:before="280"/>
      </w:pPr>
      <w:r>
        <w:rPr>
          <w:rFonts w:ascii="Times New Roman" w:cs="Times New Roman" w:eastAsia="Times New Roman" w:hAnsi="Times New Roman"/>
          <w:b/>
          <w:bCs/>
          <w:color w:val="19324A"/>
          <w:sz w:val="25"/>
          <w:szCs w:val="25"/>
        </w:rPr>
        <w:t xml:space="preserve">Scope of the Study</w:t>
      </w:r>
    </w:p>
    <w:p>
      <w:pPr>
        <w:spacing w:after="140" w:line="360"/>
        <w:jc w:val="both"/>
      </w:pPr>
      <w:r>
        <w:rPr>
          <w:rFonts w:ascii="Times New Roman" w:cs="Times New Roman" w:eastAsia="Times New Roman" w:hAnsi="Times New Roman"/>
          <w:b w:val="false"/>
          <w:bCs w:val="false"/>
          <w:sz w:val="24"/>
          <w:szCs w:val="24"/>
        </w:rPr>
        <w:t xml:space="preserve">The study is limited to eligible employees connected with Union Bank of India Regional Office Chennai South who have attended at least one programme during the previous 12 months that included both digital and face-to-face learning. Respondents answer with reference to one recent programme. Employees who have attended only a digital programme or only a face-to-face programme are not eligible because they cannot comment meaningfully on the connection between the two learning modes.</w:t>
      </w:r>
    </w:p>
    <w:p>
      <w:pPr>
        <w:spacing w:after="140" w:line="360"/>
        <w:jc w:val="both"/>
      </w:pPr>
      <w:r>
        <w:rPr>
          <w:rFonts w:ascii="Times New Roman" w:cs="Times New Roman" w:eastAsia="Times New Roman" w:hAnsi="Times New Roman"/>
          <w:b w:val="false"/>
          <w:bCs w:val="false"/>
          <w:sz w:val="24"/>
          <w:szCs w:val="24"/>
        </w:rPr>
        <w:t xml:space="preserve">The research examines Hybrid Learning, Trainer Competence, Learner Engagement, and Training Effectiveness. It does not treat knowledge retention, job performance, organisation-level results, supervisor support, employee agility, digital literacy, or the technical performance of Union Vidya as separate variables. These areas may matter for training generally, but including all of them would make the survey and analysis too broad for the proposed sample.</w:t>
      </w:r>
    </w:p>
    <w:p>
      <w:pPr>
        <w:spacing w:after="140" w:line="360"/>
        <w:jc w:val="both"/>
      </w:pPr>
      <w:r>
        <w:rPr>
          <w:rFonts w:ascii="Times New Roman" w:cs="Times New Roman" w:eastAsia="Times New Roman" w:hAnsi="Times New Roman"/>
          <w:b w:val="false"/>
          <w:bCs w:val="false"/>
          <w:sz w:val="24"/>
          <w:szCs w:val="24"/>
        </w:rPr>
        <w:t xml:space="preserve">The study uses a structured five-point agreement questionnaire. It is quantitative, descriptive, correlational, and cross-sectional. The findings will describe the selected respondent group and relationships among reported perceptions. They will not establish that training caused later changes in work behaviour or bank performance.</w:t>
      </w:r>
    </w:p>
    <w:p>
      <w:pPr>
        <w:pStyle w:val="Heading3"/>
        <w:keepNext/>
        <w:spacing w:after="160" w:before="280"/>
      </w:pPr>
      <w:r>
        <w:rPr>
          <w:rFonts w:ascii="Times New Roman" w:cs="Times New Roman" w:eastAsia="Times New Roman" w:hAnsi="Times New Roman"/>
          <w:b/>
          <w:bCs/>
          <w:color w:val="19324A"/>
          <w:sz w:val="25"/>
          <w:szCs w:val="25"/>
        </w:rPr>
        <w:t xml:space="preserve">Significance of the Study</w:t>
      </w:r>
    </w:p>
    <w:p>
      <w:pPr>
        <w:spacing w:after="140" w:line="360"/>
        <w:jc w:val="both"/>
      </w:pPr>
      <w:r>
        <w:rPr>
          <w:rFonts w:ascii="Times New Roman" w:cs="Times New Roman" w:eastAsia="Times New Roman" w:hAnsi="Times New Roman"/>
          <w:b w:val="false"/>
          <w:bCs w:val="false"/>
          <w:sz w:val="24"/>
          <w:szCs w:val="24"/>
        </w:rPr>
        <w:t xml:space="preserve">For Union Bank, the study may provide structured employee feedback on the connection between digital and face-to-face learning, the role of trainer support, and the conditions that encourage active engagement. The findings may identify practical areas for attention, such as the timing of digital modules, access to learning resources, clarity of trainer guidance, feedback, or opportunities for participation.</w:t>
      </w:r>
    </w:p>
    <w:p>
      <w:pPr>
        <w:spacing w:after="140" w:line="360"/>
        <w:jc w:val="both"/>
      </w:pPr>
      <w:r>
        <w:rPr>
          <w:rFonts w:ascii="Times New Roman" w:cs="Times New Roman" w:eastAsia="Times New Roman" w:hAnsi="Times New Roman"/>
          <w:b w:val="false"/>
          <w:bCs w:val="false"/>
          <w:sz w:val="24"/>
          <w:szCs w:val="24"/>
        </w:rPr>
        <w:t xml:space="preserve">For trainers and learning-and-development staff, the study recognises that training is not limited to delivering content. Employees may need to understand how a digital module connects with a classroom activity, why a new procedure matters, and where they can obtain clarification after the session. Trainer preparation and programme design can therefore influence whether learning feels relevant and manageable alongside work responsibilities.</w:t>
      </w:r>
    </w:p>
    <w:p>
      <w:pPr>
        <w:spacing w:after="140" w:line="360"/>
        <w:jc w:val="both"/>
      </w:pPr>
      <w:r>
        <w:t>For academic research, the study contributes evidence from an underrepresented public-sector banking context. It brings together a guide-suggested conceptual study, corporate training evidence, and Indian banking evidence while using a transparent, literature-informed questionnaire. The instrument is not presented as a ready-made Union Bank scale. Its content basis, academic-guide review, and final-sample reliability checks are stated clearly so that the study’s contribution remains realistic and defensible.</w:t>
      </w:r>
    </w:p>
    <w:p>
      <w:pPr>
        <w:pStyle w:val="Heading2"/>
        <w:keepNext/>
        <w:spacing w:after="160" w:before="280"/>
      </w:pPr>
      <w:r>
        <w:rPr>
          <w:rFonts w:ascii="Times New Roman" w:cs="Times New Roman" w:eastAsia="Times New Roman" w:hAnsi="Times New Roman"/>
          <w:b/>
          <w:bCs/>
          <w:color w:val="19324A"/>
          <w:sz w:val="27"/>
          <w:szCs w:val="27"/>
        </w:rPr>
        <w:t xml:space="preserve">1.4 Statement of the Problem</w:t>
      </w:r>
    </w:p>
    <w:p>
      <w:pPr>
        <w:spacing w:after="140" w:line="360"/>
        <w:jc w:val="both"/>
      </w:pPr>
      <w:r>
        <w:rPr>
          <w:rFonts w:ascii="Times New Roman" w:cs="Times New Roman" w:eastAsia="Times New Roman" w:hAnsi="Times New Roman"/>
          <w:b w:val="false"/>
          <w:bCs w:val="false"/>
          <w:sz w:val="24"/>
          <w:szCs w:val="24"/>
        </w:rPr>
        <w:t xml:space="preserve">Union Bank of India has a documented learning and development system that includes digital resources and trainer-led training activity. These arrangements create the possibility of hybrid learning. However, the availability of a learning platform and training programmes does not show whether employees experience the digital and face-to-face activities as one connected learning process. It also does not show whether trainers provide the clarity and feedback employees need, whether employees participate actively, or whether the learning is seen as useful in their current work.</w:t>
      </w:r>
    </w:p>
    <w:p>
      <w:pPr>
        <w:spacing w:after="140" w:line="360"/>
        <w:jc w:val="both"/>
      </w:pPr>
      <w:r>
        <w:rPr>
          <w:rFonts w:ascii="Times New Roman" w:cs="Times New Roman" w:eastAsia="Times New Roman" w:hAnsi="Times New Roman"/>
          <w:b w:val="false"/>
          <w:bCs w:val="false"/>
          <w:sz w:val="24"/>
          <w:szCs w:val="24"/>
        </w:rPr>
        <w:t xml:space="preserve">The problem addressed by this study is the limited verified evidence on the relationships among Hybrid Learning, Trainer Competence, Learner Engagement, and Training Effectiveness among Union Bank employees. Existing research offers useful findings from higher education, corporate training, and other workplace settings. It does not directly examine this four-construct framework in the selected public-sector banking setting or in relation to the Union Vidya/LMS context.</w:t>
      </w:r>
    </w:p>
    <w:p>
      <w:pPr>
        <w:spacing w:after="140" w:line="360"/>
        <w:jc w:val="both"/>
      </w:pPr>
      <w:r>
        <w:rPr>
          <w:rFonts w:ascii="Times New Roman" w:cs="Times New Roman" w:eastAsia="Times New Roman" w:hAnsi="Times New Roman"/>
          <w:b w:val="false"/>
          <w:bCs w:val="false"/>
          <w:sz w:val="24"/>
          <w:szCs w:val="24"/>
        </w:rPr>
        <w:t xml:space="preserve">The study therefore examines whether more positive employee perceptions of Hybrid Learning and Trainer Competence are associated with higher Learner Engagement, and whether higher Learner Engagement is associated with greater Training Effectiveness.</w:t>
      </w:r>
    </w:p>
    <w:p>
      <w:pPr>
        <w:pStyle w:val="Heading2"/>
        <w:keepNext/>
        <w:spacing w:after="160" w:before="280"/>
      </w:pPr>
      <w:r>
        <w:rPr>
          <w:rFonts w:ascii="Times New Roman" w:cs="Times New Roman" w:eastAsia="Times New Roman" w:hAnsi="Times New Roman"/>
          <w:b/>
          <w:bCs/>
          <w:color w:val="19324A"/>
          <w:sz w:val="27"/>
          <w:szCs w:val="27"/>
        </w:rPr>
        <w:t xml:space="preserve">1.5 Research Questions</w:t>
      </w:r>
    </w:p>
    <w:p>
      <w:pPr>
        <w:spacing w:after="140" w:line="360"/>
        <w:ind w:left="360" w:hanging="360"/>
        <w:jc w:val="left"/>
      </w:pPr>
      <w:r>
        <w:rPr>
          <w:rFonts w:ascii="Times New Roman" w:cs="Times New Roman" w:eastAsia="Times New Roman" w:hAnsi="Times New Roman"/>
          <w:sz w:val="24"/>
          <w:szCs w:val="24"/>
        </w:rPr>
        <w:t xml:space="preserve">1. What are employees’ perceptions of Hybrid Learning, Trainer Competence, Learner Engagement, and Training Effectiveness?</w:t>
      </w:r>
    </w:p>
    <w:p>
      <w:pPr>
        <w:spacing w:after="140" w:line="360"/>
        <w:ind w:left="360" w:hanging="360"/>
        <w:jc w:val="left"/>
      </w:pPr>
      <w:r>
        <w:rPr>
          <w:rFonts w:ascii="Times New Roman" w:cs="Times New Roman" w:eastAsia="Times New Roman" w:hAnsi="Times New Roman"/>
          <w:sz w:val="24"/>
          <w:szCs w:val="24"/>
        </w:rPr>
        <w:t xml:space="preserve">2. Are Hybrid Learning and Trainer Competence associated with Learner Engagement?</w:t>
      </w:r>
    </w:p>
    <w:p>
      <w:pPr>
        <w:spacing w:after="140" w:line="360"/>
        <w:ind w:left="360" w:hanging="360"/>
        <w:jc w:val="left"/>
      </w:pPr>
      <w:r>
        <w:rPr>
          <w:rFonts w:ascii="Times New Roman" w:cs="Times New Roman" w:eastAsia="Times New Roman" w:hAnsi="Times New Roman"/>
          <w:sz w:val="24"/>
          <w:szCs w:val="24"/>
        </w:rPr>
        <w:t xml:space="preserve">3. Is Learner Engagement associated with Training Effectiveness?</w:t>
      </w:r>
    </w:p>
    <w:p>
      <w:pPr>
        <w:pStyle w:val="Heading2"/>
        <w:keepNext/>
        <w:spacing w:after="160" w:before="280"/>
      </w:pPr>
      <w:r>
        <w:rPr>
          <w:rFonts w:ascii="Times New Roman" w:cs="Times New Roman" w:eastAsia="Times New Roman" w:hAnsi="Times New Roman"/>
          <w:b/>
          <w:bCs/>
          <w:color w:val="19324A"/>
          <w:sz w:val="27"/>
          <w:szCs w:val="27"/>
        </w:rPr>
        <w:t xml:space="preserve">1.6 Industry and Company Context</w:t>
      </w:r>
    </w:p>
    <w:p>
      <w:r>
        <w:rPr>
          <w:b/>
        </w:rPr>
        <w:t>Banking Industry Context</w:t>
      </w:r>
    </w:p>
    <w:p>
      <w:r>
        <w:t>Banking is a regulated, technology-enabled service industry. Employees need to keep up with revised procedures, compliance requirements, risk controls, products, customer-service practices, and digital systems while continuing their daily work. In a public-sector bank, learning must also reach employees across functions and locations without interrupting the continuity of customer service. Training therefore needs to provide accessible common material while still giving employees opportunities to ask questions, practise relevant tasks, receive guidance, and revisit learning when a work need arises.</w:t>
      </w:r>
    </w:p>
    <w:p>
      <w:r>
        <w:t>This setting explains the value of a connected hybrid approach. A short policy update may be supported by a digital module and knowledge check. A procedural change may need digital preparation followed by a trainer-led demonstration and practice. Customer-facing topics may require discussion and role play, with digital material available later for revision. The purpose is not to use technology for every activity, but to connect each activity to the employee’s learning need and current work.</w:t>
      </w:r>
    </w:p>
    <w:p>
      <w:r>
        <w:rPr>
          <w:b/>
        </w:rPr>
        <w:t>Union Bank of India Context</w:t>
      </w:r>
    </w:p>
    <w:p>
      <w:r>
        <w:t>Union Bank of India was registered in Mumbai on 11 November 1919 and became a nationalised bank in 1969. Andhra Bank and Corporation Bank were amalgamated into Union Bank on 1 April 2020 (Union Bank of India, n.d.-a). The Bank’s public profile reports more than 8,700 domestic branches and more than 73,900 employees as at June 2026. This large, geographically distributed setting makes consistent access to current learning material and trainer support important for employee development.</w:t>
      </w:r>
    </w:p>
    <w:p>
      <w:r>
        <w:t>The Bank has developed a wider learning system that includes the Union Learning Academies, Staff Training Centres, Union Vidya, e-learning, virtual workshops, role-based learning, mandatory e-learning modules for officers, and the Training Management System within Union Vidya. The Bank launched nine Union Learning Academies in 2022 as specialised Learning and Development Centres of Excellence, and it publishes a nationwide network of Staff Training Centres (Union Bank of India, 2022; Union Bank of India, n.d.-b). Its annual reports also describe classroom and locational programmes alongside digital resources, virtual training, and staggered learning arrangements (Union Bank of India, 2024, 2025).</w:t>
      </w:r>
    </w:p>
    <w:p>
      <w:r>
        <w:t>A staff circular dated 9 September 2026 provides a current example of how these arrangements may connect. It states that selected classroom sessions at Union Learning Academies and Zonal Learning Centres can be live-streamed through Microsoft Teams, with schedules and recordings made available through Union Vidya. Employees joining virtually may raise questions through the chat function, while the programme coordinator facilitates responses at suitable intervals (Union Bank of India, 2026). This shows an organisational arrangement for extending selected trainer-led sessions through digital access. It does not show that every programme is hybrid, that every employee uses the same facilities, or that this arrangement produces better employee outcomes.</w:t>
      </w:r>
    </w:p>
    <w:p>
      <w:r>
        <w:t>The empirical focus is deliberately narrow: eligible employees connected with Regional Office Chennai South and their experience of one recent hybrid-training programme. This focus keeps the research close to employee experience and avoids unsupported conclusions about the entire Bank or the wider banking sector.</w:t>
      </w:r>
    </w:p>
    <w:p>
      <w:pPr>
        <w:pStyle w:val="Heading2"/>
        <w:keepNext/>
        <w:spacing w:after="160" w:before="280"/>
      </w:pPr>
      <w:r>
        <w:rPr>
          <w:rFonts w:ascii="Times New Roman" w:cs="Times New Roman" w:eastAsia="Times New Roman" w:hAnsi="Times New Roman"/>
          <w:b/>
          <w:bCs/>
          <w:color w:val="19324A"/>
          <w:sz w:val="27"/>
          <w:szCs w:val="27"/>
        </w:rPr>
        <w:t xml:space="preserve">1.7 Chapterisation</w:t>
      </w:r>
    </w:p>
    <w:p>
      <w:pPr>
        <w:spacing w:after="140" w:line="360"/>
        <w:jc w:val="both"/>
      </w:pPr>
      <w:r>
        <w:rPr>
          <w:rFonts w:ascii="Times New Roman" w:cs="Times New Roman" w:eastAsia="Times New Roman" w:hAnsi="Times New Roman"/>
          <w:b w:val="false"/>
          <w:bCs w:val="false"/>
          <w:sz w:val="24"/>
          <w:szCs w:val="24"/>
        </w:rPr>
        <w:t xml:space="preserve">Chapter 1 introduces the topic, defines the four study constructs, explains the need, scope, and significance of the study, states the research problem and research questions, and presents the industry and company context.</w:t>
      </w:r>
    </w:p>
    <w:p>
      <w:pPr>
        <w:spacing w:after="140" w:line="360"/>
        <w:jc w:val="both"/>
      </w:pPr>
      <w:r>
        <w:rPr>
          <w:rFonts w:ascii="Times New Roman" w:cs="Times New Roman" w:eastAsia="Times New Roman" w:hAnsi="Times New Roman"/>
          <w:b w:val="false"/>
          <w:bCs w:val="false"/>
          <w:sz w:val="24"/>
          <w:szCs w:val="24"/>
        </w:rPr>
        <w:t xml:space="preserve">Chapter 2 reviews literature on Hybrid Learning, Trainer Competence, Learner Engagement, and Training Effectiveness. It explains the role of the three selected base papers, presents the theoretical and conceptual framework, describes the Union Bank case context, and identifies the workplace, banking, LMS, and measurement gaps addressed by the study.</w:t>
      </w:r>
    </w:p>
    <w:p>
      <w:pPr>
        <w:spacing w:after="140" w:line="360"/>
        <w:jc w:val="both"/>
      </w:pPr>
      <w:r>
        <w:rPr>
          <w:rFonts w:ascii="Times New Roman" w:cs="Times New Roman" w:eastAsia="Times New Roman" w:hAnsi="Times New Roman"/>
          <w:b w:val="false"/>
          <w:bCs w:val="false"/>
          <w:sz w:val="24"/>
          <w:szCs w:val="24"/>
        </w:rPr>
        <w:t xml:space="preserve">Chapter 3 presents the research methodology. It explains the objectives, relationship hypotheses, variable definitions, research design, sample approach, data-collection procedure, questionnaire, scoring method, reliability and validity plan, ethical considerations, limitations, and analysis plan.</w:t>
      </w:r>
    </w:p>
    <w:p>
      <w:pPr>
        <w:spacing w:after="140" w:line="360"/>
        <w:jc w:val="both"/>
      </w:pPr>
      <w:r>
        <w:rPr>
          <w:rFonts w:ascii="Times New Roman" w:cs="Times New Roman" w:eastAsia="Times New Roman" w:hAnsi="Times New Roman"/>
          <w:b w:val="false"/>
          <w:bCs w:val="false"/>
          <w:sz w:val="24"/>
          <w:szCs w:val="24"/>
        </w:rPr>
        <w:t xml:space="preserve">Chapters 4 and 5 will be prepared after the completed survey data are analysed. Chapter 4 will present data analysis and interpretation, while Chapter 5 will report the findings, contributions, limitations, future directions, and conclusion.</w:t>
      </w:r>
    </w:p>
    <w:p>
      <w:r>
        <w:br w:type="page"/>
      </w:r>
    </w:p>
    <w:p>
      <w:pPr>
        <w:pStyle w:val="Heading1"/>
        <w:keepNext/>
        <w:spacing w:after="160" w:before="0"/>
      </w:pPr>
      <w:r>
        <w:rPr>
          <w:rFonts w:ascii="Times New Roman" w:cs="Times New Roman" w:eastAsia="Times New Roman" w:hAnsi="Times New Roman"/>
          <w:b/>
          <w:bCs/>
          <w:color w:val="19324A"/>
          <w:sz w:val="30"/>
          <w:szCs w:val="30"/>
        </w:rPr>
        <w:t xml:space="preserve">Chapter 2 - Review of Literature</w:t>
      </w:r>
    </w:p>
    <w:p>
      <w:pPr>
        <w:pStyle w:val="Heading2"/>
        <w:keepNext/>
        <w:spacing w:after="160" w:before="280"/>
      </w:pPr>
      <w:r>
        <w:rPr>
          <w:rFonts w:ascii="Times New Roman" w:cs="Times New Roman" w:eastAsia="Times New Roman" w:hAnsi="Times New Roman"/>
          <w:b/>
          <w:bCs/>
          <w:color w:val="19324A"/>
          <w:sz w:val="27"/>
          <w:szCs w:val="27"/>
        </w:rPr>
        <w:t xml:space="preserve">2.1 Review of Relevant Literature</w:t>
      </w:r>
    </w:p>
    <w:p>
      <w:pPr>
        <w:pStyle w:val="Heading3"/>
        <w:keepNext/>
        <w:spacing w:after="160" w:before="280"/>
      </w:pPr>
      <w:r>
        <w:rPr>
          <w:rFonts w:ascii="Times New Roman" w:cs="Times New Roman" w:eastAsia="Times New Roman" w:hAnsi="Times New Roman"/>
          <w:b/>
          <w:bCs/>
          <w:color w:val="19324A"/>
          <w:sz w:val="25"/>
          <w:szCs w:val="25"/>
        </w:rPr>
        <w:t xml:space="preserve">Hybrid Learning as an Integrated Training Design</w:t>
      </w:r>
    </w:p>
    <w:p>
      <w:pPr>
        <w:spacing w:after="140" w:line="360"/>
        <w:jc w:val="both"/>
      </w:pPr>
      <w:r>
        <w:rPr>
          <w:rFonts w:ascii="Times New Roman" w:cs="Times New Roman" w:eastAsia="Times New Roman" w:hAnsi="Times New Roman"/>
          <w:b w:val="false"/>
          <w:bCs w:val="false"/>
          <w:sz w:val="24"/>
          <w:szCs w:val="24"/>
        </w:rPr>
        <w:t xml:space="preserve">Hybrid learning is generally understood as the intentional combination of digital and face-to-face learning within one programme. In an employee-training setting, this is not simply a question of dividing training hours between an online module and a classroom session. It is a question of design. Employees need to understand how one activity prepares them for the next and how the complete programme relates to a work task.</w:t>
      </w:r>
    </w:p>
    <w:p>
      <w:pPr>
        <w:spacing w:after="140" w:line="360"/>
        <w:jc w:val="both"/>
      </w:pPr>
      <w:r>
        <w:rPr>
          <w:rFonts w:ascii="Times New Roman" w:cs="Times New Roman" w:eastAsia="Times New Roman" w:hAnsi="Times New Roman"/>
          <w:b w:val="false"/>
          <w:bCs w:val="false"/>
          <w:sz w:val="24"/>
          <w:szCs w:val="24"/>
        </w:rPr>
        <w:t xml:space="preserve">Digital learning can make basic information, reference resources, short assessments, and revision material available across locations. Face-to-face learning can create space for discussion, demonstration, feedback, practice, and clarification. These modes serve different purposes. A programme is more likely to feel coherent when employees can see why a digital activity comes before or after a trainer-led session, rather than experiencing both as separate requirements.</w:t>
      </w:r>
    </w:p>
    <w:p>
      <w:pPr>
        <w:spacing w:after="140" w:line="360"/>
        <w:jc w:val="both"/>
      </w:pPr>
      <w:r>
        <w:rPr>
          <w:rFonts w:ascii="Times New Roman" w:cs="Times New Roman" w:eastAsia="Times New Roman" w:hAnsi="Times New Roman"/>
          <w:b w:val="false"/>
          <w:bCs w:val="false"/>
          <w:sz w:val="24"/>
          <w:szCs w:val="24"/>
        </w:rPr>
        <w:t xml:space="preserve">Garrison and Kanuka (2004) describe the potential of blended learning as arising from the thoughtful integration of online and face-to-face learning. Graham (2006) similarly explains blended learning through the combination of delivery modes, teaching methods, and learning approaches. Both sources are rooted mainly in education, yet their design principle is useful in a workplace: the two modes should complement one another rather than duplicate or contradict one another.</w:t>
      </w:r>
    </w:p>
    <w:p>
      <w:pPr>
        <w:spacing w:after="140" w:line="360"/>
        <w:jc w:val="both"/>
      </w:pPr>
      <w:r>
        <w:rPr>
          <w:rFonts w:ascii="Times New Roman" w:cs="Times New Roman" w:eastAsia="Times New Roman" w:hAnsi="Times New Roman"/>
          <w:b w:val="false"/>
          <w:bCs w:val="false"/>
          <w:sz w:val="24"/>
          <w:szCs w:val="24"/>
        </w:rPr>
        <w:t xml:space="preserve">Educational evidence supports the broad value of purposeful integration, although it cannot be treated as direct evidence for bank employees. Vo, Zhu and Diep (2017) synthesised 51 effect sizes from higher-education courses and reported a small positive average effect for blended learning compared with conventional classroom teaching (g = 0.385). Yu, Yu, Li and Wang (2025) reviewed 133 empirical studies involving 18,464 student participants and reported an upper-medium effect on learning performance (g = 0.651). These findings suggest that a well-designed blended environment can support learning. However, students and employees work under different conditions. Employees may need to learn alongside customer service, routine operational work, deadlines, and changing procedures. Therefore, the present study treats these meta-analyses as background evidence, not as proof that the same effect will occur in Union Bank.</w:t>
      </w:r>
    </w:p>
    <w:p>
      <w:pPr>
        <w:spacing w:after="140" w:line="360"/>
        <w:jc w:val="both"/>
      </w:pPr>
      <w:r>
        <w:rPr>
          <w:rFonts w:ascii="Times New Roman" w:cs="Times New Roman" w:eastAsia="Times New Roman" w:hAnsi="Times New Roman"/>
          <w:b w:val="false"/>
          <w:bCs w:val="false"/>
          <w:sz w:val="24"/>
          <w:szCs w:val="24"/>
        </w:rPr>
        <w:t xml:space="preserve">Kumar and Pande (2017) examine technology-mediated learning for working professionals. Their study is relevant because it does not treat technology as the sole reason for successful learning. It identifies institutional, facilitator, learner, and pedagogical conditions within a blended-learning ecosystem. In practice, an accessible platform may still be of limited use when employees do not see the relevance of the content, cannot obtain guidance, or do not understand how the learning connects with later work.</w:t>
      </w:r>
    </w:p>
    <w:p>
      <w:pPr>
        <w:spacing w:after="140" w:line="360"/>
        <w:jc w:val="both"/>
      </w:pPr>
      <w:r>
        <w:rPr>
          <w:rFonts w:ascii="Times New Roman" w:cs="Times New Roman" w:eastAsia="Times New Roman" w:hAnsi="Times New Roman"/>
          <w:b w:val="false"/>
          <w:bCs w:val="false"/>
          <w:sz w:val="24"/>
          <w:szCs w:val="24"/>
        </w:rPr>
        <w:t xml:space="preserve">Mulaudzi (2021) studied blended teaching for workplace training in the South African transport sector. The study is a Master’s dissertation rather than a journal article, but it gives useful workplace-level insight into flexibility, digital access, time management, learning materials, and practical barriers. These conditions are relevant to employees who must complete training alongside their regular responsibilities. Mulaudzi does not provide a ready-made corporate scale for the present study; instead, the study helps explain why the present questionnaire uses workplace language about access, materials, and connected learning.</w:t>
      </w:r>
    </w:p>
    <w:p>
      <w:pPr>
        <w:spacing w:after="140" w:line="360"/>
        <w:jc w:val="both"/>
      </w:pPr>
      <w:r>
        <w:rPr>
          <w:rFonts w:ascii="Times New Roman" w:cs="Times New Roman" w:eastAsia="Times New Roman" w:hAnsi="Times New Roman"/>
          <w:b w:val="false"/>
          <w:bCs w:val="false"/>
          <w:sz w:val="24"/>
          <w:szCs w:val="24"/>
        </w:rPr>
        <w:t xml:space="preserve">Han and Ellis (2020) developed the Perceptions of the Blended Learning Environment Questionnaire. Their work is important because it treats a blended environment as more than a general positive or negative opinion. It considers how learners experience the relationship between modes and the contribution of online learning. The scale was developed in higher education, so its student wording cannot be transferred unchanged to bank employees. Nevertheless, it supports the decision to treat integration, access, material availability, and the opportunity to revisit learning as related aspects of Hybrid Learning.</w:t>
      </w:r>
    </w:p>
    <w:p>
      <w:pPr>
        <w:spacing w:after="140" w:line="360"/>
        <w:jc w:val="both"/>
      </w:pPr>
      <w:r>
        <w:rPr>
          <w:rFonts w:ascii="Times New Roman" w:cs="Times New Roman" w:eastAsia="Times New Roman" w:hAnsi="Times New Roman"/>
          <w:b w:val="false"/>
          <w:bCs w:val="false"/>
          <w:sz w:val="24"/>
          <w:szCs w:val="24"/>
        </w:rPr>
        <w:t xml:space="preserve">Sosnova, Hlianenko, Sosnova, Tsyna and Tsyna (2025) provide the guide-suggested conceptual anchor for the present study. The authors examined hybrid education methods and learning effectiveness through an experiment involving 64 higher-education students. The hybrid condition combined online platforms, practice-oriented activity, problem-based learning, interactive methods, and project work. The hybrid group reported stronger learning outcomes than the comparison group. The study does not use a corporate population, measure employee training effectiveness, or provide a questionnaire suitable for Union Bank employees. Its value lies in its direct conceptual proposition: a carefully designed hybrid approach can be examined in relation to learning effectiveness.</w:t>
      </w:r>
    </w:p>
    <w:p>
      <w:pPr>
        <w:pStyle w:val="Heading3"/>
        <w:keepNext/>
        <w:spacing w:after="160" w:before="280"/>
      </w:pPr>
      <w:r>
        <w:rPr>
          <w:rFonts w:ascii="Times New Roman" w:cs="Times New Roman" w:eastAsia="Times New Roman" w:hAnsi="Times New Roman"/>
          <w:b/>
          <w:bCs/>
          <w:color w:val="19324A"/>
          <w:sz w:val="25"/>
          <w:szCs w:val="25"/>
        </w:rPr>
        <w:t xml:space="preserve">Hybrid Training and Effectiveness in Corporate Settings</w:t>
      </w:r>
    </w:p>
    <w:p>
      <w:pPr>
        <w:spacing w:after="140" w:line="360"/>
        <w:jc w:val="both"/>
      </w:pPr>
      <w:r>
        <w:rPr>
          <w:rFonts w:ascii="Times New Roman" w:cs="Times New Roman" w:eastAsia="Times New Roman" w:hAnsi="Times New Roman"/>
          <w:b w:val="false"/>
          <w:bCs w:val="false"/>
          <w:sz w:val="24"/>
          <w:szCs w:val="24"/>
        </w:rPr>
        <w:t xml:space="preserve">Kim (2022) provides the main corporate base paper for this study. The paper reports a South Korean automotive sales-training programme that shifted across three delivery methods: traditional training, fully digital training, and hybrid training. The analysis included 583 training instances from 2019 and 2020: 325 traditional, 140 fully digital, and 118 hybrid. The hybrid format included online and offline learning, whereas the fully digital format relied more heavily on self-directed learning.</w:t>
      </w:r>
    </w:p>
    <w:p>
      <w:pPr>
        <w:spacing w:after="140" w:line="360"/>
        <w:jc w:val="both"/>
      </w:pPr>
      <w:r>
        <w:rPr>
          <w:rFonts w:ascii="Times New Roman" w:cs="Times New Roman" w:eastAsia="Times New Roman" w:hAnsi="Times New Roman"/>
          <w:b w:val="false"/>
          <w:bCs w:val="false"/>
          <w:sz w:val="24"/>
          <w:szCs w:val="24"/>
        </w:rPr>
        <w:t xml:space="preserve">Kim uses the Content, Instructional Design, Programmed Learning, and Recommendation framework, referred to as CIP-R, to evaluate training effectiveness. The framework includes content, instructional design, personalised learning, perceived competence, and recommendation. The study reported that effectiveness declined after the move from traditional to fully digital delivery and improved after the introduction of the hybrid format. It also identified instructor engagement, training duration, personalised learning, confidence and competence, and job-related skill level as factors associated with the reported training outcome.</w:t>
      </w:r>
    </w:p>
    <w:p>
      <w:pPr>
        <w:spacing w:after="140" w:line="360"/>
        <w:jc w:val="both"/>
      </w:pPr>
      <w:r>
        <w:rPr>
          <w:rFonts w:ascii="Times New Roman" w:cs="Times New Roman" w:eastAsia="Times New Roman" w:hAnsi="Times New Roman"/>
          <w:b w:val="false"/>
          <w:bCs w:val="false"/>
          <w:sz w:val="24"/>
          <w:szCs w:val="24"/>
        </w:rPr>
        <w:t xml:space="preserve">Kim’s result needs a careful reading. The paper does not state that a hybrid programme is always better than a classroom programme. Traditional training had the highest estimated effectiveness mean, hybrid delivery was in the middle, and fully digital delivery had the lowest mean. The reported difference between hybrid and fully digital delivery was not statistically significant. The practical contribution is therefore not a claim that all corporate training should become hybrid. It is the finding that delivery mode, instructor involvement, practice, and programme design all matter when employees judge the value of training.</w:t>
      </w:r>
    </w:p>
    <w:p>
      <w:pPr>
        <w:spacing w:after="140" w:line="360"/>
        <w:jc w:val="both"/>
      </w:pPr>
      <w:r>
        <w:rPr>
          <w:rFonts w:ascii="Times New Roman" w:cs="Times New Roman" w:eastAsia="Times New Roman" w:hAnsi="Times New Roman"/>
          <w:b w:val="false"/>
          <w:bCs w:val="false"/>
          <w:sz w:val="24"/>
          <w:szCs w:val="24"/>
        </w:rPr>
        <w:t xml:space="preserve">This evidence guides three decisions in the present study. First, Training Effectiveness is treated as more than immediate satisfaction. Second, Hybrid Learning is measured through the quality and integration of the employee’s experience, rather than only by asking whether an employee attended an online session. Third, Trainer Competence is retained as a separate construct because employees may need human guidance and feedback even when the digital component is accessible.</w:t>
      </w:r>
    </w:p>
    <w:p>
      <w:pPr>
        <w:spacing w:after="140" w:line="360"/>
        <w:jc w:val="both"/>
      </w:pPr>
      <w:r>
        <w:rPr>
          <w:rFonts w:ascii="Times New Roman" w:cs="Times New Roman" w:eastAsia="Times New Roman" w:hAnsi="Times New Roman"/>
          <w:b w:val="false"/>
          <w:bCs w:val="false"/>
          <w:sz w:val="24"/>
          <w:szCs w:val="24"/>
        </w:rPr>
        <w:t xml:space="preserve">Uddin, Ahamed, Jakowan, Islam and Nahar (2026) provide additional corporate evidence from 150 employees with prior blended-learning experience. Their study examines whether blended learning influences employee performance through soft-skill development and knowledge acquisition. The authors found positive relationships between blended learning and the two learning-related variables, while the direct relationship with employee performance was not significant after those pathways were considered. The paper reinforces the view that work outcomes should not be assumed simply because a programme uses more than one delivery mode.</w:t>
      </w:r>
    </w:p>
    <w:p>
      <w:pPr>
        <w:spacing w:after="140" w:line="360"/>
        <w:jc w:val="both"/>
      </w:pPr>
      <w:r>
        <w:rPr>
          <w:rFonts w:ascii="Times New Roman" w:cs="Times New Roman" w:eastAsia="Times New Roman" w:hAnsi="Times New Roman"/>
          <w:b w:val="false"/>
          <w:bCs w:val="false"/>
          <w:sz w:val="24"/>
          <w:szCs w:val="24"/>
        </w:rPr>
        <w:t xml:space="preserve">The present study does not reproduce the Uddin model. Soft-skill development, knowledge acquisition, and employee performance would broaden the model and require additional evidence and questionnaire items. Uddin et al. are used as supporting literature for the workplace relevance of blended learning, while the present study remains focused on programme experience, trainer competence, engagement, and employee-reported training effectiveness.</w:t>
      </w:r>
    </w:p>
    <w:p>
      <w:pPr>
        <w:pStyle w:val="Heading3"/>
        <w:keepNext/>
        <w:spacing w:after="160" w:before="280"/>
      </w:pPr>
      <w:r>
        <w:rPr>
          <w:rFonts w:ascii="Times New Roman" w:cs="Times New Roman" w:eastAsia="Times New Roman" w:hAnsi="Times New Roman"/>
          <w:b/>
          <w:bCs/>
          <w:color w:val="19324A"/>
          <w:sz w:val="25"/>
          <w:szCs w:val="25"/>
        </w:rPr>
        <w:t xml:space="preserve">Trainer Competence in Hybrid Training</w:t>
      </w:r>
    </w:p>
    <w:p>
      <w:pPr>
        <w:spacing w:after="140" w:line="360"/>
        <w:jc w:val="both"/>
      </w:pPr>
      <w:r>
        <w:rPr>
          <w:rFonts w:ascii="Times New Roman" w:cs="Times New Roman" w:eastAsia="Times New Roman" w:hAnsi="Times New Roman"/>
          <w:b w:val="false"/>
          <w:bCs w:val="false"/>
          <w:sz w:val="24"/>
          <w:szCs w:val="24"/>
        </w:rPr>
        <w:t xml:space="preserve">Trainer competence is particularly important when a programme is spread across digital and face-to-face activity. Employees may need a trainer who can explain the subject clearly, connect an online module with a later session, use relevant digital tools, invite questions, and provide useful feedback. Without this support, an employee may complete the required activity without understanding how it relates to a current work responsibility.</w:t>
      </w:r>
    </w:p>
    <w:p>
      <w:pPr>
        <w:spacing w:after="140" w:line="360"/>
        <w:jc w:val="both"/>
      </w:pPr>
      <w:r>
        <w:rPr>
          <w:rFonts w:ascii="Times New Roman" w:cs="Times New Roman" w:eastAsia="Times New Roman" w:hAnsi="Times New Roman"/>
          <w:b w:val="false"/>
          <w:bCs w:val="false"/>
          <w:sz w:val="24"/>
          <w:szCs w:val="24"/>
        </w:rPr>
        <w:t xml:space="preserve">Trainer competence should not be confused with the technical quality of an LMS. A platform may work well, yet a trainer may not explain the connection between its content and the learning objective. Similarly, a knowledgeable trainer may find it difficult to support learners if the material is inaccessible. These are related conditions, but they are not the same condition. The present study therefore treats Hybrid Learning and Trainer Competence as separate antecedent constructs.</w:t>
      </w:r>
    </w:p>
    <w:p>
      <w:pPr>
        <w:spacing w:after="140" w:line="360"/>
        <w:jc w:val="both"/>
      </w:pPr>
      <w:r>
        <w:rPr>
          <w:rFonts w:ascii="Times New Roman" w:cs="Times New Roman" w:eastAsia="Times New Roman" w:hAnsi="Times New Roman"/>
          <w:b w:val="false"/>
          <w:bCs w:val="false"/>
          <w:sz w:val="24"/>
          <w:szCs w:val="24"/>
        </w:rPr>
        <w:t xml:space="preserve">The selected base papers do not provide one open workplace study that measures Trainer Competence and Learner Engagement together in the exact present model. This limitation is stated openly. Kim (2022) identifies instructor engagement, training design, participation, and practice as relevant to corporate training effectiveness. Mulaudzi (2021) discusses access, facilitation, material use, and practical barriers in workplace blended learning. Ansari et al. (2023) show, in a university setting, that blended-learning training was associated with improved lecturer and student competence and satisfaction. The population differs from the present study, but the paper supports the practical view that facilitation across digital and face-to-face modes requires competence rather than mere availability of technology.</w:t>
      </w:r>
    </w:p>
    <w:p>
      <w:pPr>
        <w:spacing w:after="140" w:line="360"/>
        <w:jc w:val="both"/>
      </w:pPr>
      <w:r>
        <w:rPr>
          <w:rFonts w:ascii="Times New Roman" w:cs="Times New Roman" w:eastAsia="Times New Roman" w:hAnsi="Times New Roman"/>
          <w:b w:val="false"/>
          <w:bCs w:val="false"/>
          <w:sz w:val="24"/>
          <w:szCs w:val="24"/>
        </w:rPr>
        <w:t xml:space="preserve">These studies do not prove the present hypotheses. They provide a reasoned basis for distinguishing what the trainer does from how the employee participates. In the questionnaire, Trainer Competence covers subject knowledge, clarity, digital facilitation, connection of activities, participation support, and feedback. Learner Engagement covers attention, effort, participation, involvement, clarification-seeking, and interest. This distinction prevents a favourable view of the trainer from being treated as the same thing as the employee’s own active involvement in learning.</w:t>
      </w:r>
    </w:p>
    <w:p>
      <w:pPr>
        <w:pStyle w:val="Heading3"/>
        <w:keepNext/>
        <w:spacing w:after="160" w:before="280"/>
      </w:pPr>
      <w:r>
        <w:rPr>
          <w:rFonts w:ascii="Times New Roman" w:cs="Times New Roman" w:eastAsia="Times New Roman" w:hAnsi="Times New Roman"/>
          <w:b/>
          <w:bCs/>
          <w:color w:val="19324A"/>
          <w:sz w:val="25"/>
          <w:szCs w:val="25"/>
        </w:rPr>
        <w:t xml:space="preserve">Learner Engagement</w:t>
      </w:r>
    </w:p>
    <w:p>
      <w:pPr>
        <w:spacing w:after="140" w:line="360"/>
        <w:jc w:val="both"/>
      </w:pPr>
      <w:r>
        <w:rPr>
          <w:rFonts w:ascii="Times New Roman" w:cs="Times New Roman" w:eastAsia="Times New Roman" w:hAnsi="Times New Roman"/>
          <w:b w:val="false"/>
          <w:bCs w:val="false"/>
          <w:sz w:val="24"/>
          <w:szCs w:val="24"/>
        </w:rPr>
        <w:t xml:space="preserve">Learner engagement refers to active involvement in the learning process. It may include attention, effort, persistence, participation, interest, and a willingness to seek clarification. Engagement is different from attendance. An employee may sit through a session, log into a platform, or appear as having completed a module without making a serious effort to understand the material. For a programme that deals with changing procedures or work practices, completion alone is therefore an incomplete indication of learning.</w:t>
      </w:r>
    </w:p>
    <w:p>
      <w:pPr>
        <w:spacing w:after="140" w:line="360"/>
        <w:jc w:val="both"/>
      </w:pPr>
      <w:r>
        <w:rPr>
          <w:rFonts w:ascii="Times New Roman" w:cs="Times New Roman" w:eastAsia="Times New Roman" w:hAnsi="Times New Roman"/>
          <w:b w:val="false"/>
          <w:bCs w:val="false"/>
          <w:sz w:val="24"/>
          <w:szCs w:val="24"/>
        </w:rPr>
        <w:t xml:space="preserve">Schaufeli, Bakker and Salanova (2006) describe engagement in the work context through vigour, dedication, and absorption. The present study does not transfer their work-engagement scale directly to training. It uses the broader principle that engagement involves active effort and involvement. Employees are asked whether they stayed attentive, made an effort to understand, participated in activities, felt involved, sought clarification, and remained interested in completing the selected programme.</w:t>
      </w:r>
    </w:p>
    <w:p>
      <w:pPr>
        <w:spacing w:after="140" w:line="360"/>
        <w:jc w:val="both"/>
      </w:pPr>
      <w:r>
        <w:rPr>
          <w:rFonts w:ascii="Times New Roman" w:cs="Times New Roman" w:eastAsia="Times New Roman" w:hAnsi="Times New Roman"/>
          <w:b w:val="false"/>
          <w:bCs w:val="false"/>
          <w:sz w:val="24"/>
          <w:szCs w:val="24"/>
        </w:rPr>
        <w:t xml:space="preserve">Learner Engagement is placed between the antecedent constructs and Training Effectiveness for a practical reason. A connected programme and a competent trainer may create better conditions for learning, but employees still need to invest attention and effort. When employees take part in discussion or practice, ask questions, and relate content to their work, they may be better able to understand why a procedure matters and how it can be used. The study does not claim that engagement is a proven mediator. It treats engagement as an intervening construct and tests its reported relationships with the antecedents and outcome.</w:t>
      </w:r>
    </w:p>
    <w:p>
      <w:pPr>
        <w:pStyle w:val="Heading3"/>
        <w:keepNext/>
        <w:spacing w:after="160" w:before="280"/>
      </w:pPr>
      <w:r>
        <w:rPr>
          <w:rFonts w:ascii="Times New Roman" w:cs="Times New Roman" w:eastAsia="Times New Roman" w:hAnsi="Times New Roman"/>
          <w:b/>
          <w:bCs/>
          <w:color w:val="19324A"/>
          <w:sz w:val="25"/>
          <w:szCs w:val="25"/>
        </w:rPr>
        <w:t xml:space="preserve">Training Effectiveness</w:t>
      </w:r>
    </w:p>
    <w:p>
      <w:pPr>
        <w:spacing w:after="140" w:line="360"/>
        <w:jc w:val="both"/>
      </w:pPr>
      <w:r>
        <w:rPr>
          <w:rFonts w:ascii="Times New Roman" w:cs="Times New Roman" w:eastAsia="Times New Roman" w:hAnsi="Times New Roman"/>
          <w:b w:val="false"/>
          <w:bCs w:val="false"/>
          <w:sz w:val="24"/>
          <w:szCs w:val="24"/>
        </w:rPr>
        <w:t xml:space="preserve">Training Effectiveness can be understood at different levels. Kirkpatrick’s framework distinguishes reaction, learning, behaviour, and results. This is useful because it shows why a positive immediate reaction is not enough to establish that training was effective. Employees may enjoy a session but fail to understand the material. They may understand the material but lack an opportunity to use it. They may apply a skill but be unable to identify an organisation-level result.</w:t>
      </w:r>
    </w:p>
    <w:p>
      <w:pPr>
        <w:spacing w:after="140" w:line="360"/>
        <w:jc w:val="both"/>
      </w:pPr>
      <w:r>
        <w:rPr>
          <w:rFonts w:ascii="Times New Roman" w:cs="Times New Roman" w:eastAsia="Times New Roman" w:hAnsi="Times New Roman"/>
          <w:b w:val="false"/>
          <w:bCs w:val="false"/>
          <w:sz w:val="24"/>
          <w:szCs w:val="24"/>
        </w:rPr>
        <w:t xml:space="preserve">Bahl, Kiran and Sharma (2024) provide the most relevant banking base paper. Their open-access study used 402 managerial and non-managerial employees from public, private, and foreign-sector banks in India. Using Kirkpatrick’s Reaction, Learning, Behaviour, and Results framework, the study evaluates employee training effectiveness in a banking setting. It does not study Hybrid Learning, Trainer Competence, Learner Engagement, or Union Vidya. Its role in the present study is therefore specific: it confirms that training effectiveness is a substantive and measurable issue among bank employees, while leaving the present four-construct combination unexamined.</w:t>
      </w:r>
    </w:p>
    <w:p>
      <w:pPr>
        <w:spacing w:after="140" w:line="360"/>
        <w:jc w:val="both"/>
      </w:pPr>
      <w:r>
        <w:rPr>
          <w:rFonts w:ascii="Times New Roman" w:cs="Times New Roman" w:eastAsia="Times New Roman" w:hAnsi="Times New Roman"/>
          <w:b w:val="false"/>
          <w:bCs w:val="false"/>
          <w:sz w:val="24"/>
          <w:szCs w:val="24"/>
        </w:rPr>
        <w:t xml:space="preserve">Holton (1996) argues that evaluation levels alone do not explain why learning is or is not transferred to practice. Individual factors, training design, and the work environment can affect later application. Baldwin and Ford (1988) describe transfer as the generalisation and maintenance of learned capability in work situations. Blume et al. (2010) provide meta-analytic evidence that individual characteristics, training design, and work-environment conditions are related to transfer. Together, these sources support a careful employee-level view of training effectiveness.</w:t>
      </w:r>
    </w:p>
    <w:p>
      <w:pPr>
        <w:spacing w:after="140" w:line="360"/>
        <w:jc w:val="both"/>
      </w:pPr>
      <w:r>
        <w:rPr>
          <w:rFonts w:ascii="Times New Roman" w:cs="Times New Roman" w:eastAsia="Times New Roman" w:hAnsi="Times New Roman"/>
          <w:b w:val="false"/>
          <w:bCs w:val="false"/>
          <w:sz w:val="24"/>
          <w:szCs w:val="24"/>
        </w:rPr>
        <w:t xml:space="preserve">In the present study, Training Effectiveness includes understanding the content, seeing its relevance to the current role, feeling capable of using it, applying learning in relevant tasks, dealing with related work problems more effectively, and gaining confidence in responsibilities. The study does not ask employees to judge the Bank’s productivity, customer satisfaction, reputation, or financial results. Those outcomes require organisation-level data and a different design.</w:t>
      </w:r>
    </w:p>
    <w:p>
      <w:pPr>
        <w:spacing w:after="140" w:line="360"/>
        <w:jc w:val="both"/>
      </w:pPr>
      <w:r>
        <w:rPr>
          <w:rFonts w:ascii="Times New Roman" w:cs="Times New Roman" w:eastAsia="Times New Roman" w:hAnsi="Times New Roman"/>
          <w:b w:val="false"/>
          <w:bCs w:val="false"/>
          <w:sz w:val="24"/>
          <w:szCs w:val="24"/>
        </w:rPr>
        <w:t xml:space="preserve">Aziz (2015) developed a General Training Effectiveness Scale for Malaysian workplace learning. The study is useful because it separates learning and individual performance from organisation-level outcomes. The present questionnaire follows this employee-level logic while omitting organisation-level items. It is not presented as Aziz’s scale or as a validated Union Bank instrument. It is a short, literature-informed questionnaire whose content validity and reliability must be checked before findings are interpreted.</w:t>
      </w:r>
    </w:p>
    <w:p>
      <w:pPr>
        <w:pStyle w:val="Heading3"/>
        <w:keepNext/>
        <w:spacing w:after="160" w:before="280"/>
      </w:pPr>
      <w:r>
        <w:rPr>
          <w:rFonts w:ascii="Times New Roman" w:cs="Times New Roman" w:eastAsia="Times New Roman" w:hAnsi="Times New Roman"/>
          <w:b/>
          <w:bCs/>
          <w:color w:val="19324A"/>
          <w:sz w:val="25"/>
          <w:szCs w:val="25"/>
        </w:rPr>
        <w:t xml:space="preserve">Workplace Implementation Conditions</w:t>
      </w:r>
    </w:p>
    <w:p>
      <w:pPr>
        <w:spacing w:after="140" w:line="360"/>
        <w:jc w:val="both"/>
      </w:pPr>
      <w:r>
        <w:rPr>
          <w:rFonts w:ascii="Times New Roman" w:cs="Times New Roman" w:eastAsia="Times New Roman" w:hAnsi="Times New Roman"/>
          <w:b w:val="false"/>
          <w:bCs w:val="false"/>
          <w:sz w:val="24"/>
          <w:szCs w:val="24"/>
        </w:rPr>
        <w:t xml:space="preserve">The literature indicates that hybrid learning should be treated as a learning design, not as a technology purchase. An LMS can make content available, but it cannot decide which material employees need before a session, which issue requires discussion, or when someone needs feedback. Similarly, a classroom session can allow discussion, but it may not give employees an easy way to revisit a policy, procedure, or demonstration later. The quality of the connection between these activities is central to the present Hybrid Learning construct.</w:t>
      </w:r>
    </w:p>
    <w:p>
      <w:pPr>
        <w:spacing w:after="140" w:line="360"/>
        <w:jc w:val="both"/>
      </w:pPr>
      <w:r>
        <w:rPr>
          <w:rFonts w:ascii="Times New Roman" w:cs="Times New Roman" w:eastAsia="Times New Roman" w:hAnsi="Times New Roman"/>
          <w:b w:val="false"/>
          <w:bCs w:val="false"/>
          <w:sz w:val="24"/>
          <w:szCs w:val="24"/>
        </w:rPr>
        <w:t xml:space="preserve">Mubayrik (2018) reviewed workplace blended-learning studies in adult education and identified recurring themes such as flexible access, authentic learning activities, collaboration, learner satisfaction, and support for technology use. The review is useful because it shows that workplace blended learning has been studied through varied populations, measures, and designs. It also explains why a broad claim that hybrid learning is automatically effective would be misleading. The type of work, learning objective, technology, trainer, and opportunity to participate can all shape an employee’s experience.</w:t>
      </w:r>
    </w:p>
    <w:p>
      <w:pPr>
        <w:spacing w:after="140" w:line="360"/>
        <w:jc w:val="both"/>
      </w:pPr>
      <w:r>
        <w:rPr>
          <w:rFonts w:ascii="Times New Roman" w:cs="Times New Roman" w:eastAsia="Times New Roman" w:hAnsi="Times New Roman"/>
          <w:b w:val="false"/>
          <w:bCs w:val="false"/>
          <w:sz w:val="24"/>
          <w:szCs w:val="24"/>
        </w:rPr>
        <w:t xml:space="preserve">Learning sequence is especially relevant in a workplace. In some programmes, a digital activity may introduce terminology, policy content, background information, or a short demonstration before a trainer-led session. The later session can then focus on questions, case analysis, problem solving, and practice. In other programmes, a trainer-led session may introduce a complex issue and digital material may be used later for revision or a knowledge check. The present study does not test which sequence is best. It asks whether employees experienced the modes as connected and whether the platform and material were accessible when needed.</w:t>
      </w:r>
    </w:p>
    <w:p>
      <w:pPr>
        <w:spacing w:after="140" w:line="360"/>
        <w:jc w:val="both"/>
      </w:pPr>
      <w:r>
        <w:rPr>
          <w:rFonts w:ascii="Times New Roman" w:cs="Times New Roman" w:eastAsia="Times New Roman" w:hAnsi="Times New Roman"/>
          <w:b w:val="false"/>
          <w:bCs w:val="false"/>
          <w:sz w:val="24"/>
          <w:szCs w:val="24"/>
        </w:rPr>
        <w:t xml:space="preserve">A practical learning sequence can be understood as digital preparation, trainer-led engagement and practice, workplace application, and digital reinforcement. This is an illustrative design principle, not a second research model or an additional questionnaire section. It is useful because it gives every activity a clear role and helps employees see how learning can be used beyond the session.</w:t>
      </w:r>
    </w:p>
    <w:p>
      <w:pPr>
        <w:pStyle w:val="Heading3"/>
        <w:keepNext/>
        <w:spacing w:after="160" w:before="280"/>
      </w:pPr>
      <w:r>
        <w:rPr>
          <w:rFonts w:ascii="Times New Roman" w:cs="Times New Roman" w:eastAsia="Times New Roman" w:hAnsi="Times New Roman"/>
          <w:b/>
          <w:bCs/>
          <w:color w:val="19324A"/>
          <w:sz w:val="25"/>
          <w:szCs w:val="25"/>
        </w:rPr>
        <w:t xml:space="preserve">Use of the Literature in Practical Recommendations</w:t>
      </w:r>
    </w:p>
    <w:p>
      <w:pPr>
        <w:spacing w:after="140" w:line="360"/>
        <w:jc w:val="both"/>
      </w:pPr>
      <w:r>
        <w:rPr>
          <w:rFonts w:ascii="Times New Roman" w:cs="Times New Roman" w:eastAsia="Times New Roman" w:hAnsi="Times New Roman"/>
          <w:b w:val="false"/>
          <w:bCs w:val="false"/>
          <w:sz w:val="24"/>
          <w:szCs w:val="24"/>
        </w:rPr>
        <w:t xml:space="preserve">The reviewed literature can guide recommendations after the survey findings are available, but it cannot predetermine those recommendations. If employees report lower Hybrid Learning scores for access or material availability, the Bank may need to review the timing and availability of digital resources. If Trainer Competence is lower for explaining the connection between modes or giving feedback, trainer preparation may need attention. If engagement is lower for participation or clarification-seeking, programme design may need to provide more opportunities for questions, practice, and follow-up.</w:t>
      </w:r>
    </w:p>
    <w:p>
      <w:pPr>
        <w:spacing w:after="140" w:line="360"/>
        <w:jc w:val="both"/>
      </w:pPr>
      <w:r>
        <w:rPr>
          <w:rFonts w:ascii="Times New Roman" w:cs="Times New Roman" w:eastAsia="Times New Roman" w:hAnsi="Times New Roman"/>
          <w:b w:val="false"/>
          <w:bCs w:val="false"/>
          <w:sz w:val="24"/>
          <w:szCs w:val="24"/>
        </w:rPr>
        <w:t xml:space="preserve">These are possible areas for interpretation, not conclusions in advance. A cross-sectional survey will show how selected employees report one recent programme. It will not establish that a particular LMS feature, trainer action, or learning sequence caused a later improvement. The literature provides a sound framework for interpreting employee feedback and considering practical improvements after the completed data are analysed.</w:t>
      </w:r>
    </w:p>
    <w:p>
      <w:pPr>
        <w:pStyle w:val="Heading3"/>
        <w:keepNext/>
        <w:spacing w:after="160" w:before="280"/>
      </w:pPr>
      <w:r>
        <w:rPr>
          <w:rFonts w:ascii="Times New Roman" w:cs="Times New Roman" w:eastAsia="Times New Roman" w:hAnsi="Times New Roman"/>
          <w:b/>
          <w:bCs/>
          <w:color w:val="19324A"/>
          <w:sz w:val="25"/>
          <w:szCs w:val="25"/>
        </w:rPr>
        <w:t xml:space="preserve">Summary of the Empirical Review</w:t>
      </w:r>
    </w:p>
    <w:p>
      <w:pPr>
        <w:spacing w:after="140" w:line="360"/>
        <w:jc w:val="both"/>
      </w:pPr>
      <w:r>
        <w:rPr>
          <w:rFonts w:ascii="Times New Roman" w:cs="Times New Roman" w:eastAsia="Times New Roman" w:hAnsi="Times New Roman"/>
          <w:b w:val="false"/>
          <w:bCs w:val="false"/>
          <w:sz w:val="24"/>
          <w:szCs w:val="24"/>
        </w:rPr>
        <w:t xml:space="preserve">The literature supports the study while also showing its limits. Sosnova et al. (2025) provide a conceptual hybrid-learning and effectiveness link in higher education. Kim (2022) shows why corporate hybrid training should be evaluated through programme design, instructor involvement, practice, and employee outcomes. Bahl, Kiran and Sharma (2024) establish the relevance of training-effectiveness evaluation among Indian bank employees. Han and Ellis (2020), Mulaudzi (2021), and Aziz (2015) support the structure and workplace wording of the present questionnaire.</w:t>
      </w:r>
    </w:p>
    <w:p>
      <w:pPr>
        <w:spacing w:after="140" w:line="360"/>
        <w:jc w:val="both"/>
      </w:pPr>
      <w:r>
        <w:rPr>
          <w:rFonts w:ascii="Times New Roman" w:cs="Times New Roman" w:eastAsia="Times New Roman" w:hAnsi="Times New Roman"/>
          <w:b w:val="false"/>
          <w:bCs w:val="false"/>
          <w:sz w:val="24"/>
          <w:szCs w:val="24"/>
        </w:rPr>
        <w:t xml:space="preserve">No single source provides a ready-made questionnaire or the complete present model for Union Bank employees. The study therefore combines complementary evidence in a transparent way. It adapts the ideas to a focused employee-perception survey, documents the basis of the questionnaire, and limits conclusions to reported relationships in the selected sample.</w:t>
      </w:r>
    </w:p>
    <w:p>
      <w:pPr>
        <w:pStyle w:val="Heading3"/>
        <w:keepNext/>
        <w:spacing w:after="160" w:before="280"/>
      </w:pPr>
      <w:r>
        <w:rPr>
          <w:rFonts w:ascii="Times New Roman" w:cs="Times New Roman" w:eastAsia="Times New Roman" w:hAnsi="Times New Roman"/>
          <w:b/>
          <w:bCs/>
          <w:color w:val="19324A"/>
          <w:sz w:val="25"/>
          <w:szCs w:val="25"/>
        </w:rPr>
        <w:t xml:space="preserve">Literature Summary</w:t>
      </w:r>
    </w:p>
    <w:p>
      <w:pPr>
        <w:spacing w:after="140" w:line="360"/>
        <w:jc w:val="left"/>
      </w:pPr>
      <w:r>
        <w:rPr>
          <w:rFonts w:ascii="Times New Roman" w:cs="Times New Roman" w:eastAsia="Times New Roman" w:hAnsi="Times New Roman"/>
          <w:b/>
          <w:bCs/>
          <w:sz w:val="24"/>
          <w:szCs w:val="24"/>
        </w:rPr>
        <w:t xml:space="preserve">Table 2.1: Literature supporting the present study</w:t>
      </w:r>
    </w:p>
    <w:tbl>
      <w:tblPr>
        <w:tblW w:type="dxa" w:w="9000"/>
        <w:tblBorders>
          <w:top w:val="single" w:color="19324A" w:sz="4"/>
          <w:left w:val="single" w:color="19324A" w:sz="4"/>
          <w:bottom w:val="single" w:color="19324A" w:sz="4"/>
          <w:right w:val="single" w:color="19324A" w:sz="4"/>
          <w:insideH w:val="single" w:color="9EADBA" w:sz="2"/>
          <w:insideV w:val="single" w:color="9EADBA" w:sz="2"/>
        </w:tblBorders>
      </w:tblPr>
      <w:tblGrid>
        <w:gridCol w:w="3000"/>
        <w:gridCol w:w="3000"/>
        <w:gridCol w:w="3000"/>
      </w:tblGrid>
      <w:tr>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Study</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Context and contribution</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Use in the present study</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Sosnova et al. (2025)</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Hybrid education experiment with higher-education students; examines learning effectiveness.</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Conceptual anchor for examining Hybrid Learning and learning effectiveness.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Kim (2022)</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Corporate automotive sales-training study comparing delivery methods.</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Corporate evidence on training design, instructor involvement, participation, and Training Effectiveness.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Bahl, Kiran and Sharma (2024)</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Open Indian banking study of 402 employees using Kirkpatrick’s framework.</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Banking-sector anchor for employee-level Training Effectiveness.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Han and Ellis (2020)</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Validated blended-learning-environment instrument in higher education.</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Supports the structure of Hybrid Learning items, adapted for the workplace.</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Mulaudzi (2021)</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Workplace blended-learning study in the transport sector.</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Supports workplace wording on access, materials, flexibility, and facilitation.</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Aziz (2015)</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Workplace training-effectiveness scale development.</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Supports employee-level learning, relevance, and application items.</w:t>
            </w:r>
          </w:p>
        </w:tc>
      </w:tr>
    </w:tbl>
    <w:p>
      <w:pPr>
        <w:spacing w:after="120"/>
      </w:pPr>
    </w:p>
    <w:p>
      <w:pPr>
        <w:pStyle w:val="Heading2"/>
        <w:keepNext/>
        <w:spacing w:after="160" w:before="280"/>
      </w:pPr>
      <w:r>
        <w:rPr>
          <w:rFonts w:ascii="Times New Roman" w:cs="Times New Roman" w:eastAsia="Times New Roman" w:hAnsi="Times New Roman"/>
          <w:b/>
          <w:bCs/>
          <w:color w:val="19324A"/>
          <w:sz w:val="27"/>
          <w:szCs w:val="27"/>
        </w:rPr>
        <w:t xml:space="preserve">2.2 Theoretical Framework</w:t>
      </w:r>
    </w:p>
    <w:p>
      <w:pPr>
        <w:pStyle w:val="Heading3"/>
        <w:keepNext/>
        <w:spacing w:after="160" w:before="280"/>
      </w:pPr>
      <w:r>
        <w:rPr>
          <w:rFonts w:ascii="Times New Roman" w:cs="Times New Roman" w:eastAsia="Times New Roman" w:hAnsi="Times New Roman"/>
          <w:b/>
          <w:bCs/>
          <w:color w:val="19324A"/>
          <w:sz w:val="25"/>
          <w:szCs w:val="25"/>
        </w:rPr>
        <w:t xml:space="preserve">Blended-Learning Integration</w:t>
      </w:r>
    </w:p>
    <w:p>
      <w:pPr>
        <w:spacing w:after="140" w:line="360"/>
        <w:jc w:val="both"/>
      </w:pPr>
      <w:r>
        <w:rPr>
          <w:rFonts w:ascii="Times New Roman" w:cs="Times New Roman" w:eastAsia="Times New Roman" w:hAnsi="Times New Roman"/>
          <w:b w:val="false"/>
          <w:bCs w:val="false"/>
          <w:sz w:val="24"/>
          <w:szCs w:val="24"/>
        </w:rPr>
        <w:t xml:space="preserve">The first theoretical perspective is that Hybrid Learning works through the meaningful integration of learning modes. Garrison and Kanuka (2004) and Graham (2006) provide the conceptual basis for this view. A programme should not ask employees to complete digital work and attend a session without explaining the relationship between them. When learning activities have a clear sequence, employees may be more likely to understand the purpose of the programme and participate actively.</w:t>
      </w:r>
    </w:p>
    <w:p>
      <w:pPr>
        <w:pStyle w:val="Heading3"/>
        <w:keepNext/>
        <w:spacing w:after="160" w:before="280"/>
      </w:pPr>
      <w:r>
        <w:rPr>
          <w:rFonts w:ascii="Times New Roman" w:cs="Times New Roman" w:eastAsia="Times New Roman" w:hAnsi="Times New Roman"/>
          <w:b/>
          <w:bCs/>
          <w:color w:val="19324A"/>
          <w:sz w:val="25"/>
          <w:szCs w:val="25"/>
        </w:rPr>
        <w:t xml:space="preserve">Trainer-Supported Learner Engagement</w:t>
      </w:r>
    </w:p>
    <w:p>
      <w:pPr>
        <w:spacing w:after="140" w:line="360"/>
        <w:jc w:val="both"/>
      </w:pPr>
      <w:r>
        <w:rPr>
          <w:rFonts w:ascii="Times New Roman" w:cs="Times New Roman" w:eastAsia="Times New Roman" w:hAnsi="Times New Roman"/>
          <w:b w:val="false"/>
          <w:bCs w:val="false"/>
          <w:sz w:val="24"/>
          <w:szCs w:val="24"/>
        </w:rPr>
        <w:t xml:space="preserve">The second perspective is that trainer support may create better conditions for engagement. Kim (2022) highlights instructor engagement in corporate training, while Ansari et al. (2023) and Mulaudzi (2021) provide additional evidence that facilitation and access conditions matter when learning is distributed across digital and face-to-face modes. A trainer cannot guarantee engagement, because the employee must still invest attention and effort. However, clear explanation, opportunities to participate, and useful feedback may make active involvement more likely.</w:t>
      </w:r>
    </w:p>
    <w:p>
      <w:pPr>
        <w:pStyle w:val="Heading3"/>
        <w:keepNext/>
        <w:spacing w:after="160" w:before="280"/>
      </w:pPr>
      <w:r>
        <w:rPr>
          <w:rFonts w:ascii="Times New Roman" w:cs="Times New Roman" w:eastAsia="Times New Roman" w:hAnsi="Times New Roman"/>
          <w:b/>
          <w:bCs/>
          <w:color w:val="19324A"/>
          <w:sz w:val="25"/>
          <w:szCs w:val="25"/>
        </w:rPr>
        <w:t xml:space="preserve">Training Evaluation and Transfer</w:t>
      </w:r>
    </w:p>
    <w:p>
      <w:pPr>
        <w:spacing w:after="140" w:line="360"/>
        <w:jc w:val="both"/>
      </w:pPr>
      <w:r>
        <w:rPr>
          <w:rFonts w:ascii="Times New Roman" w:cs="Times New Roman" w:eastAsia="Times New Roman" w:hAnsi="Times New Roman"/>
          <w:b w:val="false"/>
          <w:bCs w:val="false"/>
          <w:sz w:val="24"/>
          <w:szCs w:val="24"/>
        </w:rPr>
        <w:t xml:space="preserve">The third perspective is drawn from training evaluation and transfer literature. Kirkpatrick (1994) explains why evaluation should move beyond immediate reaction. Holton (1996), Baldwin and Ford (1988), and Blume et al. (2010) show that learning and later application are affected by individual, design, and environmental conditions. The present study does not measure organisation-level results. It examines employees’ own perception that learning was understandable, relevant, useful, and applicable in their current role.</w:t>
      </w:r>
    </w:p>
    <w:p>
      <w:r>
        <w:br w:type="page"/>
      </w:r>
    </w:p>
    <w:p>
      <w:pPr>
        <w:pStyle w:val="Heading3"/>
        <w:keepNext/>
        <w:spacing w:after="160" w:before="280"/>
      </w:pPr>
      <w:r>
        <w:rPr>
          <w:rFonts w:ascii="Times New Roman" w:cs="Times New Roman" w:eastAsia="Times New Roman" w:hAnsi="Times New Roman"/>
          <w:b/>
          <w:bCs/>
          <w:color w:val="19324A"/>
          <w:sz w:val="25"/>
          <w:szCs w:val="25"/>
        </w:rPr>
        <w:t xml:space="preserve">Conceptual Framework</w:t>
      </w:r>
    </w:p>
    <w:p>
      <w:pPr>
        <w:spacing w:after="140" w:before="120"/>
        <w:jc w:val="center"/>
      </w:pPr>
      <w:r>
        <w:rPr>
          <w:rFonts w:ascii="Times New Roman" w:cs="Times New Roman" w:eastAsia="Times New Roman" w:hAnsi="Times New Roman"/>
          <w:b/>
          <w:bCs/>
          <w:color w:val="000000"/>
          <w:sz w:val="22"/>
          <w:szCs w:val="22"/>
        </w:rPr>
        <w:t xml:space="preserve">Figure 2.1: Research Conceptual Framework</w:t>
      </w:r>
    </w:p>
    <w:p>
      <w:pPr>
        <w:spacing w:after="180"/>
        <w:jc w:val="center"/>
      </w:pPr>
      <w:r>
        <w:drawing>
          <wp:inline distT="0" distB="0" distL="0" distR="0">
            <wp:extent cx="4953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733550"/>
                    </a:xfrm>
                    <a:prstGeom prst="rect">
                      <a:avLst/>
                    </a:prstGeom>
                  </pic:spPr>
                </pic:pic>
              </a:graphicData>
            </a:graphic>
          </wp:inline>
        </w:drawing>
      </w:r>
    </w:p>
    <w:p>
      <w:pPr>
        <w:spacing w:after="140" w:line="360"/>
        <w:jc w:val="both"/>
      </w:pPr>
      <w:r>
        <w:rPr>
          <w:rFonts w:ascii="Times New Roman" w:cs="Times New Roman" w:eastAsia="Times New Roman" w:hAnsi="Times New Roman"/>
          <w:b w:val="false"/>
          <w:bCs w:val="false"/>
          <w:sz w:val="24"/>
          <w:szCs w:val="24"/>
        </w:rPr>
        <w:t xml:space="preserve">The theoretical perspectives support the following framework:</w:t>
      </w:r>
    </w:p>
    <w:p>
      <w:pPr>
        <w:spacing w:after="140"/>
        <w:jc w:val="center"/>
      </w:pPr>
      <w:r>
        <w:rPr>
          <w:rFonts w:ascii="Times New Roman" w:cs="Times New Roman" w:eastAsia="Times New Roman" w:hAnsi="Times New Roman"/>
          <w:sz w:val="22"/>
          <w:szCs w:val="22"/>
        </w:rPr>
        <w:t xml:space="preserve">Hybrid Learning ─┐</w:t>
      </w:r>
    </w:p>
    <w:p>
      <w:pPr>
        <w:spacing w:after="140"/>
        <w:jc w:val="center"/>
      </w:pPr>
      <w:r>
        <w:rPr>
          <w:rFonts w:ascii="Times New Roman" w:cs="Times New Roman" w:eastAsia="Times New Roman" w:hAnsi="Times New Roman"/>
          <w:sz w:val="22"/>
          <w:szCs w:val="22"/>
        </w:rPr>
        <w:t xml:space="preserve">├──→ Learner Engagement ───→ Training Effectiveness</w:t>
      </w:r>
    </w:p>
    <w:p>
      <w:pPr>
        <w:spacing w:after="140"/>
        <w:jc w:val="center"/>
      </w:pPr>
      <w:r>
        <w:rPr>
          <w:rFonts w:ascii="Times New Roman" w:cs="Times New Roman" w:eastAsia="Times New Roman" w:hAnsi="Times New Roman"/>
          <w:sz w:val="22"/>
          <w:szCs w:val="22"/>
        </w:rPr>
        <w:t xml:space="preserve">Trainer Competence ┘</w:t>
      </w:r>
    </w:p>
    <w:p>
      <w:pPr>
        <w:spacing w:after="140" w:line="360"/>
        <w:jc w:val="both"/>
      </w:pPr>
      <w:r>
        <w:rPr>
          <w:rFonts w:ascii="Times New Roman" w:cs="Times New Roman" w:eastAsia="Times New Roman" w:hAnsi="Times New Roman"/>
          <w:b w:val="false"/>
          <w:bCs w:val="false"/>
          <w:sz w:val="24"/>
          <w:szCs w:val="24"/>
        </w:rPr>
        <w:t xml:space="preserve">Hybrid Learning and Trainer Competence are expected to be positively related to Learner Engagement. Learner Engagement is expected to be positively related to Training Effectiveness. The arrows represent relationship hypotheses, not proof that one construct causes another. The study uses correlations and regression models suitable for a cross-sectional self-report survey.</w:t>
      </w:r>
    </w:p>
    <w:p>
      <w:pPr>
        <w:pStyle w:val="Heading2"/>
        <w:keepNext/>
        <w:spacing w:after="160" w:before="280"/>
      </w:pPr>
      <w:r>
        <w:rPr>
          <w:rFonts w:ascii="Times New Roman" w:cs="Times New Roman" w:eastAsia="Times New Roman" w:hAnsi="Times New Roman"/>
          <w:b/>
          <w:bCs/>
          <w:color w:val="19324A"/>
          <w:sz w:val="27"/>
          <w:szCs w:val="27"/>
        </w:rPr>
        <w:t xml:space="preserve">2.3 Case Study: Union Bank of India</w:t>
      </w:r>
    </w:p>
    <w:p>
      <w:pPr>
        <w:spacing w:after="140" w:line="360"/>
        <w:jc w:val="both"/>
      </w:pPr>
      <w:r>
        <w:rPr>
          <w:rFonts w:ascii="Times New Roman" w:cs="Times New Roman" w:eastAsia="Times New Roman" w:hAnsi="Times New Roman"/>
          <w:b w:val="false"/>
          <w:bCs w:val="false"/>
          <w:sz w:val="24"/>
          <w:szCs w:val="24"/>
        </w:rPr>
        <w:t xml:space="preserve">The study is situated at Union Bank of India, with planned data collection among employees connected with Regional Office Chennai South. Bank employees may need current knowledge of products, procedures, compliance requirements, risk controls, digital systems, and customer-service practices. Training is therefore relevant to employee development as well as the consistent delivery of work.</w:t>
      </w:r>
    </w:p>
    <w:p>
      <w:pPr>
        <w:spacing w:after="140" w:line="360"/>
        <w:jc w:val="both"/>
      </w:pPr>
      <w:r>
        <w:rPr>
          <w:rFonts w:ascii="Times New Roman" w:cs="Times New Roman" w:eastAsia="Times New Roman" w:hAnsi="Times New Roman"/>
          <w:b w:val="false"/>
          <w:bCs w:val="false"/>
          <w:sz w:val="24"/>
          <w:szCs w:val="24"/>
        </w:rPr>
        <w:t xml:space="preserve">Union Bank’s annual reports describe a broad Learning and Development system. The 2023–24 report records the launch of Union Vidya as the Bank’s LMS and identifies digital resources and virtual workshops available through the platform. It also records classroom and locational training delivered through the wider training system. The 2024–25 report describes a Master Policy on Learning and Development that includes e-learning, virtual training, and staggered programmes. It reports ten mandatory e-learning modules for officers, role-based training, and the Training Management System in Union Vidya as a one-stop digital platform (Union Bank of India, 2024, 2025).</w:t>
      </w:r>
    </w:p>
    <w:p>
      <w:r>
        <w:t>The Bank launched nine Union Learning Academies in 2022 as specialised Learning and Development Centres of Excellence (Union Bank of India, 2022). A 9 September 2026 internal staff circular further states that selected classroom sessions conducted through Union Learning Academies and Zonal Learning Centres may be live-streamed through Microsoft Teams. The circular states that schedules and recordings are available through Union Vidya and that virtual participants can raise questions through Teams chat (Union Bank of India, 2026). This is direct organisational evidence of a delivery arrangement that can connect trainer-led and digital access.</w:t>
      </w:r>
    </w:p>
    <w:p>
      <w:pPr>
        <w:spacing w:after="140" w:line="360"/>
        <w:jc w:val="both"/>
      </w:pPr>
      <w:r>
        <w:rPr>
          <w:rFonts w:ascii="Times New Roman" w:cs="Times New Roman" w:eastAsia="Times New Roman" w:hAnsi="Times New Roman"/>
          <w:b w:val="false"/>
          <w:bCs w:val="false"/>
          <w:sz w:val="24"/>
          <w:szCs w:val="24"/>
        </w:rPr>
        <w:t xml:space="preserve">This documented infrastructure explains why Union Bank is a suitable setting for the present study. It shows that the organisation has digital-learning resources and trainer-led learning arrangements from which a connected hybrid programme may be designed. It does not establish that every employee has the same experience, every programme uses the same design, or digital resources are equally accessible in every setting. The survey addresses this employee-level question by asking eligible respondents about one specific recent programme that included both modes.</w:t>
      </w:r>
    </w:p>
    <w:p>
      <w:pPr>
        <w:spacing w:after="140" w:line="360"/>
        <w:jc w:val="both"/>
      </w:pPr>
      <w:r>
        <w:rPr>
          <w:rFonts w:ascii="Times New Roman" w:cs="Times New Roman" w:eastAsia="Times New Roman" w:hAnsi="Times New Roman"/>
          <w:b w:val="false"/>
          <w:bCs w:val="false"/>
          <w:sz w:val="24"/>
          <w:szCs w:val="24"/>
        </w:rPr>
        <w:t xml:space="preserve">The case study is deliberately limited to actual employee experience. Respondents are not asked to judge the complete training system or compare several programmes from memory. The questionnaire avoids collecting customer information, internal system records, confidential details, or Bank-wide performance data.</w:t>
      </w:r>
    </w:p>
    <w:p>
      <w:pPr>
        <w:pStyle w:val="Heading2"/>
        <w:keepNext/>
        <w:spacing w:after="160" w:before="280"/>
      </w:pPr>
      <w:r>
        <w:rPr>
          <w:rFonts w:ascii="Times New Roman" w:cs="Times New Roman" w:eastAsia="Times New Roman" w:hAnsi="Times New Roman"/>
          <w:b/>
          <w:bCs/>
          <w:color w:val="19324A"/>
          <w:sz w:val="27"/>
          <w:szCs w:val="27"/>
        </w:rPr>
        <w:t xml:space="preserve">2.4 Gaps in the Study</w:t>
      </w:r>
    </w:p>
    <w:p>
      <w:pPr>
        <w:spacing w:after="140" w:line="360"/>
        <w:jc w:val="both"/>
      </w:pPr>
      <w:r>
        <w:rPr>
          <w:rFonts w:ascii="Times New Roman" w:cs="Times New Roman" w:eastAsia="Times New Roman" w:hAnsi="Times New Roman"/>
          <w:b w:val="false"/>
          <w:bCs w:val="false"/>
          <w:sz w:val="24"/>
          <w:szCs w:val="24"/>
        </w:rPr>
        <w:t xml:space="preserve">The first gap is a workplace-context gap. Important blended-learning literature and measurement scales come from higher education. Employee training occurs alongside job roles, schedules, customer expectations, and work pressures. Corporate studies exist, but direct evidence on how employees experience hybrid training remains less extensive than the education literature.</w:t>
      </w:r>
    </w:p>
    <w:p>
      <w:pPr>
        <w:spacing w:after="140" w:line="360"/>
        <w:jc w:val="both"/>
      </w:pPr>
      <w:r>
        <w:rPr>
          <w:rFonts w:ascii="Times New Roman" w:cs="Times New Roman" w:eastAsia="Times New Roman" w:hAnsi="Times New Roman"/>
          <w:b w:val="false"/>
          <w:bCs w:val="false"/>
          <w:sz w:val="24"/>
          <w:szCs w:val="24"/>
        </w:rPr>
        <w:t xml:space="preserve">The second gap is a banking-sector gap. Bahl, Kiran and Sharma (2024) show that Training Effectiveness can be evaluated among Indian bank employees, but their study does not examine Hybrid Learning, Trainer Competence, Learner Engagement, or Union Vidya. Union Bank has documented digital-learning infrastructure, yet published organisational material does not show how employees experience the integration of digital and face-to-face learning, trainer support, engagement, and training effectiveness.</w:t>
      </w:r>
    </w:p>
    <w:p>
      <w:pPr>
        <w:spacing w:after="140" w:line="360"/>
        <w:jc w:val="both"/>
      </w:pPr>
      <w:r>
        <w:rPr>
          <w:rFonts w:ascii="Times New Roman" w:cs="Times New Roman" w:eastAsia="Times New Roman" w:hAnsi="Times New Roman"/>
          <w:b w:val="false"/>
          <w:bCs w:val="false"/>
          <w:sz w:val="24"/>
          <w:szCs w:val="24"/>
        </w:rPr>
        <w:t xml:space="preserve">The third gap is a mechanism gap. Sosnova examines hybrid methods and learning effectiveness in education. Kim examines training effectiveness across delivery methods in a corporate setting. Bahl, Kiran and Sharma evaluate training effectiveness in Indian banking through Kirkpatrick’s model. These papers are complementary, but none examines the present focused framework in which Hybrid Learning and Trainer Competence are associated with Learner Engagement and Learner Engagement is associated with employee-level Training Effectiveness in a public-sector bank.</w:t>
      </w:r>
    </w:p>
    <w:p>
      <w:pPr>
        <w:spacing w:after="140" w:line="360"/>
        <w:jc w:val="both"/>
      </w:pPr>
      <w:r>
        <w:t>The fourth gap is a measurement gap. A validated blended-learning environment scale is available in a student setting, while a workplace training-effectiveness scale includes organisation-level outcomes. Neither can be used unchanged for a short survey of Union Bank employees. The present study uses a literature-informed questionnaire that separates programme design, trainer competence, learner engagement, and employee-level training effectiveness. The instrument is reviewed by the academic guide and its internal consistency is assessed using the final survey data; no separate pilot was conducted before data collection.</w:t>
      </w:r>
    </w:p>
    <w:p>
      <w:pPr>
        <w:spacing w:after="140" w:line="360"/>
        <w:jc w:val="both"/>
      </w:pPr>
      <w:r>
        <w:rPr>
          <w:rFonts w:ascii="Times New Roman" w:cs="Times New Roman" w:eastAsia="Times New Roman" w:hAnsi="Times New Roman"/>
          <w:b w:val="false"/>
          <w:bCs w:val="false"/>
          <w:sz w:val="24"/>
          <w:szCs w:val="24"/>
        </w:rPr>
        <w:t xml:space="preserve">These gaps do not mean that no related research exists. They show that evidence at the intersection of hybrid learning, trainer competence, learner engagement, training effectiveness, public-sector banking, and Union Vidya/LMS experience remains limited and fragmented. The present study addresses this focused intersection.</w:t>
      </w:r>
    </w:p>
    <w:p>
      <w:r>
        <w:br w:type="page"/>
      </w:r>
    </w:p>
    <w:p>
      <w:pPr>
        <w:pStyle w:val="Heading1"/>
        <w:keepNext/>
        <w:spacing w:after="160" w:before="0"/>
      </w:pPr>
      <w:r>
        <w:rPr>
          <w:rFonts w:ascii="Times New Roman" w:cs="Times New Roman" w:eastAsia="Times New Roman" w:hAnsi="Times New Roman"/>
          <w:b/>
          <w:bCs/>
          <w:color w:val="19324A"/>
          <w:sz w:val="30"/>
          <w:szCs w:val="30"/>
        </w:rPr>
        <w:t xml:space="preserve">Chapter 3 - Research Methodology</w:t>
      </w:r>
    </w:p>
    <w:p>
      <w:pPr>
        <w:pStyle w:val="Heading2"/>
        <w:keepNext/>
        <w:spacing w:after="160" w:before="280"/>
      </w:pPr>
      <w:r>
        <w:rPr>
          <w:rFonts w:ascii="Times New Roman" w:cs="Times New Roman" w:eastAsia="Times New Roman" w:hAnsi="Times New Roman"/>
          <w:b/>
          <w:bCs/>
          <w:color w:val="19324A"/>
          <w:sz w:val="27"/>
          <w:szCs w:val="27"/>
        </w:rPr>
        <w:t xml:space="preserve">3.1 Objectives of the Study</w:t>
      </w:r>
    </w:p>
    <w:p>
      <w:pPr>
        <w:spacing w:after="140" w:line="360"/>
        <w:jc w:val="both"/>
      </w:pPr>
      <w:r>
        <w:rPr>
          <w:rFonts w:ascii="Times New Roman" w:cs="Times New Roman" w:eastAsia="Times New Roman" w:hAnsi="Times New Roman"/>
          <w:b w:val="false"/>
          <w:bCs w:val="false"/>
          <w:sz w:val="24"/>
          <w:szCs w:val="24"/>
        </w:rPr>
        <w:t xml:space="preserve">The study examines how eligible employees of Union Bank of India experience hybrid training and how this experience is related to trainer competence, learner engagement, and training effectiveness. The focus is practical: employees may use digital resources and attend trainer-led sessions while continuing to manage their normal responsibilities. The study therefore examines how the selected programme was experienced, rather than assuming that the availability of a platform alone makes training effective.</w:t>
      </w:r>
    </w:p>
    <w:p>
      <w:pPr>
        <w:spacing w:after="140" w:line="360"/>
        <w:jc w:val="both"/>
      </w:pPr>
      <w:r>
        <w:rPr>
          <w:rFonts w:ascii="Times New Roman" w:cs="Times New Roman" w:eastAsia="Times New Roman" w:hAnsi="Times New Roman"/>
          <w:b w:val="false"/>
          <w:bCs w:val="false"/>
          <w:sz w:val="24"/>
          <w:szCs w:val="24"/>
        </w:rPr>
        <w:t xml:space="preserve">The primary objective is:</w:t>
      </w:r>
    </w:p>
    <w:p>
      <w:pPr>
        <w:spacing w:after="140" w:line="360"/>
        <w:jc w:val="both"/>
      </w:pPr>
      <w:r>
        <w:rPr>
          <w:rFonts w:ascii="Times New Roman" w:cs="Times New Roman" w:eastAsia="Times New Roman" w:hAnsi="Times New Roman"/>
          <w:b w:val="false"/>
          <w:bCs w:val="false"/>
          <w:sz w:val="24"/>
          <w:szCs w:val="24"/>
        </w:rPr>
        <w:t xml:space="preserve">To examine the relationships among Hybrid Learning, Trainer Competence, Learner Engagement, and Training Effectiveness among employees of Union Bank of India.</w:t>
      </w:r>
    </w:p>
    <w:p>
      <w:pPr>
        <w:spacing w:after="140" w:line="360"/>
        <w:jc w:val="both"/>
      </w:pPr>
      <w:r>
        <w:rPr>
          <w:rFonts w:ascii="Times New Roman" w:cs="Times New Roman" w:eastAsia="Times New Roman" w:hAnsi="Times New Roman"/>
          <w:b w:val="false"/>
          <w:bCs w:val="false"/>
          <w:sz w:val="24"/>
          <w:szCs w:val="24"/>
        </w:rPr>
        <w:t xml:space="preserve">The specific objectives are:</w:t>
      </w:r>
    </w:p>
    <w:p>
      <w:pPr>
        <w:spacing w:after="140" w:line="360"/>
        <w:ind w:left="360" w:hanging="360"/>
        <w:jc w:val="left"/>
      </w:pPr>
      <w:r>
        <w:rPr>
          <w:rFonts w:ascii="Times New Roman" w:cs="Times New Roman" w:eastAsia="Times New Roman" w:hAnsi="Times New Roman"/>
          <w:sz w:val="24"/>
          <w:szCs w:val="24"/>
        </w:rPr>
        <w:t xml:space="preserve">1. To assess employees’ perceptions of Hybrid Learning, Trainer Competence, Learner Engagement, and Training Effectiveness.</w:t>
      </w:r>
    </w:p>
    <w:p>
      <w:pPr>
        <w:spacing w:after="140" w:line="360"/>
        <w:ind w:left="360" w:hanging="360"/>
        <w:jc w:val="left"/>
      </w:pPr>
      <w:r>
        <w:rPr>
          <w:rFonts w:ascii="Times New Roman" w:cs="Times New Roman" w:eastAsia="Times New Roman" w:hAnsi="Times New Roman"/>
          <w:sz w:val="24"/>
          <w:szCs w:val="24"/>
        </w:rPr>
        <w:t xml:space="preserve">2. To examine the relationship of Hybrid Learning and Trainer Competence with Learner Engagement.</w:t>
      </w:r>
    </w:p>
    <w:p>
      <w:pPr>
        <w:spacing w:after="140" w:line="360"/>
        <w:ind w:left="360" w:hanging="360"/>
        <w:jc w:val="left"/>
      </w:pPr>
      <w:r>
        <w:rPr>
          <w:rFonts w:ascii="Times New Roman" w:cs="Times New Roman" w:eastAsia="Times New Roman" w:hAnsi="Times New Roman"/>
          <w:sz w:val="24"/>
          <w:szCs w:val="24"/>
        </w:rPr>
        <w:t xml:space="preserve">3. To examine the relationship between Learner Engagement and Training Effectiveness.</w:t>
      </w:r>
    </w:p>
    <w:p>
      <w:pPr>
        <w:spacing w:after="140" w:line="360"/>
        <w:jc w:val="both"/>
      </w:pPr>
      <w:r>
        <w:rPr>
          <w:rFonts w:ascii="Times New Roman" w:cs="Times New Roman" w:eastAsia="Times New Roman" w:hAnsi="Times New Roman"/>
          <w:b w:val="false"/>
          <w:bCs w:val="false"/>
          <w:sz w:val="24"/>
          <w:szCs w:val="24"/>
        </w:rPr>
        <w:t xml:space="preserve">These objectives follow the four-construct framework developed in Chapter 2. They are expressed as relationships because the study uses a single cross-sectional employee survey. The design can identify patterns in reported perceptions; it cannot establish that one factor caused another.</w:t>
      </w:r>
    </w:p>
    <w:p>
      <w:pPr>
        <w:pStyle w:val="Heading2"/>
        <w:keepNext/>
        <w:spacing w:after="160" w:before="280"/>
      </w:pPr>
      <w:r>
        <w:rPr>
          <w:rFonts w:ascii="Times New Roman" w:cs="Times New Roman" w:eastAsia="Times New Roman" w:hAnsi="Times New Roman"/>
          <w:b/>
          <w:bCs/>
          <w:color w:val="19324A"/>
          <w:sz w:val="27"/>
          <w:szCs w:val="27"/>
        </w:rPr>
        <w:t xml:space="preserve">3.2 Hypotheses of the Study</w:t>
      </w:r>
    </w:p>
    <w:p>
      <w:pPr>
        <w:spacing w:after="140" w:line="360"/>
        <w:jc w:val="both"/>
      </w:pPr>
      <w:r>
        <w:rPr>
          <w:rFonts w:ascii="Times New Roman" w:cs="Times New Roman" w:eastAsia="Times New Roman" w:hAnsi="Times New Roman"/>
          <w:b w:val="false"/>
          <w:bCs w:val="false"/>
          <w:sz w:val="24"/>
          <w:szCs w:val="24"/>
        </w:rPr>
        <w:t xml:space="preserve">The study tests three relationship hypotheses at the 5 per cent level of significance.</w:t>
      </w:r>
    </w:p>
    <w:p>
      <w:pPr>
        <w:pageBreakBefore/>
        <w:spacing w:after="140" w:line="360"/>
        <w:jc w:val="left"/>
      </w:pPr>
      <w:r>
        <w:rPr>
          <w:rFonts w:ascii="Times New Roman" w:cs="Times New Roman" w:eastAsia="Times New Roman" w:hAnsi="Times New Roman"/>
          <w:b/>
          <w:bCs/>
          <w:sz w:val="24"/>
          <w:szCs w:val="24"/>
        </w:rPr>
        <w:t xml:space="preserve">Table 3.1: Relationship hypotheses</w:t>
      </w:r>
    </w:p>
    <w:tbl>
      <w:tblPr>
        <w:tblW w:type="dxa" w:w="9000"/>
        <w:tblBorders>
          <w:top w:val="single" w:color="19324A" w:sz="4"/>
          <w:left w:val="single" w:color="19324A" w:sz="4"/>
          <w:bottom w:val="single" w:color="19324A" w:sz="4"/>
          <w:right w:val="single" w:color="19324A" w:sz="4"/>
          <w:insideH w:val="single" w:color="9EADBA" w:sz="2"/>
          <w:insideV w:val="single" w:color="9EADBA" w:sz="2"/>
        </w:tblBorders>
      </w:tblPr>
      <w:tblGrid>
        <w:gridCol w:w="3000"/>
        <w:gridCol w:w="3000"/>
        <w:gridCol w:w="3000"/>
      </w:tblGrid>
      <w:tr>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No.</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Null hypothesis (H₀)</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Alternative hypothesis (H₁)</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H1</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There is no significant relationship between Hybrid Learning and Learner Engagement among employees of Union Bank of India.</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There is a significant positive relationship between Hybrid Learning and Learner Engagement among employees of Union Bank of India.</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H2</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There is no significant relationship between Trainer Competence and Learner Engagement among employees of Union Bank of India.</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There is a significant positive relationship between Trainer Competence and Learner Engagement among employees of Union Bank of India.</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H3</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There is no significant relationship between Learner Engagement and Training Effectiveness among employees of Union Bank of India.</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There is a significant positive relationship between Learner Engagement and Training Effectiveness among employees of Union Bank of India.</w:t>
            </w:r>
          </w:p>
        </w:tc>
      </w:tr>
    </w:tbl>
    <w:p>
      <w:pPr>
        <w:spacing w:after="120"/>
      </w:pPr>
    </w:p>
    <w:p>
      <w:pPr>
        <w:spacing w:after="140" w:line="360"/>
        <w:jc w:val="both"/>
      </w:pPr>
      <w:r>
        <w:rPr>
          <w:rFonts w:ascii="Times New Roman" w:cs="Times New Roman" w:eastAsia="Times New Roman" w:hAnsi="Times New Roman"/>
          <w:b w:val="false"/>
          <w:bCs w:val="false"/>
          <w:sz w:val="24"/>
          <w:szCs w:val="24"/>
        </w:rPr>
        <w:t xml:space="preserve">H1 and H2 examine whether a connected hybrid-learning experience and trainer support are associated with employee engagement. H3 examines whether active engagement is associated with employees’ perception that training was understandable, relevant, useful, and applicable to their work.</w:t>
      </w:r>
    </w:p>
    <w:p>
      <w:pPr>
        <w:spacing w:after="140" w:line="360"/>
        <w:jc w:val="both"/>
      </w:pPr>
      <w:r>
        <w:rPr>
          <w:rFonts w:ascii="Times New Roman" w:cs="Times New Roman" w:eastAsia="Times New Roman" w:hAnsi="Times New Roman"/>
          <w:b w:val="false"/>
          <w:bCs w:val="false"/>
          <w:sz w:val="24"/>
          <w:szCs w:val="24"/>
        </w:rPr>
        <w:t xml:space="preserve">The hypotheses do not test a formal mediation effect. The study does not state that Hybrid Learning or Trainer Competence causes Training Effectiveness through Learner Engagement. Such a claim would require a more demanding design, a larger sample, and stronger evidence of time order than a cross-sectional self-report survey can provide.</w:t>
      </w:r>
    </w:p>
    <w:p>
      <w:pPr>
        <w:pStyle w:val="Heading2"/>
        <w:keepNext/>
        <w:spacing w:after="160" w:before="280"/>
      </w:pPr>
      <w:r>
        <w:rPr>
          <w:rFonts w:ascii="Times New Roman" w:cs="Times New Roman" w:eastAsia="Times New Roman" w:hAnsi="Times New Roman"/>
          <w:b/>
          <w:bCs/>
          <w:color w:val="19324A"/>
          <w:sz w:val="27"/>
          <w:szCs w:val="27"/>
        </w:rPr>
        <w:t xml:space="preserve">3.3 Definition of Variables</w:t>
      </w:r>
    </w:p>
    <w:p>
      <w:pPr>
        <w:spacing w:after="140" w:line="360"/>
        <w:jc w:val="both"/>
      </w:pPr>
      <w:r>
        <w:rPr>
          <w:rFonts w:ascii="Times New Roman" w:cs="Times New Roman" w:eastAsia="Times New Roman" w:hAnsi="Times New Roman"/>
          <w:b w:val="false"/>
          <w:bCs w:val="false"/>
          <w:sz w:val="24"/>
          <w:szCs w:val="24"/>
        </w:rPr>
        <w:t xml:space="preserve">The study uses four constructs.</w:t>
      </w:r>
    </w:p>
    <w:p>
      <w:pPr>
        <w:spacing w:after="140" w:line="360"/>
        <w:jc w:val="both"/>
      </w:pPr>
      <w:r>
        <w:rPr>
          <w:rFonts w:ascii="Times New Roman" w:cs="Times New Roman" w:eastAsia="Times New Roman" w:hAnsi="Times New Roman"/>
          <w:b w:val="false"/>
          <w:bCs w:val="false"/>
          <w:sz w:val="24"/>
          <w:szCs w:val="24"/>
        </w:rPr>
        <w:t xml:space="preserve">Hybrid Learning is the planned combination of digital and face-to-face learning within one programme. It is measured through connected design, access to the digital platform, availability of learning material, and the ability to revisit digital learning. Questions 5–11 measure this construct.</w:t>
      </w:r>
    </w:p>
    <w:p>
      <w:pPr>
        <w:spacing w:after="140" w:line="360"/>
        <w:jc w:val="both"/>
      </w:pPr>
      <w:r>
        <w:rPr>
          <w:rFonts w:ascii="Times New Roman" w:cs="Times New Roman" w:eastAsia="Times New Roman" w:hAnsi="Times New Roman"/>
          <w:b w:val="false"/>
          <w:bCs w:val="false"/>
          <w:sz w:val="24"/>
          <w:szCs w:val="24"/>
        </w:rPr>
        <w:t xml:space="preserve">Trainer Competence is the trainer’s ability to support learning through subject knowledge, clear explanation, connected facilitation across learning modes, effective use of relevant digital tools, encouragement of participation, and feedback. Questions 12–17 measure this construct.</w:t>
      </w:r>
    </w:p>
    <w:p>
      <w:pPr>
        <w:spacing w:after="140" w:line="360"/>
        <w:jc w:val="both"/>
      </w:pPr>
      <w:r>
        <w:rPr>
          <w:rFonts w:ascii="Times New Roman" w:cs="Times New Roman" w:eastAsia="Times New Roman" w:hAnsi="Times New Roman"/>
          <w:b w:val="false"/>
          <w:bCs w:val="false"/>
          <w:sz w:val="24"/>
          <w:szCs w:val="24"/>
        </w:rPr>
        <w:t xml:space="preserve">Learner Engagement is the employee’s active involvement in the selected training programme. It includes attention, effort, participation, involvement, clarification-seeking, and interest in completing the programme. Questions 18–23 measure this construct.</w:t>
      </w:r>
    </w:p>
    <w:p>
      <w:pPr>
        <w:spacing w:after="140" w:line="360"/>
        <w:jc w:val="both"/>
      </w:pPr>
      <w:r>
        <w:rPr>
          <w:rFonts w:ascii="Times New Roman" w:cs="Times New Roman" w:eastAsia="Times New Roman" w:hAnsi="Times New Roman"/>
          <w:b w:val="false"/>
          <w:bCs w:val="false"/>
          <w:sz w:val="24"/>
          <w:szCs w:val="24"/>
        </w:rPr>
        <w:t xml:space="preserve">Training Effectiveness is the employee’s perception that the programme produced useful learning for the current role. It includes understanding, work relevance, capability, application, support for related work tasks, and confidence. Questions 24–30 measure this construct.</w:t>
      </w:r>
    </w:p>
    <w:p>
      <w:pPr>
        <w:spacing w:after="140" w:line="360"/>
        <w:jc w:val="left"/>
      </w:pPr>
      <w:r>
        <w:rPr>
          <w:rFonts w:ascii="Times New Roman" w:cs="Times New Roman" w:eastAsia="Times New Roman" w:hAnsi="Times New Roman"/>
          <w:b/>
          <w:bCs/>
          <w:sz w:val="24"/>
          <w:szCs w:val="24"/>
        </w:rPr>
        <w:t xml:space="preserve">Table 3.2: Construct operationalisation and item allocation</w:t>
      </w:r>
    </w:p>
    <w:tbl>
      <w:tblPr>
        <w:tblW w:type="dxa" w:w="9000"/>
        <w:tblBorders>
          <w:top w:val="single" w:color="19324A" w:sz="4"/>
          <w:left w:val="single" w:color="19324A" w:sz="4"/>
          <w:bottom w:val="single" w:color="19324A" w:sz="4"/>
          <w:right w:val="single" w:color="19324A" w:sz="4"/>
          <w:insideH w:val="single" w:color="9EADBA" w:sz="2"/>
          <w:insideV w:val="single" w:color="9EADBA" w:sz="2"/>
        </w:tblBorders>
      </w:tblPr>
      <w:tblGrid>
        <w:gridCol w:w="3000"/>
        <w:gridCol w:w="3000"/>
        <w:gridCol w:w="3000"/>
      </w:tblGrid>
      <w:tr>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Construct</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Questions</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Number of items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Hybrid Learning</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5–11</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7</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Trainer Competence</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12–17</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6</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Learner Engagement</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18–23</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6</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Training Effectiveness</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24–30</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7</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Total Likert-scale items</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5–30</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26</w:t>
            </w:r>
          </w:p>
        </w:tc>
      </w:tr>
    </w:tbl>
    <w:p>
      <w:pPr>
        <w:spacing w:after="120"/>
      </w:pPr>
    </w:p>
    <w:p>
      <w:pPr>
        <w:spacing w:after="140" w:line="360"/>
        <w:jc w:val="both"/>
      </w:pPr>
      <w:r>
        <w:rPr>
          <w:rFonts w:ascii="Times New Roman" w:cs="Times New Roman" w:eastAsia="Times New Roman" w:hAnsi="Times New Roman"/>
          <w:b w:val="false"/>
          <w:bCs w:val="false"/>
          <w:sz w:val="24"/>
          <w:szCs w:val="24"/>
        </w:rPr>
        <w:t xml:space="preserve">The questionnaire has 30 numbered questions. Questions 1–4 confirm eligibility and describe the respondent group. Questions 5–30 are five-point agreement items. The study does not measure knowledge retention, job performance, organisation-level results, employee agility, supervisor support, metacognitive skills, or technical performance of Union Vidya as separate variables.</w:t>
      </w:r>
    </w:p>
    <w:p>
      <w:pPr>
        <w:pStyle w:val="Heading2"/>
        <w:keepNext/>
        <w:spacing w:after="160" w:before="280"/>
      </w:pPr>
      <w:r>
        <w:rPr>
          <w:rFonts w:ascii="Times New Roman" w:cs="Times New Roman" w:eastAsia="Times New Roman" w:hAnsi="Times New Roman"/>
          <w:b/>
          <w:bCs/>
          <w:color w:val="19324A"/>
          <w:sz w:val="27"/>
          <w:szCs w:val="27"/>
        </w:rPr>
        <w:t xml:space="preserve">3.4 Research Design</w:t>
      </w:r>
    </w:p>
    <w:p>
      <w:pPr>
        <w:spacing w:after="140" w:line="360"/>
        <w:jc w:val="both"/>
      </w:pPr>
      <w:r>
        <w:rPr>
          <w:rFonts w:ascii="Times New Roman" w:cs="Times New Roman" w:eastAsia="Times New Roman" w:hAnsi="Times New Roman"/>
          <w:b w:val="false"/>
          <w:bCs w:val="false"/>
          <w:sz w:val="24"/>
          <w:szCs w:val="24"/>
        </w:rPr>
        <w:t xml:space="preserve">The study follows a quantitative, descriptive, and correlational research design. It is quantitative because it uses structured response options and numerical analysis. It is descriptive because it reports employees’ views of each construct. It is correlational because it examines the direction and strength of the relationships proposed in the hypotheses.</w:t>
      </w:r>
    </w:p>
    <w:p>
      <w:pPr>
        <w:spacing w:after="140" w:line="360"/>
        <w:jc w:val="both"/>
      </w:pPr>
      <w:r>
        <w:rPr>
          <w:rFonts w:ascii="Times New Roman" w:cs="Times New Roman" w:eastAsia="Times New Roman" w:hAnsi="Times New Roman"/>
          <w:b w:val="false"/>
          <w:bCs w:val="false"/>
          <w:sz w:val="24"/>
          <w:szCs w:val="24"/>
        </w:rPr>
        <w:t xml:space="preserve">The study is cross-sectional. Each respondent completes the questionnaire once and answers with reference to one hybrid-training programme attended during the previous 12 months. This approach is practical because it asks employees to reflect on a specific programme rather than compare several programmes from memory. The unit of analysis is the individual employee.</w:t>
      </w:r>
    </w:p>
    <w:p>
      <w:pPr>
        <w:spacing w:after="140" w:line="360"/>
        <w:jc w:val="both"/>
      </w:pPr>
      <w:r>
        <w:rPr>
          <w:rFonts w:ascii="Times New Roman" w:cs="Times New Roman" w:eastAsia="Times New Roman" w:hAnsi="Times New Roman"/>
          <w:b w:val="false"/>
          <w:bCs w:val="false"/>
          <w:sz w:val="24"/>
          <w:szCs w:val="24"/>
        </w:rPr>
        <w:t xml:space="preserve">The model is:</w:t>
      </w:r>
    </w:p>
    <w:p>
      <w:pPr>
        <w:spacing w:after="140"/>
        <w:jc w:val="center"/>
      </w:pPr>
      <w:r>
        <w:rPr>
          <w:rFonts w:ascii="Times New Roman" w:cs="Times New Roman" w:eastAsia="Times New Roman" w:hAnsi="Times New Roman"/>
          <w:sz w:val="22"/>
          <w:szCs w:val="22"/>
        </w:rPr>
        <w:t xml:space="preserve">Hybrid Learning ─┐</w:t>
      </w:r>
    </w:p>
    <w:p>
      <w:pPr>
        <w:spacing w:after="140"/>
        <w:jc w:val="center"/>
      </w:pPr>
      <w:r>
        <w:rPr>
          <w:rFonts w:ascii="Times New Roman" w:cs="Times New Roman" w:eastAsia="Times New Roman" w:hAnsi="Times New Roman"/>
          <w:sz w:val="22"/>
          <w:szCs w:val="22"/>
        </w:rPr>
        <w:t xml:space="preserve">├──→ Learner Engagement ───→ Training Effectiveness</w:t>
      </w:r>
    </w:p>
    <w:p>
      <w:pPr>
        <w:spacing w:after="140"/>
        <w:jc w:val="center"/>
      </w:pPr>
      <w:r>
        <w:rPr>
          <w:rFonts w:ascii="Times New Roman" w:cs="Times New Roman" w:eastAsia="Times New Roman" w:hAnsi="Times New Roman"/>
          <w:sz w:val="22"/>
          <w:szCs w:val="22"/>
        </w:rPr>
        <w:t xml:space="preserve">Trainer Competence ┘</w:t>
      </w:r>
    </w:p>
    <w:p>
      <w:pPr>
        <w:spacing w:after="140" w:line="360"/>
        <w:jc w:val="both"/>
      </w:pPr>
      <w:r>
        <w:rPr>
          <w:rFonts w:ascii="Times New Roman" w:cs="Times New Roman" w:eastAsia="Times New Roman" w:hAnsi="Times New Roman"/>
          <w:b w:val="false"/>
          <w:bCs w:val="false"/>
          <w:sz w:val="24"/>
          <w:szCs w:val="24"/>
        </w:rPr>
        <w:t xml:space="preserve">The arrows show the relationships examined through regression analysis. They do not state that the survey proves a causal process. Other conditions, including workload, opportunity to apply learning, digital confidence, supervisor support, and the nature of the selected programme, may also influence employee engagement and training effectiveness.</w:t>
      </w:r>
    </w:p>
    <w:p>
      <w:pPr>
        <w:pStyle w:val="Heading2"/>
        <w:keepNext/>
        <w:spacing w:after="160" w:before="280"/>
      </w:pPr>
      <w:r>
        <w:rPr>
          <w:rFonts w:ascii="Times New Roman" w:cs="Times New Roman" w:eastAsia="Times New Roman" w:hAnsi="Times New Roman"/>
          <w:b/>
          <w:bCs/>
          <w:color w:val="19324A"/>
          <w:sz w:val="27"/>
          <w:szCs w:val="27"/>
        </w:rPr>
        <w:t xml:space="preserve">3.5 Population, Sample and Sampling Method</w:t>
      </w:r>
    </w:p>
    <w:p>
      <w:pPr>
        <w:spacing w:after="140" w:line="360"/>
        <w:jc w:val="both"/>
      </w:pPr>
      <w:r>
        <w:rPr>
          <w:rFonts w:ascii="Times New Roman" w:cs="Times New Roman" w:eastAsia="Times New Roman" w:hAnsi="Times New Roman"/>
          <w:b w:val="false"/>
          <w:bCs w:val="false"/>
          <w:sz w:val="24"/>
          <w:szCs w:val="24"/>
        </w:rPr>
        <w:t xml:space="preserve">The population consists of employees connected with Union Bank of India Regional Office Chennai South who have attended a training programme that included both digital or online learning and face-to-face learning.</w:t>
      </w:r>
    </w:p>
    <w:p>
      <w:pPr>
        <w:spacing w:after="140" w:line="360"/>
        <w:jc w:val="both"/>
      </w:pPr>
      <w:r>
        <w:rPr>
          <w:rFonts w:ascii="Times New Roman" w:cs="Times New Roman" w:eastAsia="Times New Roman" w:hAnsi="Times New Roman"/>
          <w:b w:val="false"/>
          <w:bCs w:val="false"/>
          <w:sz w:val="24"/>
          <w:szCs w:val="24"/>
        </w:rPr>
        <w:t xml:space="preserve">The study uses non-probability purposive sampling. An employee is eligible only when the employee has attended hybrid training during the previous 12 months. This condition is necessary because employees who have experienced only one delivery mode cannot comment meaningfully on the connection between digital and face-to-face activity.</w:t>
      </w:r>
    </w:p>
    <w:p>
      <w:pPr>
        <w:spacing w:after="140" w:line="360"/>
        <w:jc w:val="both"/>
      </w:pPr>
      <w:r>
        <w:rPr>
          <w:rFonts w:ascii="Times New Roman" w:cs="Times New Roman" w:eastAsia="Times New Roman" w:hAnsi="Times New Roman"/>
          <w:b w:val="false"/>
          <w:bCs w:val="false"/>
          <w:sz w:val="24"/>
          <w:szCs w:val="24"/>
        </w:rPr>
        <w:t xml:space="preserve">The proposed final sample is approximately 80 eligible respondents. The final report will state the actual number of questionnaires distributed, returned, excluded, and retained for analysis. Findings will describe the selected respondent group and will not be treated as statistically representative of every Union Bank employee or the wider banking sector.</w:t>
      </w:r>
    </w:p>
    <w:p>
      <w:pPr>
        <w:spacing w:after="140" w:line="360"/>
        <w:jc w:val="both"/>
      </w:pPr>
      <w:r>
        <w:rPr>
          <w:rFonts w:ascii="Times New Roman" w:cs="Times New Roman" w:eastAsia="Times New Roman" w:hAnsi="Times New Roman"/>
          <w:b w:val="false"/>
          <w:bCs w:val="false"/>
          <w:sz w:val="24"/>
          <w:szCs w:val="24"/>
        </w:rPr>
        <w:t xml:space="preserve">The questionnaire collects limited profile information: age group, length of service, and job level. These details describe the respondent group. They are not additional predictors and are not used for group-difference testing in the present model.</w:t>
      </w:r>
    </w:p>
    <w:p>
      <w:pPr>
        <w:pStyle w:val="Heading2"/>
        <w:keepNext/>
        <w:spacing w:after="160" w:before="280"/>
      </w:pPr>
      <w:r>
        <w:rPr>
          <w:rFonts w:ascii="Times New Roman" w:cs="Times New Roman" w:eastAsia="Times New Roman" w:hAnsi="Times New Roman"/>
          <w:b/>
          <w:bCs/>
          <w:color w:val="19324A"/>
          <w:sz w:val="27"/>
          <w:szCs w:val="27"/>
        </w:rPr>
        <w:t xml:space="preserve">3.6 Data Collection Procedure</w:t>
      </w:r>
    </w:p>
    <w:p>
      <w:pPr>
        <w:spacing w:after="140" w:line="360"/>
        <w:jc w:val="both"/>
      </w:pPr>
      <w:r>
        <w:t>Data collection is being undertaken after academic approval and appropriate organisational permission. Eligible employees receive a short explanation of the academic purpose of the study, the voluntary nature of participation, and the confidential handling of responses. The questionnaire is shared through an approved online form, a printed form, or both, depending on the practical arrangements at the study site.</w:t>
      </w:r>
    </w:p>
    <w:p>
      <w:pPr>
        <w:spacing w:after="140" w:line="360"/>
        <w:jc w:val="both"/>
      </w:pPr>
      <w:r>
        <w:rPr>
          <w:rFonts w:ascii="Times New Roman" w:cs="Times New Roman" w:eastAsia="Times New Roman" w:hAnsi="Times New Roman"/>
          <w:b w:val="false"/>
          <w:bCs w:val="false"/>
          <w:sz w:val="24"/>
          <w:szCs w:val="24"/>
        </w:rPr>
        <w:t xml:space="preserve">Respondents select one recent hybrid-training programme and answer every scale item with that programme in mind. The questionnaire introduces Union Vidya as an example of the digital platform used in a programme. It does not assume that every programme used Union Vidya or that every employee had access to identical digital features.</w:t>
      </w:r>
    </w:p>
    <w:p>
      <w:pPr>
        <w:spacing w:after="140" w:line="360"/>
        <w:jc w:val="both"/>
      </w:pPr>
      <w:r>
        <w:rPr>
          <w:rFonts w:ascii="Times New Roman" w:cs="Times New Roman" w:eastAsia="Times New Roman" w:hAnsi="Times New Roman"/>
          <w:b w:val="false"/>
          <w:bCs w:val="false"/>
          <w:sz w:val="24"/>
          <w:szCs w:val="24"/>
        </w:rPr>
        <w:t xml:space="preserve">The questionnaire does not ask for names, employee numbers, customer details, account information, internal passwords, or other confidential Bank information. Employees may decline to participate or stop before submitting the form without any consequence for their employment or access to training. Results will be reported in aggregate form.</w:t>
      </w:r>
    </w:p>
    <w:p>
      <w:pPr>
        <w:spacing w:after="140" w:line="360"/>
        <w:jc w:val="both"/>
      </w:pPr>
      <w:r>
        <w:t>Question 1 screens for eligibility. Only responses marked “Yes” are included in the final analysis. Responses marked “No” or with a blank eligibility answer are excluded and recorded in the data-cleaning audit. When an otherwise eligible response has one blank or unclear Likert item, that item is replaced with the respondent’s arithmetic mean for the remaining items of the same construct and the imputation is recorded. Responses with two or more blank or unclear scored items are excluded. The final dissertation will report the number of received, excluded, retained, and imputed records, with the reason for each exclusion category.</w:t>
      </w:r>
    </w:p>
    <w:p>
      <w:pPr>
        <w:pStyle w:val="Heading2"/>
        <w:keepNext/>
        <w:spacing w:after="160" w:before="280"/>
      </w:pPr>
      <w:r>
        <w:rPr>
          <w:rFonts w:ascii="Times New Roman" w:cs="Times New Roman" w:eastAsia="Times New Roman" w:hAnsi="Times New Roman"/>
          <w:b/>
          <w:bCs/>
          <w:color w:val="19324A"/>
          <w:sz w:val="27"/>
          <w:szCs w:val="27"/>
        </w:rPr>
        <w:t xml:space="preserve">3.7 Research Instrument and Scoring</w:t>
      </w:r>
    </w:p>
    <w:p>
      <w:pPr>
        <w:spacing w:after="140" w:line="360"/>
        <w:jc w:val="both"/>
      </w:pPr>
      <w:r>
        <w:rPr>
          <w:rFonts w:ascii="Times New Roman" w:cs="Times New Roman" w:eastAsia="Times New Roman" w:hAnsi="Times New Roman"/>
          <w:b w:val="false"/>
          <w:bCs w:val="false"/>
          <w:sz w:val="24"/>
          <w:szCs w:val="24"/>
        </w:rPr>
        <w:t xml:space="preserve">The research instrument is a structured, self-administered questionnaire placed in the Appendix. It has 30 numbered questions. Questions 1–4 screen for eligibility and describe the respondent group. Questions 5–30 use a five-point agreement scale from Strongly Disagree to Strongly Agree. Each eligible employee answers about one hybrid-training programme attended during the preceding 12 months.</w:t>
      </w:r>
    </w:p>
    <w:p>
      <w:pPr>
        <w:spacing w:after="140" w:line="360"/>
        <w:jc w:val="both"/>
      </w:pPr>
      <w:r>
        <w:rPr>
          <w:rFonts w:ascii="Times New Roman" w:cs="Times New Roman" w:eastAsia="Times New Roman" w:hAnsi="Times New Roman"/>
          <w:b w:val="false"/>
          <w:bCs w:val="false"/>
          <w:sz w:val="24"/>
          <w:szCs w:val="24"/>
        </w:rPr>
        <w:t xml:space="preserve">The instrument is literature-informed and adapted to the Union Bank context. It does not claim to be a ready-made Union Bank scale. Its content basis is documented through the selected base papers and supporting measurement literature. Union Vidya is named only as the Bank’s LMS and as an example platform that may have been used in the selected programme.</w:t>
      </w:r>
    </w:p>
    <w:p>
      <w:pPr>
        <w:spacing w:after="140" w:line="360"/>
        <w:jc w:val="both"/>
      </w:pPr>
      <w:r>
        <w:rPr>
          <w:rFonts w:ascii="Times New Roman" w:cs="Times New Roman" w:eastAsia="Times New Roman" w:hAnsi="Times New Roman"/>
          <w:b w:val="false"/>
          <w:bCs w:val="false"/>
          <w:sz w:val="24"/>
          <w:szCs w:val="24"/>
        </w:rPr>
        <w:t xml:space="preserve">For Questions 5–30, response categories are coded from 1 for Strongly Disagree to 5 for Strongly Agree. A construct score is calculated as the arithmetic mean of the completed items assigned to that construct. Higher scores indicate a more positive employee perception of the relevant construct.</w:t>
      </w:r>
    </w:p>
    <w:p>
      <w:pPr>
        <w:pStyle w:val="Heading2"/>
        <w:keepNext/>
        <w:spacing w:after="160" w:before="280"/>
      </w:pPr>
      <w:r>
        <w:rPr>
          <w:rFonts w:ascii="Times New Roman" w:cs="Times New Roman" w:eastAsia="Times New Roman" w:hAnsi="Times New Roman"/>
          <w:b/>
          <w:bCs/>
          <w:color w:val="19324A"/>
          <w:sz w:val="27"/>
          <w:szCs w:val="27"/>
        </w:rPr>
        <w:t xml:space="preserve">3.8 Research Questions</w:t>
      </w:r>
    </w:p>
    <w:p>
      <w:pPr>
        <w:spacing w:after="140" w:line="360"/>
        <w:ind w:left="360" w:hanging="360"/>
        <w:jc w:val="left"/>
      </w:pPr>
      <w:r>
        <w:rPr>
          <w:rFonts w:ascii="Times New Roman" w:cs="Times New Roman" w:eastAsia="Times New Roman" w:hAnsi="Times New Roman"/>
          <w:sz w:val="24"/>
          <w:szCs w:val="24"/>
        </w:rPr>
        <w:t xml:space="preserve">1. What are employees’ perceptions of Hybrid Learning, Trainer Competence, Learner Engagement, and Training Effectiveness?</w:t>
      </w:r>
    </w:p>
    <w:p>
      <w:pPr>
        <w:spacing w:after="140" w:line="360"/>
        <w:ind w:left="360" w:hanging="360"/>
        <w:jc w:val="left"/>
      </w:pPr>
      <w:r>
        <w:rPr>
          <w:rFonts w:ascii="Times New Roman" w:cs="Times New Roman" w:eastAsia="Times New Roman" w:hAnsi="Times New Roman"/>
          <w:sz w:val="24"/>
          <w:szCs w:val="24"/>
        </w:rPr>
        <w:t xml:space="preserve">2. Are Hybrid Learning and Trainer Competence associated with Learner Engagement?</w:t>
      </w:r>
    </w:p>
    <w:p>
      <w:pPr>
        <w:spacing w:after="140" w:line="360"/>
        <w:ind w:left="360" w:hanging="360"/>
        <w:jc w:val="left"/>
      </w:pPr>
      <w:r>
        <w:rPr>
          <w:rFonts w:ascii="Times New Roman" w:cs="Times New Roman" w:eastAsia="Times New Roman" w:hAnsi="Times New Roman"/>
          <w:sz w:val="24"/>
          <w:szCs w:val="24"/>
        </w:rPr>
        <w:t xml:space="preserve">3. Is Learner Engagement associated with Training Effectiveness?</w:t>
      </w:r>
    </w:p>
    <w:p>
      <w:pPr>
        <w:pStyle w:val="Heading2"/>
        <w:keepNext/>
        <w:spacing w:after="160" w:before="280"/>
      </w:pPr>
      <w:r>
        <w:rPr>
          <w:rFonts w:ascii="Times New Roman" w:cs="Times New Roman" w:eastAsia="Times New Roman" w:hAnsi="Times New Roman"/>
          <w:b/>
          <w:bCs/>
          <w:color w:val="19324A"/>
          <w:sz w:val="27"/>
          <w:szCs w:val="27"/>
        </w:rPr>
        <w:t xml:space="preserve">3.9 Data Analysis Techniques</w:t>
      </w:r>
    </w:p>
    <w:p>
      <w:pPr>
        <w:spacing w:after="140" w:line="360"/>
        <w:jc w:val="both"/>
      </w:pPr>
      <w:r>
        <w:rPr>
          <w:rFonts w:ascii="Times New Roman" w:cs="Times New Roman" w:eastAsia="Times New Roman" w:hAnsi="Times New Roman"/>
          <w:b w:val="false"/>
          <w:bCs w:val="false"/>
          <w:sz w:val="24"/>
          <w:szCs w:val="24"/>
        </w:rPr>
        <w:t xml:space="preserve">The analysis has four stages.</w:t>
      </w:r>
    </w:p>
    <w:p>
      <w:pPr>
        <w:spacing w:after="140" w:line="360"/>
        <w:jc w:val="left"/>
      </w:pPr>
      <w:r>
        <w:rPr>
          <w:rFonts w:ascii="Times New Roman" w:cs="Times New Roman" w:eastAsia="Times New Roman" w:hAnsi="Times New Roman"/>
          <w:b/>
          <w:bCs/>
          <w:sz w:val="24"/>
          <w:szCs w:val="24"/>
        </w:rPr>
        <w:t xml:space="preserve">Table 3.3: Data-analysis plan</w:t>
      </w:r>
    </w:p>
    <w:tbl>
      <w:tblPr>
        <w:tblW w:type="dxa" w:w="9000"/>
        <w:tblBorders>
          <w:top w:val="single" w:color="19324A" w:sz="4"/>
          <w:left w:val="single" w:color="19324A" w:sz="4"/>
          <w:bottom w:val="single" w:color="19324A" w:sz="4"/>
          <w:right w:val="single" w:color="19324A" w:sz="4"/>
          <w:insideH w:val="single" w:color="9EADBA" w:sz="2"/>
          <w:insideV w:val="single" w:color="9EADBA" w:sz="2"/>
        </w:tblBorders>
      </w:tblPr>
      <w:tblGrid>
        <w:gridCol w:w="3000"/>
        <w:gridCol w:w="3000"/>
        <w:gridCol w:w="3000"/>
      </w:tblGrid>
      <w:tr>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Stage</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Technique</w:t>
            </w:r>
          </w:p>
        </w:tc>
        <w:tc>
          <w:tcPr>
            <w:tcW w:type="dxa" w:w="3000"/>
            <w:shd w:color="DCE9F5" w:val="clear"/>
            <w:tcMar>
              <w:top w:type="dxa" w:w="70"/>
              <w:left w:type="dxa" w:w="85"/>
              <w:bottom w:type="dxa" w:w="70"/>
              <w:right w:type="dxa" w:w="85"/>
            </w:tcMar>
          </w:tcPr>
          <w:p>
            <w:pPr>
              <w:spacing w:after="0" w:line="240"/>
            </w:pPr>
            <w:r>
              <w:rPr>
                <w:rFonts w:ascii="Times New Roman" w:cs="Times New Roman" w:eastAsia="Times New Roman" w:hAnsi="Times New Roman"/>
                <w:b/>
                <w:bCs/>
                <w:sz w:val="18"/>
                <w:szCs w:val="18"/>
              </w:rPr>
              <w:t xml:space="preserve">Purpose</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Respondent and item description</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Frequency, percentage, mean, and standard deviation</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To describe the selected respondent group and the pattern of responses.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Reliability</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Cronbach’s alpha for each construct</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To assess the internal consistency of the Hybrid Learning, Trainer Competence, Learner Engagement, and Training Effectiveness item sets.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Association</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Pearson correlation</w:t>
            </w:r>
          </w:p>
        </w:tc>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To examine the direction and strength of the relationships among the four construct scores.</w:t>
            </w:r>
          </w:p>
        </w:tc>
      </w:tr>
      <w:tr>
        <w:tc>
          <w:tcPr>
            <w:tcW w:type="dxa" w:w="3000"/>
            <w:tcMar>
              <w:top w:type="dxa" w:w="70"/>
              <w:left w:type="dxa" w:w="85"/>
              <w:bottom w:type="dxa" w:w="70"/>
              <w:right w:type="dxa" w:w="85"/>
            </w:tcMar>
          </w:tcPr>
          <w:p>
            <w:pPr>
              <w:spacing w:after="0" w:line="240"/>
            </w:pPr>
            <w:r>
              <w:rPr>
                <w:rFonts w:ascii="Times New Roman" w:cs="Times New Roman" w:eastAsia="Times New Roman" w:hAnsi="Times New Roman"/>
                <w:b w:val="false"/>
                <w:bCs w:val="false"/>
                <w:sz w:val="18"/>
                <w:szCs w:val="18"/>
              </w:rPr>
              <w:t xml:space="preserve">Hypothesis testing</w:t>
            </w:r>
          </w:p>
        </w:tc>
        <w:tc>
          <w:tcPr>
            <w:tcW w:type="dxa" w:w="3000"/>
            <w:tcMar>
              <w:top w:type="dxa" w:w="70"/>
              <w:left w:type="dxa" w:w="85"/>
              <w:bottom w:type="dxa" w:w="70"/>
              <w:right w:type="dxa" w:w="85"/>
            </w:tcMar>
          </w:tcPr>
          <w:p>
            <w:r>
              <w:t>Pearson correlation and regression analysis</w:t>
            </w:r>
          </w:p>
        </w:tc>
        <w:tc>
          <w:tcPr>
            <w:tcW w:type="dxa" w:w="3000"/>
            <w:tcMar>
              <w:top w:type="dxa" w:w="70"/>
              <w:left w:type="dxa" w:w="85"/>
              <w:bottom w:type="dxa" w:w="70"/>
              <w:right w:type="dxa" w:w="85"/>
            </w:tcMar>
          </w:tcPr>
          <w:p>
            <w:r>
              <w:t>To test the stated relationships and examine the two regression models.</w:t>
            </w:r>
          </w:p>
        </w:tc>
      </w:tr>
    </w:tbl>
    <w:p>
      <w:pPr>
        <w:spacing w:after="120"/>
      </w:pPr>
    </w:p>
    <w:p>
      <w:pPr>
        <w:spacing w:after="140" w:line="360"/>
        <w:jc w:val="both"/>
      </w:pPr>
      <w:r>
        <w:rPr>
          <w:rFonts w:ascii="Times New Roman" w:cs="Times New Roman" w:eastAsia="Times New Roman" w:hAnsi="Times New Roman"/>
          <w:b w:val="false"/>
          <w:bCs w:val="false"/>
          <w:sz w:val="24"/>
          <w:szCs w:val="24"/>
        </w:rPr>
        <w:t xml:space="preserve">The first regression model is:</w:t>
      </w:r>
    </w:p>
    <w:p>
      <w:pPr>
        <w:spacing w:after="140"/>
        <w:jc w:val="center"/>
      </w:pPr>
      <w:r>
        <w:rPr>
          <w:rFonts w:ascii="Times New Roman" w:cs="Times New Roman" w:eastAsia="Times New Roman" w:hAnsi="Times New Roman"/>
          <w:sz w:val="22"/>
          <w:szCs w:val="22"/>
        </w:rPr>
        <w:t xml:space="preserve">Learner Engagement = b₀ + b₁(Hybrid Learning) + b₂(Trainer Competence) + e</w:t>
      </w:r>
    </w:p>
    <w:p>
      <w:pPr>
        <w:spacing w:after="140" w:line="360"/>
        <w:jc w:val="both"/>
      </w:pPr>
      <w:r>
        <w:rPr>
          <w:rFonts w:ascii="Times New Roman" w:cs="Times New Roman" w:eastAsia="Times New Roman" w:hAnsi="Times New Roman"/>
          <w:b w:val="false"/>
          <w:bCs w:val="false"/>
          <w:sz w:val="24"/>
          <w:szCs w:val="24"/>
        </w:rPr>
        <w:t xml:space="preserve">This multiple-regression model examines whether Hybrid Learning and Trainer Competence are each associated with Learner Engagement while the other predictor is held statistically constant.</w:t>
      </w:r>
    </w:p>
    <w:p>
      <w:pPr>
        <w:spacing w:after="140" w:line="360"/>
        <w:jc w:val="both"/>
      </w:pPr>
      <w:r>
        <w:rPr>
          <w:rFonts w:ascii="Times New Roman" w:cs="Times New Roman" w:eastAsia="Times New Roman" w:hAnsi="Times New Roman"/>
          <w:b w:val="false"/>
          <w:bCs w:val="false"/>
          <w:sz w:val="24"/>
          <w:szCs w:val="24"/>
        </w:rPr>
        <w:t xml:space="preserve">The second regression model is:</w:t>
      </w:r>
    </w:p>
    <w:p>
      <w:pPr>
        <w:spacing w:after="140"/>
        <w:jc w:val="center"/>
      </w:pPr>
      <w:r>
        <w:rPr>
          <w:rFonts w:ascii="Times New Roman" w:cs="Times New Roman" w:eastAsia="Times New Roman" w:hAnsi="Times New Roman"/>
          <w:sz w:val="22"/>
          <w:szCs w:val="22"/>
        </w:rPr>
        <w:t xml:space="preserve">Training Effectiveness = b₀ + b₁(Learner Engagement) + e</w:t>
      </w:r>
    </w:p>
    <w:p>
      <w:pPr>
        <w:spacing w:after="140" w:line="360"/>
        <w:jc w:val="both"/>
      </w:pPr>
      <w:r>
        <w:rPr>
          <w:rFonts w:ascii="Times New Roman" w:cs="Times New Roman" w:eastAsia="Times New Roman" w:hAnsi="Times New Roman"/>
          <w:b w:val="false"/>
          <w:bCs w:val="false"/>
          <w:sz w:val="24"/>
          <w:szCs w:val="24"/>
        </w:rPr>
        <w:t xml:space="preserve">This simple-regression model examines the relationship between Learner Engagement and Training Effectiveness.</w:t>
      </w:r>
    </w:p>
    <w:p>
      <w:pPr>
        <w:spacing w:after="140" w:line="360"/>
        <w:jc w:val="both"/>
      </w:pPr>
      <w:r>
        <w:t>The three hypotheses are stated as relationships. Pearson correlation is therefore the primary test for deciding whether each reported relationship is positive and statistically significant. The null hypothesis is rejected when the relevant p-value is below .05. Regression analysis provides supporting model-level evidence. The final report will present correlation coefficients, regression coefficients, test statistics, p-values, and explained variance where appropriate. It will also report tolerance and Variance Inflation Factor values for the two-predictor model. If predictor overlap is high, the report will not claim that one predictor has a stronger independent relationship than the other. A statistically significant finding will be described as an association in the selected sample, not proof that one construct caused another.</w:t>
      </w:r>
    </w:p>
    <w:p>
      <w:pPr>
        <w:spacing w:after="140" w:line="360"/>
        <w:jc w:val="both"/>
      </w:pPr>
      <w:r>
        <w:rPr>
          <w:rFonts w:ascii="Times New Roman" w:cs="Times New Roman" w:eastAsia="Times New Roman" w:hAnsi="Times New Roman"/>
          <w:b w:val="false"/>
          <w:bCs w:val="false"/>
          <w:sz w:val="24"/>
          <w:szCs w:val="24"/>
        </w:rPr>
        <w:t xml:space="preserve">The analysis does not compare online-only and classroom-only programmes, use structural-equation modelling, calculate a formal indirect effect, or evaluate Bank-level performance. These analyses would require a different design, additional data, or a larger sample.</w:t>
      </w:r>
    </w:p>
    <w:p>
      <w:pPr>
        <w:pStyle w:val="Heading2"/>
        <w:keepNext/>
        <w:spacing w:after="160" w:before="280"/>
      </w:pPr>
      <w:r>
        <w:t>3.10 Questionnaire Review, Reliability and Validity</w:t>
      </w:r>
    </w:p>
    <w:p>
      <w:r>
        <w:t>A separate pilot study was not conducted before main data collection. The questionnaire was finalised after academic-guide approval and was prepared from the documented questionnaire evidence map, the selected base papers, and supporting measurement literature. The final thesis will state this procedure accurately and will not claim that a separate employee pilot took place.</w:t>
      </w:r>
    </w:p>
    <w:p>
      <w:r>
        <w:t>Cronbach’s alpha will be calculated separately for the four item sets in the final eligible sample. A value of .70 or above will be treated as an initial indication of acceptable internal consistency. Alpha values will be interpreted with item distributions, response-pattern checks, and the size of the final sample; they will not be treated as proof that the instrument is a fully validated Union Bank scale.</w:t>
      </w:r>
    </w:p>
    <w:p>
      <w:r>
        <w:t>Content relevance is supported by the questionnaire evidence map. Hybrid Learning items are based on blended-learning integration and workplace-access literature. Trainer Competence and Learner Engagement items are based on workplace blended-learning and engagement literature. Training Effectiveness items are based on corporate training evaluation and transfer literature, including Bahl, Kiran and Sharma’s (2024) banking evaluation context. Bahl does not provide the present item set or model. The academic guide’s review supports the practical suitability of the wording for this academic study.</w:t>
      </w:r>
    </w:p>
    <w:p>
      <w:r>
        <w:t>The questionnaire is literature-informed and adapted to the selected Union Bank setting. It is not presented as a ready-made or fully validated bank-specific scale. Its limitations will be stated when the final reliability results are reported.</w:t>
      </w:r>
    </w:p>
    <w:p>
      <w:pPr>
        <w:pStyle w:val="Heading2"/>
        <w:keepNext/>
        <w:spacing w:after="160" w:before="280"/>
      </w:pPr>
      <w:r>
        <w:rPr>
          <w:rFonts w:ascii="Times New Roman" w:cs="Times New Roman" w:eastAsia="Times New Roman" w:hAnsi="Times New Roman"/>
          <w:b/>
          <w:bCs/>
          <w:color w:val="19324A"/>
          <w:sz w:val="27"/>
          <w:szCs w:val="27"/>
        </w:rPr>
        <w:t xml:space="preserve">3.11 Ethical Considerations and Limitations</w:t>
      </w:r>
    </w:p>
    <w:p>
      <w:pPr>
        <w:spacing w:after="140" w:line="360"/>
        <w:jc w:val="both"/>
      </w:pPr>
      <w:r>
        <w:rPr>
          <w:rFonts w:ascii="Times New Roman" w:cs="Times New Roman" w:eastAsia="Times New Roman" w:hAnsi="Times New Roman"/>
          <w:b w:val="false"/>
          <w:bCs w:val="false"/>
          <w:sz w:val="24"/>
          <w:szCs w:val="24"/>
        </w:rPr>
        <w:t xml:space="preserve">Participation is voluntary, and the survey avoids personal identifiers and confidential Bank data. Respondents are informed that the study is for academic use and that only combined results will be reported. The researcher seeks the required academic and organisational approval before distribution.</w:t>
      </w:r>
    </w:p>
    <w:p>
      <w:pPr>
        <w:spacing w:after="140" w:line="360"/>
        <w:jc w:val="both"/>
      </w:pPr>
      <w:r>
        <w:rPr>
          <w:rFonts w:ascii="Times New Roman" w:cs="Times New Roman" w:eastAsia="Times New Roman" w:hAnsi="Times New Roman"/>
          <w:b w:val="false"/>
          <w:bCs w:val="false"/>
          <w:sz w:val="24"/>
          <w:szCs w:val="24"/>
        </w:rPr>
        <w:t xml:space="preserve">The study has several limitations. It uses a non-probability sample, so findings cannot be generalised statistically to all Bank employees. It is cross-sectional and relies on employee perceptions, so it cannot prove causation. The same respondent reports the programme experience, trainer competence, engagement, and training effectiveness; this common response condition may influence the reported relationships. The study also does not use objective test scores, system logs, supervisor ratings, customer outcomes, or organisation-level performance records.</w:t>
      </w:r>
    </w:p>
    <w:p>
      <w:pPr>
        <w:spacing w:after="140" w:line="360"/>
        <w:jc w:val="both"/>
      </w:pPr>
      <w:r>
        <w:rPr>
          <w:rFonts w:ascii="Times New Roman" w:cs="Times New Roman" w:eastAsia="Times New Roman" w:hAnsi="Times New Roman"/>
          <w:b w:val="false"/>
          <w:bCs w:val="false"/>
          <w:sz w:val="24"/>
          <w:szCs w:val="24"/>
        </w:rPr>
        <w:t xml:space="preserve">These limitations do not remove the value of the study. They define its contribution: a focused account of how a selected group of eligible employees experience hybrid training, trainer support, engagement, and training effectiveness in the Union Bank context. This can provide a practical starting point for understanding employee learning experience without making unsupported claims about the complete organisation.</w:t>
      </w:r>
    </w:p>
    <w:p>
      <w:r>
        <w:br w:type="page"/>
      </w:r>
    </w:p>
    <w:p>
      <w:pPr>
        <w:pStyle w:val="Heading1"/>
        <w:keepNext/>
        <w:spacing w:after="160" w:before="0"/>
      </w:pPr>
      <w:r>
        <w:rPr>
          <w:rFonts w:ascii="Times New Roman" w:cs="Times New Roman" w:eastAsia="Times New Roman" w:hAnsi="Times New Roman"/>
          <w:b/>
          <w:bCs/>
          <w:color w:val="19324A"/>
          <w:sz w:val="30"/>
          <w:szCs w:val="30"/>
        </w:rPr>
        <w:t xml:space="preserve">References</w:t>
      </w:r>
    </w:p>
    <w:p>
      <w:pPr>
        <w:spacing w:after="80" w:line="300"/>
        <w:ind w:left="720" w:hanging="360"/>
        <w:jc w:val="both"/>
      </w:pPr>
      <w:r>
        <w:rPr>
          <w:rFonts w:ascii="Times New Roman" w:cs="Times New Roman" w:eastAsia="Times New Roman" w:hAnsi="Times New Roman"/>
          <w:b w:val="false"/>
          <w:bCs w:val="false"/>
          <w:sz w:val="20"/>
          <w:szCs w:val="20"/>
        </w:rPr>
        <w:t xml:space="preserve">Ansari, B. I., Junaidi, J., Maulina, S., Herman, H., Kamaruddin, I., Rahman, A., &amp; Saputra, N. (2023). The effect of blended-learning training on lecturers’ and students’ competence and satisfaction. Journal of Intercultural Communication, 23(4), 155–164. https://doi.org/10.36923/jicc.v23i4.201</w:t>
      </w:r>
    </w:p>
    <w:p>
      <w:pPr>
        <w:spacing w:after="80" w:line="300"/>
        <w:ind w:left="720" w:hanging="360"/>
        <w:jc w:val="both"/>
      </w:pPr>
      <w:r>
        <w:rPr>
          <w:rFonts w:ascii="Times New Roman" w:cs="Times New Roman" w:eastAsia="Times New Roman" w:hAnsi="Times New Roman"/>
          <w:b w:val="false"/>
          <w:bCs w:val="false"/>
          <w:sz w:val="20"/>
          <w:szCs w:val="20"/>
        </w:rPr>
        <w:t xml:space="preserve">Aziz, S. F. A. (2015). Developing general training effectiveness scale for the Malaysian workplace learning. Mediterranean Journal of Social Sciences, 6(4S1), 47–56. https://doi.org/10.5901/mjss.2015.v6n4s1p47</w:t>
      </w:r>
    </w:p>
    <w:p>
      <w:pPr>
        <w:spacing w:after="80" w:line="300"/>
        <w:ind w:left="720" w:hanging="360"/>
        <w:jc w:val="both"/>
      </w:pPr>
      <w:r>
        <w:rPr>
          <w:rFonts w:ascii="Times New Roman" w:cs="Times New Roman" w:eastAsia="Times New Roman" w:hAnsi="Times New Roman"/>
          <w:b w:val="false"/>
          <w:bCs w:val="false"/>
          <w:sz w:val="20"/>
          <w:szCs w:val="20"/>
        </w:rPr>
        <w:t xml:space="preserve">Bahl, K., Kiran, R., &amp; Sharma, A. (2024). Evaluating the effectiveness of training of managerial and non-managerial bank employees using Kirkpatrick’s model for evaluation of training. Humanities and Social Sciences Communications, 11, 508. https://doi.org/10.1057/s41599-024-02973-y</w:t>
      </w:r>
    </w:p>
    <w:p>
      <w:pPr>
        <w:spacing w:after="80" w:line="300"/>
        <w:ind w:left="720" w:hanging="360"/>
        <w:jc w:val="both"/>
      </w:pPr>
      <w:r>
        <w:rPr>
          <w:rFonts w:ascii="Times New Roman" w:cs="Times New Roman" w:eastAsia="Times New Roman" w:hAnsi="Times New Roman"/>
          <w:b w:val="false"/>
          <w:bCs w:val="false"/>
          <w:sz w:val="20"/>
          <w:szCs w:val="20"/>
        </w:rPr>
        <w:t xml:space="preserve">Baldwin, T. T., &amp; Ford, J. K. (1988). Transfer of training: A review and directions for future research. Personnel Psychology, 41(1), 63–105. https://doi.org/10.1111/j.1744-6570.1988.tb00632.x</w:t>
      </w:r>
    </w:p>
    <w:p>
      <w:pPr>
        <w:spacing w:after="80" w:line="300"/>
        <w:ind w:left="720" w:hanging="360"/>
        <w:jc w:val="both"/>
      </w:pPr>
      <w:r>
        <w:rPr>
          <w:rFonts w:ascii="Times New Roman" w:cs="Times New Roman" w:eastAsia="Times New Roman" w:hAnsi="Times New Roman"/>
          <w:b w:val="false"/>
          <w:bCs w:val="false"/>
          <w:sz w:val="20"/>
          <w:szCs w:val="20"/>
        </w:rPr>
        <w:t xml:space="preserve">Blume, B. D., Ford, J. K., Baldwin, T. T., &amp; Huang, J. L. (2010). Transfer of training: A meta-analytic review. Journal of Management, 36(4), 1065–1105. https://doi.org/10.1177/0149206309352880</w:t>
      </w:r>
    </w:p>
    <w:p>
      <w:pPr>
        <w:spacing w:after="80" w:line="300"/>
        <w:ind w:left="720" w:hanging="360"/>
        <w:jc w:val="both"/>
      </w:pPr>
      <w:r>
        <w:rPr>
          <w:rFonts w:ascii="Times New Roman" w:cs="Times New Roman" w:eastAsia="Times New Roman" w:hAnsi="Times New Roman"/>
          <w:b w:val="false"/>
          <w:bCs w:val="false"/>
          <w:sz w:val="20"/>
          <w:szCs w:val="20"/>
        </w:rPr>
        <w:t xml:space="preserve">Garrison, D. R., &amp; Kanuka, H. (2004). Blended learning: Uncovering its transformative potential in higher education. The Internet and Higher Education, 7(2), 95–105. https://doi.org/10.1016/j.iheduc.2004.02.001</w:t>
      </w:r>
    </w:p>
    <w:p>
      <w:pPr>
        <w:spacing w:after="80" w:line="300"/>
        <w:ind w:left="720" w:hanging="360"/>
        <w:jc w:val="both"/>
      </w:pPr>
      <w:r>
        <w:rPr>
          <w:rFonts w:ascii="Times New Roman" w:cs="Times New Roman" w:eastAsia="Times New Roman" w:hAnsi="Times New Roman"/>
          <w:b w:val="false"/>
          <w:bCs w:val="false"/>
          <w:sz w:val="20"/>
          <w:szCs w:val="20"/>
        </w:rPr>
        <w:t xml:space="preserve">Graham, C. R. (2006). Blended learning systems: Definition, current trends, and future directions. In C. J. Bonk &amp; C. R. Graham (Eds.), The handbook of blended learning (pp. 3–21). Pfeiffer.</w:t>
      </w:r>
    </w:p>
    <w:p>
      <w:pPr>
        <w:spacing w:after="80" w:line="300"/>
        <w:ind w:left="720" w:hanging="360"/>
        <w:jc w:val="both"/>
      </w:pPr>
      <w:r>
        <w:rPr>
          <w:rFonts w:ascii="Times New Roman" w:cs="Times New Roman" w:eastAsia="Times New Roman" w:hAnsi="Times New Roman"/>
          <w:b w:val="false"/>
          <w:bCs w:val="false"/>
          <w:sz w:val="20"/>
          <w:szCs w:val="20"/>
        </w:rPr>
        <w:t xml:space="preserve">Han, F., &amp; Ellis, R. A. (2020). Initial development and validation of the Perceptions of the Blended Learning Environment Questionnaire. Journal of Psychoeducational Assessment, 38(1), 23–38. https://doi.org/10.1177/0734282919834091</w:t>
      </w:r>
    </w:p>
    <w:p>
      <w:pPr>
        <w:spacing w:after="80" w:line="300"/>
        <w:ind w:left="720" w:hanging="360"/>
        <w:jc w:val="both"/>
      </w:pPr>
      <w:r>
        <w:rPr>
          <w:rFonts w:ascii="Times New Roman" w:cs="Times New Roman" w:eastAsia="Times New Roman" w:hAnsi="Times New Roman"/>
          <w:b w:val="false"/>
          <w:bCs w:val="false"/>
          <w:sz w:val="20"/>
          <w:szCs w:val="20"/>
        </w:rPr>
        <w:t xml:space="preserve">Holton, E. F. (1996). The flawed four-level evaluation model. Human Resource Development Quarterly, 7(1), 5–21. https://doi.org/10.1002/hrdq.3920070103</w:t>
      </w:r>
    </w:p>
    <w:p>
      <w:pPr>
        <w:spacing w:after="80" w:line="300"/>
        <w:ind w:left="720" w:hanging="360"/>
        <w:jc w:val="both"/>
      </w:pPr>
      <w:r>
        <w:rPr>
          <w:rFonts w:ascii="Times New Roman" w:cs="Times New Roman" w:eastAsia="Times New Roman" w:hAnsi="Times New Roman"/>
          <w:b w:val="false"/>
          <w:bCs w:val="false"/>
          <w:sz w:val="20"/>
          <w:szCs w:val="20"/>
        </w:rPr>
        <w:t xml:space="preserve">Kim, S. (2022). Innovating workplace learning: Training methodology analysis based on content, instructional design, programmed learning, and recommendation framework. Frontiers in Psychology, 13, 870574. https://doi.org/10.3389/fpsyg.2022.870574</w:t>
      </w:r>
    </w:p>
    <w:p>
      <w:pPr>
        <w:spacing w:after="80" w:line="300"/>
        <w:ind w:left="720" w:hanging="360"/>
        <w:jc w:val="both"/>
      </w:pPr>
      <w:r>
        <w:rPr>
          <w:rFonts w:ascii="Times New Roman" w:cs="Times New Roman" w:eastAsia="Times New Roman" w:hAnsi="Times New Roman"/>
          <w:b w:val="false"/>
          <w:bCs w:val="false"/>
          <w:sz w:val="20"/>
          <w:szCs w:val="20"/>
        </w:rPr>
        <w:t xml:space="preserve">Kirkpatrick, D. L. (1994). Evaluating training programs: The four levels. Berrett-Koehler.</w:t>
      </w:r>
    </w:p>
    <w:p>
      <w:pPr>
        <w:spacing w:after="80" w:line="300"/>
        <w:ind w:left="720" w:hanging="360"/>
        <w:jc w:val="both"/>
      </w:pPr>
      <w:r>
        <w:rPr>
          <w:rFonts w:ascii="Times New Roman" w:cs="Times New Roman" w:eastAsia="Times New Roman" w:hAnsi="Times New Roman"/>
          <w:b w:val="false"/>
          <w:bCs w:val="false"/>
          <w:sz w:val="20"/>
          <w:szCs w:val="20"/>
        </w:rPr>
        <w:t xml:space="preserve">Kumar, R., &amp; Pande, N. (2017). Technology-mediated learning paradigm and the blended learning ecosystem: What works for working professionals? Procedia Computer Science, 122, 1114–1123. https://doi.org/10.1016/j.procs.2017.11.446</w:t>
      </w:r>
    </w:p>
    <w:p>
      <w:pPr>
        <w:spacing w:after="80" w:line="300"/>
        <w:ind w:left="720" w:hanging="360"/>
        <w:jc w:val="both"/>
      </w:pPr>
      <w:r>
        <w:rPr>
          <w:rFonts w:ascii="Times New Roman" w:cs="Times New Roman" w:eastAsia="Times New Roman" w:hAnsi="Times New Roman"/>
          <w:b w:val="false"/>
          <w:bCs w:val="false"/>
          <w:sz w:val="20"/>
          <w:szCs w:val="20"/>
        </w:rPr>
        <w:t xml:space="preserve">Mubayrik, H. B. (2018). The present and future state of blended learning at workplace-learning settings in adult education: A systematic review. Journal of Social Studies Education Research, 9(4), 247–273.</w:t>
      </w:r>
    </w:p>
    <w:p>
      <w:pPr>
        <w:spacing w:after="80" w:line="300"/>
        <w:ind w:left="720" w:hanging="360"/>
        <w:jc w:val="both"/>
      </w:pPr>
      <w:r>
        <w:rPr>
          <w:rFonts w:ascii="Times New Roman" w:cs="Times New Roman" w:eastAsia="Times New Roman" w:hAnsi="Times New Roman"/>
          <w:b w:val="false"/>
          <w:bCs w:val="false"/>
          <w:sz w:val="20"/>
          <w:szCs w:val="20"/>
        </w:rPr>
        <w:t xml:space="preserve">Mulaudzi, M. S. (2021). The use of blended teaching to improve workplace training in the transport sector [Master’s dissertation, University of Johannesburg]. https://hdl.handle.net/10210/501896</w:t>
      </w:r>
    </w:p>
    <w:p>
      <w:pPr>
        <w:spacing w:after="80" w:line="300"/>
        <w:ind w:left="720" w:hanging="360"/>
        <w:jc w:val="both"/>
      </w:pPr>
      <w:r>
        <w:rPr>
          <w:rFonts w:ascii="Times New Roman" w:cs="Times New Roman" w:eastAsia="Times New Roman" w:hAnsi="Times New Roman"/>
          <w:b w:val="false"/>
          <w:bCs w:val="false"/>
          <w:sz w:val="20"/>
          <w:szCs w:val="20"/>
        </w:rPr>
        <w:t xml:space="preserve">Schaufeli, W. B., Bakker, A. B., &amp; Salanova, M. (2006). The measurement of work engagement with a short questionnaire. Educational and Psychological Measurement, 66(4), 701–716. https://doi.org/10.1177/0013164405282471</w:t>
      </w:r>
    </w:p>
    <w:p>
      <w:pPr>
        <w:spacing w:after="80" w:line="300"/>
        <w:ind w:left="720" w:hanging="360"/>
        <w:jc w:val="both"/>
      </w:pPr>
      <w:r>
        <w:rPr>
          <w:rFonts w:ascii="Times New Roman" w:cs="Times New Roman" w:eastAsia="Times New Roman" w:hAnsi="Times New Roman"/>
          <w:b w:val="false"/>
          <w:bCs w:val="false"/>
          <w:sz w:val="20"/>
          <w:szCs w:val="20"/>
        </w:rPr>
        <w:t xml:space="preserve">Sosnova, M., Hlianenko, K., Sosnova, V., Tsyna, V., &amp; Tsyna, A. (2025). Enhancing the effectiveness of learning through hybrid education methods. Revista Eduweb, 19(2), 95–106. https://doi.org/10.46502/issn.1856-7576/2025.19.02.7</w:t>
      </w:r>
    </w:p>
    <w:p>
      <w:pPr>
        <w:spacing w:after="80" w:line="300"/>
        <w:ind w:left="720" w:hanging="360"/>
        <w:jc w:val="both"/>
      </w:pPr>
      <w:r>
        <w:rPr>
          <w:rFonts w:ascii="Times New Roman" w:cs="Times New Roman" w:eastAsia="Times New Roman" w:hAnsi="Times New Roman"/>
          <w:b w:val="false"/>
          <w:bCs w:val="false"/>
          <w:sz w:val="20"/>
          <w:szCs w:val="20"/>
        </w:rPr>
        <w:t xml:space="preserve">Uddin, M., Ahamed, M. R., Jakowan, Islam, M. R., &amp; Nahar, M. (2026). How blended learning influences employee performance: The mediating role of soft skill development and knowledge acquisition. International Journal of Accounting and Economics Studies, 13(2), 243–250. https://doi.org/10.14419/9cjynm83</w:t>
      </w:r>
    </w:p>
    <w:p>
      <w:r>
        <w:t>Union Bank of India. (n.d.-a). About Union Bank of India. Retrieved September 22, 2026, from https://www.unionbankofindia.bank.in/en/common/profile</w:t>
      </w:r>
    </w:p>
    <w:p>
      <w:r>
        <w:t>Union Bank of India. (n.d.-b). Address and contact details of training centres. Retrieved September 22, 2026, from https://www.unionbankofindia.bank.in/pdf/address%20and%20contact%20details%20of%20training%20centres.pdf</w:t>
      </w:r>
    </w:p>
    <w:p>
      <w:r>
        <w:t>Union Bank of India. (2022, October 1). Union Bank of India launches 9 Union Learning Academies [Press release]. https://www.unionbankofindia.bank.in/pdf/union%20bank%20of%20india%20launches%209%20union%20learning%20academies.pdf</w:t>
      </w:r>
    </w:p>
    <w:p>
      <w:r>
        <w:t>Union Bank of India. (2024). Integrated annual report 2023–24. https://www.unionbankofindia.bank.in/pdf/ubi-iar2024-final-stitched-book-english-compressed-26-06-2024.pdf</w:t>
      </w:r>
    </w:p>
    <w:p>
      <w:r>
        <w:t>Union Bank of India. (2025). Integrated annual report 2024–25. https://www.unionbankofindia.bank.in/pdf/union-bank-ar-2024-25-eng-final.pdf</w:t>
      </w:r>
    </w:p>
    <w:p>
      <w:r>
        <w:t>Union Bank of India. (2026, September 9). Live streaming of training sessions from training centres – Enhancing learning accessibility across the Bank [Staff circular, internal].</w:t>
      </w:r>
    </w:p>
    <w:p>
      <w:pPr>
        <w:spacing w:after="80" w:line="300"/>
        <w:ind w:left="720" w:hanging="360"/>
        <w:jc w:val="both"/>
      </w:pPr>
      <w:r>
        <w:rPr>
          <w:rFonts w:ascii="Times New Roman" w:cs="Times New Roman" w:eastAsia="Times New Roman" w:hAnsi="Times New Roman"/>
          <w:b w:val="false"/>
          <w:bCs w:val="false"/>
          <w:sz w:val="20"/>
          <w:szCs w:val="20"/>
        </w:rPr>
        <w:t xml:space="preserve">Vo, M. H., Zhu, C., &amp; Diep, N. A. (2017). The effect of blended learning on student performance at course-level in higher education: A meta-analysis. Studies in Educational Evaluation, 53, 17–28. https://doi.org/10.1016/j.stueduc.2017.01.002</w:t>
      </w:r>
    </w:p>
    <w:p>
      <w:pPr>
        <w:spacing w:after="80" w:line="300"/>
        <w:ind w:left="720" w:hanging="360"/>
        <w:jc w:val="both"/>
      </w:pPr>
      <w:r>
        <w:rPr>
          <w:rFonts w:ascii="Times New Roman" w:cs="Times New Roman" w:eastAsia="Times New Roman" w:hAnsi="Times New Roman"/>
          <w:b w:val="false"/>
          <w:bCs w:val="false"/>
          <w:sz w:val="20"/>
          <w:szCs w:val="20"/>
        </w:rPr>
        <w:t xml:space="preserve">Yu, Q., Yu, K., Li, B., &amp; Wang, Q. (2025). Effectiveness of blended learning on students’ learning performance: A meta-analysis. Journal of Research on Technology in Education, 57(3), 499–520. https://doi.org/10.1080/15391523.2023.2264984</w:t>
      </w:r>
    </w:p>
    <w:p>
      <w:r>
        <w:br w:type="page"/>
      </w:r>
    </w:p>
    <w:p>
      <w:pPr>
        <w:pStyle w:val="Heading1"/>
        <w:keepNext/>
        <w:spacing w:after="160" w:before="0"/>
      </w:pPr>
      <w:r>
        <w:rPr>
          <w:rFonts w:ascii="Times New Roman" w:cs="Times New Roman" w:eastAsia="Times New Roman" w:hAnsi="Times New Roman"/>
          <w:b/>
          <w:bCs/>
          <w:color w:val="19324A"/>
          <w:sz w:val="30"/>
          <w:szCs w:val="30"/>
        </w:rPr>
        <w:t xml:space="preserve">Appendix - Questionnaire</w:t>
      </w:r>
    </w:p>
    <w:p>
      <w:pPr>
        <w:pStyle w:val="Heading2"/>
        <w:keepNext/>
        <w:spacing w:after="160" w:before="280"/>
      </w:pPr>
      <w:r>
        <w:rPr>
          <w:rFonts w:ascii="Times New Roman" w:cs="Times New Roman" w:eastAsia="Times New Roman" w:hAnsi="Times New Roman"/>
          <w:b/>
          <w:bCs/>
          <w:color w:val="19324A"/>
          <w:sz w:val="27"/>
          <w:szCs w:val="27"/>
        </w:rPr>
        <w:t xml:space="preserve">Hybrid Learning and Training Effectiveness at Union Bank of India</w:t>
      </w:r>
    </w:p>
    <w:p>
      <w:pPr>
        <w:spacing w:after="140" w:line="360"/>
        <w:jc w:val="both"/>
      </w:pPr>
      <w:r>
        <w:rPr>
          <w:rFonts w:ascii="Times New Roman" w:cs="Times New Roman" w:eastAsia="Times New Roman" w:hAnsi="Times New Roman"/>
          <w:b w:val="false"/>
          <w:bCs w:val="false"/>
          <w:sz w:val="24"/>
          <w:szCs w:val="24"/>
        </w:rPr>
        <w:t xml:space="preserve">This questionnaire forms part of an academic study on hybrid learning and training effectiveness among employees of Union Bank of India.</w:t>
      </w:r>
    </w:p>
    <w:p>
      <w:pPr>
        <w:spacing w:after="140" w:line="360"/>
        <w:jc w:val="both"/>
      </w:pPr>
      <w:r>
        <w:rPr>
          <w:rFonts w:ascii="Times New Roman" w:cs="Times New Roman" w:eastAsia="Times New Roman" w:hAnsi="Times New Roman"/>
          <w:b w:val="false"/>
          <w:bCs w:val="false"/>
          <w:sz w:val="24"/>
          <w:szCs w:val="24"/>
        </w:rPr>
        <w:t xml:space="preserve">In this study, hybrid learning means a training programme in which digital learning and face-to-face learning were planned as connected parts of the same programme. The digital component may have used Union Vidya, Union Bank of India’s Learning Management System (LMS), or another authorised learning platform.</w:t>
      </w:r>
    </w:p>
    <w:p>
      <w:pPr>
        <w:spacing w:after="140" w:line="360"/>
        <w:jc w:val="both"/>
      </w:pPr>
      <w:r>
        <w:rPr>
          <w:rFonts w:ascii="Times New Roman" w:cs="Times New Roman" w:eastAsia="Times New Roman" w:hAnsi="Times New Roman"/>
          <w:b w:val="false"/>
          <w:bCs w:val="false"/>
          <w:sz w:val="24"/>
          <w:szCs w:val="24"/>
        </w:rPr>
        <w:t xml:space="preserve">Please answer the statements with reference to one hybrid-training programme attended during the last 12 months. There are no right or wrong answers. Participation is voluntary and confidential. Do not write your name, employee number, customer details, or any confidential Bank information.</w:t>
      </w:r>
    </w:p>
    <w:p>
      <w:pPr>
        <w:pStyle w:val="Heading2"/>
        <w:keepNext/>
        <w:spacing w:after="160" w:before="280"/>
      </w:pPr>
      <w:r>
        <w:rPr>
          <w:rFonts w:ascii="Times New Roman" w:cs="Times New Roman" w:eastAsia="Times New Roman" w:hAnsi="Times New Roman"/>
          <w:b/>
          <w:bCs/>
          <w:color w:val="19324A"/>
          <w:sz w:val="27"/>
          <w:szCs w:val="27"/>
        </w:rPr>
        <w:t xml:space="preserve">Section A - Eligibility and Basic Information</w:t>
      </w:r>
    </w:p>
    <w:p>
      <w:pPr>
        <w:spacing w:after="140" w:line="360"/>
        <w:ind w:left="360" w:hanging="360"/>
        <w:jc w:val="left"/>
      </w:pPr>
      <w:r>
        <w:rPr>
          <w:rFonts w:ascii="Times New Roman" w:cs="Times New Roman" w:eastAsia="Times New Roman" w:hAnsi="Times New Roman"/>
          <w:sz w:val="24"/>
          <w:szCs w:val="24"/>
        </w:rPr>
        <w:t xml:space="preserve">1. During the last 12 months, have you attended a training programme that included both digital or online learning and face-to-face learning?  </w:t>
      </w:r>
    </w:p>
    <w:p>
      <w:pPr>
        <w:spacing w:after="140" w:line="360"/>
        <w:jc w:val="both"/>
      </w:pPr>
      <w:r>
        <w:rPr>
          <w:rFonts w:ascii="Times New Roman" w:cs="Times New Roman" w:eastAsia="Times New Roman" w:hAnsi="Times New Roman"/>
          <w:b w:val="false"/>
          <w:bCs w:val="false"/>
          <w:sz w:val="24"/>
          <w:szCs w:val="24"/>
        </w:rPr>
        <w:t xml:space="preserve">   Yes / No  </w:t>
      </w:r>
    </w:p>
    <w:p>
      <w:pPr>
        <w:spacing w:after="140" w:line="360"/>
        <w:jc w:val="both"/>
      </w:pPr>
      <w:r>
        <w:rPr>
          <w:rFonts w:ascii="Times New Roman" w:cs="Times New Roman" w:eastAsia="Times New Roman" w:hAnsi="Times New Roman"/>
          <w:b w:val="false"/>
          <w:bCs w:val="false"/>
          <w:sz w:val="24"/>
          <w:szCs w:val="24"/>
        </w:rPr>
        <w:t xml:space="preserve">   If your answer is No, please do not continue with the questionnaire.</w:t>
      </w:r>
    </w:p>
    <w:p>
      <w:pPr>
        <w:spacing w:after="140" w:line="360"/>
        <w:ind w:left="360" w:hanging="360"/>
        <w:jc w:val="left"/>
      </w:pPr>
      <w:r>
        <w:rPr>
          <w:rFonts w:ascii="Times New Roman" w:cs="Times New Roman" w:eastAsia="Times New Roman" w:hAnsi="Times New Roman"/>
          <w:sz w:val="24"/>
          <w:szCs w:val="24"/>
        </w:rPr>
        <w:t xml:space="preserve">2. Age group: Below 25 / 25–34 / 35–44 / 45–54 / 55 and above</w:t>
      </w:r>
    </w:p>
    <w:p>
      <w:pPr>
        <w:spacing w:after="140" w:line="360"/>
        <w:ind w:left="360" w:hanging="360"/>
        <w:jc w:val="left"/>
      </w:pPr>
      <w:r>
        <w:rPr>
          <w:rFonts w:ascii="Times New Roman" w:cs="Times New Roman" w:eastAsia="Times New Roman" w:hAnsi="Times New Roman"/>
          <w:sz w:val="24"/>
          <w:szCs w:val="24"/>
        </w:rPr>
        <w:t xml:space="preserve">3. Length of service in Union Bank of India: Below 5 years / 5–10 years / 11–20 years / Above 20 years</w:t>
      </w:r>
    </w:p>
    <w:p>
      <w:pPr>
        <w:spacing w:after="140" w:line="360"/>
        <w:ind w:left="360" w:hanging="360"/>
        <w:jc w:val="left"/>
      </w:pPr>
      <w:r>
        <w:rPr>
          <w:rFonts w:ascii="Times New Roman" w:cs="Times New Roman" w:eastAsia="Times New Roman" w:hAnsi="Times New Roman"/>
          <w:sz w:val="24"/>
          <w:szCs w:val="24"/>
        </w:rPr>
        <w:t xml:space="preserve">4. Job level: Clerical / Officer / Managerial / Other</w:t>
      </w:r>
    </w:p>
    <w:p>
      <w:pPr>
        <w:pStyle w:val="Heading2"/>
        <w:keepNext/>
        <w:spacing w:after="160" w:before="280"/>
      </w:pPr>
      <w:r>
        <w:rPr>
          <w:rFonts w:ascii="Times New Roman" w:cs="Times New Roman" w:eastAsia="Times New Roman" w:hAnsi="Times New Roman"/>
          <w:b/>
          <w:bCs/>
          <w:color w:val="19324A"/>
          <w:sz w:val="27"/>
          <w:szCs w:val="27"/>
        </w:rPr>
        <w:t xml:space="preserve">Response Scale for Questions 5–30</w:t>
      </w:r>
    </w:p>
    <w:p>
      <w:pPr>
        <w:spacing w:after="140" w:line="360"/>
        <w:jc w:val="both"/>
      </w:pPr>
      <w:r>
        <w:rPr>
          <w:rFonts w:ascii="Times New Roman" w:cs="Times New Roman" w:eastAsia="Times New Roman" w:hAnsi="Times New Roman"/>
          <w:b w:val="false"/>
          <w:bCs w:val="false"/>
          <w:sz w:val="24"/>
          <w:szCs w:val="24"/>
        </w:rPr>
        <w:t xml:space="preserve">1 – Strongly Disagree  </w:t>
      </w:r>
    </w:p>
    <w:p>
      <w:pPr>
        <w:spacing w:after="140" w:line="360"/>
        <w:jc w:val="both"/>
      </w:pPr>
      <w:r>
        <w:rPr>
          <w:rFonts w:ascii="Times New Roman" w:cs="Times New Roman" w:eastAsia="Times New Roman" w:hAnsi="Times New Roman"/>
          <w:b w:val="false"/>
          <w:bCs w:val="false"/>
          <w:sz w:val="24"/>
          <w:szCs w:val="24"/>
        </w:rPr>
        <w:t xml:space="preserve">2 – Disagree  </w:t>
      </w:r>
    </w:p>
    <w:p>
      <w:pPr>
        <w:spacing w:after="140" w:line="360"/>
        <w:jc w:val="both"/>
      </w:pPr>
      <w:r>
        <w:rPr>
          <w:rFonts w:ascii="Times New Roman" w:cs="Times New Roman" w:eastAsia="Times New Roman" w:hAnsi="Times New Roman"/>
          <w:b w:val="false"/>
          <w:bCs w:val="false"/>
          <w:sz w:val="24"/>
          <w:szCs w:val="24"/>
        </w:rPr>
        <w:t xml:space="preserve">3 – Neither Agree nor Disagree  </w:t>
      </w:r>
    </w:p>
    <w:p>
      <w:pPr>
        <w:spacing w:after="140" w:line="360"/>
        <w:jc w:val="both"/>
      </w:pPr>
      <w:r>
        <w:rPr>
          <w:rFonts w:ascii="Times New Roman" w:cs="Times New Roman" w:eastAsia="Times New Roman" w:hAnsi="Times New Roman"/>
          <w:b w:val="false"/>
          <w:bCs w:val="false"/>
          <w:sz w:val="24"/>
          <w:szCs w:val="24"/>
        </w:rPr>
        <w:t xml:space="preserve">4 – Agree  </w:t>
      </w:r>
    </w:p>
    <w:p>
      <w:pPr>
        <w:spacing w:after="140" w:line="360"/>
        <w:jc w:val="both"/>
      </w:pPr>
      <w:r>
        <w:rPr>
          <w:rFonts w:ascii="Times New Roman" w:cs="Times New Roman" w:eastAsia="Times New Roman" w:hAnsi="Times New Roman"/>
          <w:b w:val="false"/>
          <w:bCs w:val="false"/>
          <w:sz w:val="24"/>
          <w:szCs w:val="24"/>
        </w:rPr>
        <w:t xml:space="preserve">5 – Strongly Agree</w:t>
      </w:r>
    </w:p>
    <w:p>
      <w:pPr>
        <w:pStyle w:val="Heading2"/>
        <w:keepNext/>
        <w:spacing w:after="160" w:before="280"/>
      </w:pPr>
      <w:r>
        <w:rPr>
          <w:rFonts w:ascii="Times New Roman" w:cs="Times New Roman" w:eastAsia="Times New Roman" w:hAnsi="Times New Roman"/>
          <w:b/>
          <w:bCs/>
          <w:color w:val="19324A"/>
          <w:sz w:val="27"/>
          <w:szCs w:val="27"/>
        </w:rPr>
        <w:t xml:space="preserve">Section B - Hybrid Learning</w:t>
      </w:r>
    </w:p>
    <w:p>
      <w:pPr>
        <w:spacing w:after="140" w:line="360"/>
        <w:jc w:val="both"/>
      </w:pPr>
      <w:r>
        <w:rPr>
          <w:rFonts w:ascii="Times New Roman" w:cs="Times New Roman" w:eastAsia="Times New Roman" w:hAnsi="Times New Roman"/>
          <w:b w:val="false"/>
          <w:bCs w:val="false"/>
          <w:sz w:val="24"/>
          <w:szCs w:val="24"/>
        </w:rPr>
        <w:t xml:space="preserve">In Questions 5–11, “digital learning platform” means Union Vidya where it was used for your selected programme, or another authorised digital platform used for that programme.</w:t>
      </w:r>
    </w:p>
    <w:p>
      <w:pPr>
        <w:spacing w:after="140" w:line="360"/>
        <w:ind w:left="360" w:hanging="360"/>
        <w:jc w:val="left"/>
      </w:pPr>
      <w:r>
        <w:rPr>
          <w:rFonts w:ascii="Times New Roman" w:cs="Times New Roman" w:eastAsia="Times New Roman" w:hAnsi="Times New Roman"/>
          <w:sz w:val="24"/>
          <w:szCs w:val="24"/>
        </w:rPr>
        <w:t xml:space="preserve">5. The digital and face-to-face parts of the programme were planned as one connected learning experience.</w:t>
      </w:r>
    </w:p>
    <w:p>
      <w:pPr>
        <w:spacing w:after="140" w:line="360"/>
        <w:ind w:left="360" w:hanging="360"/>
        <w:jc w:val="left"/>
      </w:pPr>
      <w:r>
        <w:rPr>
          <w:rFonts w:ascii="Times New Roman" w:cs="Times New Roman" w:eastAsia="Times New Roman" w:hAnsi="Times New Roman"/>
          <w:sz w:val="24"/>
          <w:szCs w:val="24"/>
        </w:rPr>
        <w:t xml:space="preserve">6. The digital activities prepared me for the face-to-face sessions.</w:t>
      </w:r>
    </w:p>
    <w:p>
      <w:pPr>
        <w:spacing w:after="140" w:line="360"/>
        <w:ind w:left="360" w:hanging="360"/>
        <w:jc w:val="left"/>
      </w:pPr>
      <w:r>
        <w:rPr>
          <w:rFonts w:ascii="Times New Roman" w:cs="Times New Roman" w:eastAsia="Times New Roman" w:hAnsi="Times New Roman"/>
          <w:sz w:val="24"/>
          <w:szCs w:val="24"/>
        </w:rPr>
        <w:t xml:space="preserve">7. The face-to-face sessions helped me clarify or apply what I learned through the digital activities.</w:t>
      </w:r>
    </w:p>
    <w:p>
      <w:pPr>
        <w:spacing w:after="140" w:line="360"/>
        <w:ind w:left="360" w:hanging="360"/>
        <w:jc w:val="left"/>
      </w:pPr>
      <w:r>
        <w:rPr>
          <w:rFonts w:ascii="Times New Roman" w:cs="Times New Roman" w:eastAsia="Times New Roman" w:hAnsi="Times New Roman"/>
          <w:sz w:val="24"/>
          <w:szCs w:val="24"/>
        </w:rPr>
        <w:t xml:space="preserve">8. I could access the digital learning platform used for the programme without much difficulty.</w:t>
      </w:r>
    </w:p>
    <w:p>
      <w:pPr>
        <w:spacing w:after="140" w:line="360"/>
        <w:ind w:left="360" w:hanging="360"/>
        <w:jc w:val="left"/>
      </w:pPr>
      <w:r>
        <w:rPr>
          <w:rFonts w:ascii="Times New Roman" w:cs="Times New Roman" w:eastAsia="Times New Roman" w:hAnsi="Times New Roman"/>
          <w:sz w:val="24"/>
          <w:szCs w:val="24"/>
        </w:rPr>
        <w:t xml:space="preserve">9. The digital platform was easy for me to navigate while completing the training.</w:t>
      </w:r>
    </w:p>
    <w:p>
      <w:pPr>
        <w:spacing w:after="140" w:line="360"/>
        <w:ind w:left="360" w:hanging="360"/>
        <w:jc w:val="left"/>
      </w:pPr>
      <w:r>
        <w:rPr>
          <w:rFonts w:ascii="Times New Roman" w:cs="Times New Roman" w:eastAsia="Times New Roman" w:hAnsi="Times New Roman"/>
          <w:sz w:val="24"/>
          <w:szCs w:val="24"/>
        </w:rPr>
        <w:t xml:space="preserve">10. Learning materials on the digital platform were available when I needed them.</w:t>
      </w:r>
    </w:p>
    <w:p>
      <w:pPr>
        <w:spacing w:after="140" w:line="360"/>
        <w:ind w:left="360" w:hanging="360"/>
        <w:jc w:val="left"/>
      </w:pPr>
      <w:r>
        <w:rPr>
          <w:rFonts w:ascii="Times New Roman" w:cs="Times New Roman" w:eastAsia="Times New Roman" w:hAnsi="Times New Roman"/>
          <w:sz w:val="24"/>
          <w:szCs w:val="24"/>
        </w:rPr>
        <w:t xml:space="preserve">11. I could revisit digital modules or learning materials when I needed revision.</w:t>
      </w:r>
    </w:p>
    <w:p>
      <w:pPr>
        <w:pStyle w:val="Heading2"/>
        <w:keepNext/>
        <w:spacing w:after="160" w:before="280"/>
      </w:pPr>
      <w:r>
        <w:rPr>
          <w:rFonts w:ascii="Times New Roman" w:cs="Times New Roman" w:eastAsia="Times New Roman" w:hAnsi="Times New Roman"/>
          <w:b/>
          <w:bCs/>
          <w:color w:val="19324A"/>
          <w:sz w:val="27"/>
          <w:szCs w:val="27"/>
        </w:rPr>
        <w:t xml:space="preserve">Section C - Trainer Competence</w:t>
      </w:r>
    </w:p>
    <w:p>
      <w:pPr>
        <w:spacing w:after="140" w:line="360"/>
        <w:ind w:left="360" w:hanging="360"/>
        <w:jc w:val="left"/>
      </w:pPr>
      <w:r>
        <w:rPr>
          <w:rFonts w:ascii="Times New Roman" w:cs="Times New Roman" w:eastAsia="Times New Roman" w:hAnsi="Times New Roman"/>
          <w:sz w:val="24"/>
          <w:szCs w:val="24"/>
        </w:rPr>
        <w:t xml:space="preserve">12. The trainer had good knowledge of the training subject.</w:t>
      </w:r>
    </w:p>
    <w:p>
      <w:pPr>
        <w:spacing w:after="140" w:line="360"/>
        <w:ind w:left="360" w:hanging="360"/>
        <w:jc w:val="left"/>
      </w:pPr>
      <w:r>
        <w:rPr>
          <w:rFonts w:ascii="Times New Roman" w:cs="Times New Roman" w:eastAsia="Times New Roman" w:hAnsi="Times New Roman"/>
          <w:sz w:val="24"/>
          <w:szCs w:val="24"/>
        </w:rPr>
        <w:t xml:space="preserve">13. The trainer explained the training content clearly.</w:t>
      </w:r>
    </w:p>
    <w:p>
      <w:pPr>
        <w:spacing w:after="140" w:line="360"/>
        <w:ind w:left="360" w:hanging="360"/>
        <w:jc w:val="left"/>
      </w:pPr>
      <w:r>
        <w:rPr>
          <w:rFonts w:ascii="Times New Roman" w:cs="Times New Roman" w:eastAsia="Times New Roman" w:hAnsi="Times New Roman"/>
          <w:sz w:val="24"/>
          <w:szCs w:val="24"/>
        </w:rPr>
        <w:t xml:space="preserve">14. The trainer explained how the digital and face-to-face activities were connected.</w:t>
      </w:r>
    </w:p>
    <w:p>
      <w:pPr>
        <w:spacing w:after="140" w:line="360"/>
        <w:ind w:left="360" w:hanging="360"/>
        <w:jc w:val="left"/>
      </w:pPr>
      <w:r>
        <w:rPr>
          <w:rFonts w:ascii="Times New Roman" w:cs="Times New Roman" w:eastAsia="Times New Roman" w:hAnsi="Times New Roman"/>
          <w:sz w:val="24"/>
          <w:szCs w:val="24"/>
        </w:rPr>
        <w:t xml:space="preserve">15. The trainer was able to use the digital tools involved in the programme effectively.</w:t>
      </w:r>
    </w:p>
    <w:p>
      <w:pPr>
        <w:spacing w:after="140" w:line="360"/>
        <w:ind w:left="360" w:hanging="360"/>
        <w:jc w:val="left"/>
      </w:pPr>
      <w:r>
        <w:rPr>
          <w:rFonts w:ascii="Times New Roman" w:cs="Times New Roman" w:eastAsia="Times New Roman" w:hAnsi="Times New Roman"/>
          <w:sz w:val="24"/>
          <w:szCs w:val="24"/>
        </w:rPr>
        <w:t xml:space="preserve">16. The trainer encouraged employees to ask questions and take part in activities.</w:t>
      </w:r>
    </w:p>
    <w:p>
      <w:pPr>
        <w:spacing w:after="140" w:line="360"/>
        <w:ind w:left="360" w:hanging="360"/>
        <w:jc w:val="left"/>
      </w:pPr>
      <w:r>
        <w:rPr>
          <w:rFonts w:ascii="Times New Roman" w:cs="Times New Roman" w:eastAsia="Times New Roman" w:hAnsi="Times New Roman"/>
          <w:sz w:val="24"/>
          <w:szCs w:val="24"/>
        </w:rPr>
        <w:t xml:space="preserve">17. The trainer gave feedback that helped me understand or improve my learning.</w:t>
      </w:r>
    </w:p>
    <w:p>
      <w:pPr>
        <w:pStyle w:val="Heading2"/>
        <w:keepNext/>
        <w:spacing w:after="160" w:before="280"/>
      </w:pPr>
      <w:r>
        <w:rPr>
          <w:rFonts w:ascii="Times New Roman" w:cs="Times New Roman" w:eastAsia="Times New Roman" w:hAnsi="Times New Roman"/>
          <w:b/>
          <w:bCs/>
          <w:color w:val="19324A"/>
          <w:sz w:val="27"/>
          <w:szCs w:val="27"/>
        </w:rPr>
        <w:t xml:space="preserve">Section D - Learner Engagement</w:t>
      </w:r>
    </w:p>
    <w:p>
      <w:pPr>
        <w:spacing w:after="140" w:line="360"/>
        <w:ind w:left="360" w:hanging="360"/>
        <w:jc w:val="left"/>
      </w:pPr>
      <w:r>
        <w:rPr>
          <w:rFonts w:ascii="Times New Roman" w:cs="Times New Roman" w:eastAsia="Times New Roman" w:hAnsi="Times New Roman"/>
          <w:sz w:val="24"/>
          <w:szCs w:val="24"/>
        </w:rPr>
        <w:t xml:space="preserve">18. I stayed attentive during the training activities.</w:t>
      </w:r>
    </w:p>
    <w:p>
      <w:pPr>
        <w:spacing w:after="140" w:line="360"/>
        <w:ind w:left="360" w:hanging="360"/>
        <w:jc w:val="left"/>
      </w:pPr>
      <w:r>
        <w:rPr>
          <w:rFonts w:ascii="Times New Roman" w:cs="Times New Roman" w:eastAsia="Times New Roman" w:hAnsi="Times New Roman"/>
          <w:sz w:val="24"/>
          <w:szCs w:val="24"/>
        </w:rPr>
        <w:t xml:space="preserve">19. I made a serious effort to understand the training content.</w:t>
      </w:r>
    </w:p>
    <w:p>
      <w:pPr>
        <w:spacing w:after="140" w:line="360"/>
        <w:ind w:left="360" w:hanging="360"/>
        <w:jc w:val="left"/>
      </w:pPr>
      <w:r>
        <w:rPr>
          <w:rFonts w:ascii="Times New Roman" w:cs="Times New Roman" w:eastAsia="Times New Roman" w:hAnsi="Times New Roman"/>
          <w:sz w:val="24"/>
          <w:szCs w:val="24"/>
        </w:rPr>
        <w:t xml:space="preserve">20. I participated actively in discussions, exercises, or other training activities.</w:t>
      </w:r>
    </w:p>
    <w:p>
      <w:pPr>
        <w:spacing w:after="140" w:line="360"/>
        <w:ind w:left="360" w:hanging="360"/>
        <w:jc w:val="left"/>
      </w:pPr>
      <w:r>
        <w:rPr>
          <w:rFonts w:ascii="Times New Roman" w:cs="Times New Roman" w:eastAsia="Times New Roman" w:hAnsi="Times New Roman"/>
          <w:sz w:val="24"/>
          <w:szCs w:val="24"/>
        </w:rPr>
        <w:t xml:space="preserve">21. I felt involved in the learning process rather than simply completing required activities.</w:t>
      </w:r>
    </w:p>
    <w:p>
      <w:pPr>
        <w:spacing w:after="140" w:line="360"/>
        <w:ind w:left="360" w:hanging="360"/>
        <w:jc w:val="left"/>
      </w:pPr>
      <w:r>
        <w:rPr>
          <w:rFonts w:ascii="Times New Roman" w:cs="Times New Roman" w:eastAsia="Times New Roman" w:hAnsi="Times New Roman"/>
          <w:sz w:val="24"/>
          <w:szCs w:val="24"/>
        </w:rPr>
        <w:t xml:space="preserve">22. I asked questions or sought clarification when I did not understand something.</w:t>
      </w:r>
    </w:p>
    <w:p>
      <w:pPr>
        <w:spacing w:after="140" w:line="360"/>
        <w:ind w:left="360" w:hanging="360"/>
        <w:jc w:val="left"/>
      </w:pPr>
      <w:r>
        <w:rPr>
          <w:rFonts w:ascii="Times New Roman" w:cs="Times New Roman" w:eastAsia="Times New Roman" w:hAnsi="Times New Roman"/>
          <w:sz w:val="24"/>
          <w:szCs w:val="24"/>
        </w:rPr>
        <w:t xml:space="preserve">23. I remained interested in completing the programme.</w:t>
      </w:r>
    </w:p>
    <w:p>
      <w:pPr>
        <w:pStyle w:val="Heading2"/>
        <w:keepNext/>
        <w:spacing w:after="160" w:before="280"/>
      </w:pPr>
      <w:r>
        <w:rPr>
          <w:rFonts w:ascii="Times New Roman" w:cs="Times New Roman" w:eastAsia="Times New Roman" w:hAnsi="Times New Roman"/>
          <w:b/>
          <w:bCs/>
          <w:color w:val="19324A"/>
          <w:sz w:val="27"/>
          <w:szCs w:val="27"/>
        </w:rPr>
        <w:t xml:space="preserve">Section E - Training Effectiveness</w:t>
      </w:r>
    </w:p>
    <w:p>
      <w:pPr>
        <w:spacing w:after="140" w:line="360"/>
        <w:ind w:left="360" w:hanging="360"/>
        <w:jc w:val="left"/>
      </w:pPr>
      <w:r>
        <w:rPr>
          <w:rFonts w:ascii="Times New Roman" w:cs="Times New Roman" w:eastAsia="Times New Roman" w:hAnsi="Times New Roman"/>
          <w:sz w:val="24"/>
          <w:szCs w:val="24"/>
        </w:rPr>
        <w:t xml:space="preserve">24. I understood the main knowledge or skills covered in the programme.</w:t>
      </w:r>
    </w:p>
    <w:p>
      <w:pPr>
        <w:spacing w:after="140" w:line="360"/>
        <w:ind w:left="360" w:hanging="360"/>
        <w:jc w:val="left"/>
      </w:pPr>
      <w:r>
        <w:rPr>
          <w:rFonts w:ascii="Times New Roman" w:cs="Times New Roman" w:eastAsia="Times New Roman" w:hAnsi="Times New Roman"/>
          <w:sz w:val="24"/>
          <w:szCs w:val="24"/>
        </w:rPr>
        <w:t xml:space="preserve">25. The training gave me knowledge or skills that are useful in my current role.</w:t>
      </w:r>
    </w:p>
    <w:p>
      <w:pPr>
        <w:spacing w:after="140" w:line="360"/>
        <w:ind w:left="360" w:hanging="360"/>
        <w:jc w:val="left"/>
      </w:pPr>
      <w:r>
        <w:rPr>
          <w:rFonts w:ascii="Times New Roman" w:cs="Times New Roman" w:eastAsia="Times New Roman" w:hAnsi="Times New Roman"/>
          <w:sz w:val="24"/>
          <w:szCs w:val="24"/>
        </w:rPr>
        <w:t xml:space="preserve">26. The content of the programme was relevant to the work I do at the Bank.</w:t>
      </w:r>
    </w:p>
    <w:p>
      <w:pPr>
        <w:spacing w:after="140" w:line="360"/>
        <w:ind w:left="360" w:hanging="360"/>
        <w:jc w:val="left"/>
      </w:pPr>
      <w:r>
        <w:rPr>
          <w:rFonts w:ascii="Times New Roman" w:cs="Times New Roman" w:eastAsia="Times New Roman" w:hAnsi="Times New Roman"/>
          <w:sz w:val="24"/>
          <w:szCs w:val="24"/>
        </w:rPr>
        <w:t xml:space="preserve">27. I feel capable of using the knowledge or skills taught in the programme.</w:t>
      </w:r>
    </w:p>
    <w:p>
      <w:pPr>
        <w:spacing w:after="140" w:line="360"/>
        <w:ind w:left="360" w:hanging="360"/>
        <w:jc w:val="left"/>
      </w:pPr>
      <w:r>
        <w:rPr>
          <w:rFonts w:ascii="Times New Roman" w:cs="Times New Roman" w:eastAsia="Times New Roman" w:hAnsi="Times New Roman"/>
          <w:sz w:val="24"/>
          <w:szCs w:val="24"/>
        </w:rPr>
        <w:t xml:space="preserve">28. I have applied learning from the programme in my day-to-day work.</w:t>
      </w:r>
    </w:p>
    <w:p>
      <w:pPr>
        <w:spacing w:after="140" w:line="360"/>
        <w:ind w:left="360" w:hanging="360"/>
        <w:jc w:val="left"/>
      </w:pPr>
      <w:r>
        <w:rPr>
          <w:rFonts w:ascii="Times New Roman" w:cs="Times New Roman" w:eastAsia="Times New Roman" w:hAnsi="Times New Roman"/>
          <w:sz w:val="24"/>
          <w:szCs w:val="24"/>
        </w:rPr>
        <w:t xml:space="preserve">29. The programme helped me deal with relevant work tasks or problems more effectively.</w:t>
      </w:r>
    </w:p>
    <w:p>
      <w:pPr>
        <w:spacing w:after="140" w:line="360"/>
        <w:ind w:left="360" w:hanging="360"/>
        <w:jc w:val="left"/>
      </w:pPr>
      <w:r>
        <w:rPr>
          <w:rFonts w:ascii="Times New Roman" w:cs="Times New Roman" w:eastAsia="Times New Roman" w:hAnsi="Times New Roman"/>
          <w:sz w:val="24"/>
          <w:szCs w:val="24"/>
        </w:rPr>
        <w:t xml:space="preserve">30. The programme has improved my confidence in carrying out relevant work responsibilities.</w:t>
      </w:r>
    </w:p>
    <w:sectPr>
      <w:footerReference w:type="default" r:id="rId7"/>
      <w:type w:val="nextPage"/>
      <w:pgSz w:w="11906" w:h="16838"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ba84144237563c0016eceb175c924c4ea25d44.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Learning and Training Effectiveness at Union Bank of India</dc:title>
  <dc:creator>Sreetama Ghosh Ray</dc:creator>
  <cp:lastModifiedBy>Un-named</cp:lastModifiedBy>
  <cp:revision>1</cp:revision>
  <dcterms:created xsi:type="dcterms:W3CDTF">2026-09-21T03:24:04.278Z</dcterms:created>
  <dcterms:modified xsi:type="dcterms:W3CDTF">2026-09-21T03:24:04.284Z</dcterms:modified>
</cp:coreProperties>
</file>

<file path=docProps/custom.xml><?xml version="1.0" encoding="utf-8"?>
<Properties xmlns="http://schemas.openxmlformats.org/officeDocument/2006/custom-properties" xmlns:vt="http://schemas.openxmlformats.org/officeDocument/2006/docPropsVTypes"/>
</file>