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QUESTIONNAIRE</w:t>
      </w:r>
    </w:p>
    <w:p>
      <w:pPr>
        <w:jc w:val="center"/>
      </w:pPr>
      <w:r>
        <w:rPr>
          <w:b/>
          <w:sz w:val="26"/>
        </w:rPr>
        <w:t>Effectiveness of Blended Learning among Employees of Union Bank of India</w:t>
      </w:r>
    </w:p>
    <w:p>
      <w:r>
        <w:rPr>
          <w:b/>
        </w:rPr>
        <w:t xml:space="preserve">Source basis: </w:t>
      </w:r>
      <w:r>
        <w:t>Kumar, Ranjan &amp; Pande, Neerja (2017), “Technology-mediated learning paradigm and the blended learning ecosystem: what works for working professionals?” Procedia Computer Science, 122, 1114–1123.</w:t>
      </w:r>
    </w:p>
    <w:p>
      <w:r>
        <w:rPr>
          <w:b/>
        </w:rPr>
        <w:t xml:space="preserve">Methodological note: </w:t>
      </w:r>
      <w:r>
        <w:t>The original paper does not provide a ready-made validated questionnaire. The statements below operationalise the constructs and key success factors identified in the paper and adapt them to employees of Union Bank of India.</w:t>
      </w:r>
    </w:p>
    <w:p>
      <w:pPr>
        <w:pStyle w:val="Heading1"/>
      </w:pPr>
      <w:r>
        <w:t>Instructions to Respondents</w:t>
      </w:r>
    </w:p>
    <w:p>
      <w:r>
        <w:t>For Questions 1–25, please indicate your response using: 5 = Strongly Agree, 4 = Agree, 3 = Neutral, 2 = Disagree, 1 = Strongly Disagree.</w:t>
      </w:r>
    </w:p>
    <w:p>
      <w:pPr>
        <w:pStyle w:val="Heading1"/>
      </w:pPr>
      <w:r>
        <w:t>A. Independent Variable 1: Institutional Factors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</w:tcPr>
          <w:p>
            <w:r>
              <w:rPr>
                <w:b/>
              </w:rPr>
              <w:t>No.</w:t>
            </w:r>
          </w:p>
        </w:tc>
        <w:tc>
          <w:tcPr>
            <w:tcW w:type="dxa" w:w="828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944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648"/>
          </w:tcPr>
          <w:p>
            <w:r>
              <w:t>1</w:t>
            </w:r>
          </w:p>
        </w:tc>
        <w:tc>
          <w:tcPr>
            <w:tcW w:type="dxa" w:w="8280"/>
          </w:tcPr>
          <w:p>
            <w:r>
              <w:t>The blended-learning programmes of the Bank respond to my organizational/work-related learning needs.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2</w:t>
            </w:r>
          </w:p>
        </w:tc>
        <w:tc>
          <w:tcPr>
            <w:tcW w:type="dxa" w:w="8280"/>
          </w:tcPr>
          <w:p>
            <w:r>
              <w:t>The Bank regularly evaluates its blended-learning programmes.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3</w:t>
            </w:r>
          </w:p>
        </w:tc>
        <w:tc>
          <w:tcPr>
            <w:tcW w:type="dxa" w:w="8280"/>
          </w:tcPr>
          <w:p>
            <w:r>
              <w:t>The Bank has adequate organizational readiness to support blended learning.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4</w:t>
            </w:r>
          </w:p>
        </w:tc>
        <w:tc>
          <w:tcPr>
            <w:tcW w:type="dxa" w:w="8280"/>
          </w:tcPr>
          <w:p>
            <w:r>
              <w:t>Adequate technical resources are available for participating in blended learning.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5</w:t>
            </w:r>
          </w:p>
        </w:tc>
        <w:tc>
          <w:tcPr>
            <w:tcW w:type="dxa" w:w="8280"/>
          </w:tcPr>
          <w:p>
            <w:r>
              <w:t>Adequate feedback channels are available in blended-learning programmes.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</w:tbl>
    <w:p/>
    <w:p>
      <w:pPr>
        <w:pStyle w:val="Heading1"/>
      </w:pPr>
      <w:r>
        <w:t>B. Independent Variable 2: Faculty-Related Factors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</w:tcPr>
          <w:p>
            <w:r>
              <w:rPr>
                <w:b/>
              </w:rPr>
              <w:t>No.</w:t>
            </w:r>
          </w:p>
        </w:tc>
        <w:tc>
          <w:tcPr>
            <w:tcW w:type="dxa" w:w="828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944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648"/>
          </w:tcPr>
          <w:p>
            <w:r>
              <w:t>6</w:t>
            </w:r>
          </w:p>
        </w:tc>
        <w:tc>
          <w:tcPr>
            <w:tcW w:type="dxa" w:w="8280"/>
          </w:tcPr>
          <w:p>
            <w:r>
              <w:t>Faculty members are adequately prepared to facilitate blended learning.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7</w:t>
            </w:r>
          </w:p>
        </w:tc>
        <w:tc>
          <w:tcPr>
            <w:tcW w:type="dxa" w:w="8280"/>
          </w:tcPr>
          <w:p>
            <w:r>
              <w:t>Faculty members effectively support learning in both online and face-to-face modes.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8</w:t>
            </w:r>
          </w:p>
        </w:tc>
        <w:tc>
          <w:tcPr>
            <w:tcW w:type="dxa" w:w="8280"/>
          </w:tcPr>
          <w:p>
            <w:r>
              <w:t>Faculty support encourages participation and interaction during blended-learning programmes.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9</w:t>
            </w:r>
          </w:p>
        </w:tc>
        <w:tc>
          <w:tcPr>
            <w:tcW w:type="dxa" w:w="8280"/>
          </w:tcPr>
          <w:p>
            <w:r>
              <w:t>Useful digital learning resources are made available by faculty.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10</w:t>
            </w:r>
          </w:p>
        </w:tc>
        <w:tc>
          <w:tcPr>
            <w:tcW w:type="dxa" w:w="8280"/>
          </w:tcPr>
          <w:p>
            <w:r>
              <w:t>Digital learning resources provided during training can be reused for subsequent learning.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</w:tbl>
    <w:p/>
    <w:p>
      <w:pPr>
        <w:pStyle w:val="Heading1"/>
      </w:pPr>
      <w:r>
        <w:t>C. Independent Variable 3: Learner/Employee-Related Factors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</w:tcPr>
          <w:p>
            <w:r>
              <w:rPr>
                <w:b/>
              </w:rPr>
              <w:t>No.</w:t>
            </w:r>
          </w:p>
        </w:tc>
        <w:tc>
          <w:tcPr>
            <w:tcW w:type="dxa" w:w="828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944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648"/>
          </w:tcPr>
          <w:p>
            <w:r>
              <w:t>11</w:t>
            </w:r>
          </w:p>
        </w:tc>
        <w:tc>
          <w:tcPr>
            <w:tcW w:type="dxa" w:w="8280"/>
          </w:tcPr>
          <w:p>
            <w:r>
              <w:t>I am able to manage my time effectively while participating in blended-learning programmes.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12</w:t>
            </w:r>
          </w:p>
        </w:tc>
        <w:tc>
          <w:tcPr>
            <w:tcW w:type="dxa" w:w="8280"/>
          </w:tcPr>
          <w:p>
            <w:r>
              <w:t>I have the necessary virtual-learning skills to participate effectively in online learning.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13</w:t>
            </w:r>
          </w:p>
        </w:tc>
        <w:tc>
          <w:tcPr>
            <w:tcW w:type="dxa" w:w="8280"/>
          </w:tcPr>
          <w:p>
            <w:r>
              <w:t>The learning expectations of blended-training programmes are communicated clearly to me.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14</w:t>
            </w:r>
          </w:p>
        </w:tc>
        <w:tc>
          <w:tcPr>
            <w:tcW w:type="dxa" w:w="8280"/>
          </w:tcPr>
          <w:p>
            <w:r>
              <w:t>I actively participate in online discussion forums/online learning activities when these form part of the programme.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15</w:t>
            </w:r>
          </w:p>
        </w:tc>
        <w:tc>
          <w:tcPr>
            <w:tcW w:type="dxa" w:w="8280"/>
          </w:tcPr>
          <w:p>
            <w:r>
              <w:t>I am comfortable with independent learning through online learning resources.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</w:tbl>
    <w:p/>
    <w:p>
      <w:pPr>
        <w:pStyle w:val="Heading1"/>
      </w:pPr>
      <w:r>
        <w:t>D. Independent Variable 4: Pedagogy-Related Factors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</w:tcPr>
          <w:p>
            <w:r>
              <w:rPr>
                <w:b/>
              </w:rPr>
              <w:t>No.</w:t>
            </w:r>
          </w:p>
        </w:tc>
        <w:tc>
          <w:tcPr>
            <w:tcW w:type="dxa" w:w="828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944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648"/>
          </w:tcPr>
          <w:p>
            <w:r>
              <w:t>16</w:t>
            </w:r>
          </w:p>
        </w:tc>
        <w:tc>
          <w:tcPr>
            <w:tcW w:type="dxa" w:w="8280"/>
          </w:tcPr>
          <w:p>
            <w:r>
              <w:t>Appropriate learning media are used for different phases of blended-training programmes.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17</w:t>
            </w:r>
          </w:p>
        </w:tc>
        <w:tc>
          <w:tcPr>
            <w:tcW w:type="dxa" w:w="8280"/>
          </w:tcPr>
          <w:p>
            <w:r>
              <w:t>Faculty provide appropriate feedback on online participation.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18</w:t>
            </w:r>
          </w:p>
        </w:tc>
        <w:tc>
          <w:tcPr>
            <w:tcW w:type="dxa" w:w="8280"/>
          </w:tcPr>
          <w:p>
            <w:r>
              <w:t>Online and face-to-face learning activities are properly integrated.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19</w:t>
            </w:r>
          </w:p>
        </w:tc>
        <w:tc>
          <w:tcPr>
            <w:tcW w:type="dxa" w:w="8280"/>
          </w:tcPr>
          <w:p>
            <w:r>
              <w:t>Learning activities conducted before, during and after face-to-face sessions are properly connected.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20</w:t>
            </w:r>
          </w:p>
        </w:tc>
        <w:tc>
          <w:tcPr>
            <w:tcW w:type="dxa" w:w="8280"/>
          </w:tcPr>
          <w:p>
            <w:r>
              <w:t>The combination of online and face-to-face components provides a meaningful learning experience.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</w:tbl>
    <w:p/>
    <w:p>
      <w:pPr>
        <w:pStyle w:val="Heading1"/>
        <w:pageBreakBefore/>
      </w:pPr>
      <w:r>
        <w:t>E. Dependent Variable: Effective Learning Outcomes / Skill Development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</w:tcPr>
          <w:p>
            <w:r>
              <w:rPr>
                <w:b/>
              </w:rPr>
              <w:t>No.</w:t>
            </w:r>
          </w:p>
        </w:tc>
        <w:tc>
          <w:tcPr>
            <w:tcW w:type="dxa" w:w="828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944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648"/>
          </w:tcPr>
          <w:p>
            <w:r>
              <w:t>21</w:t>
            </w:r>
          </w:p>
        </w:tc>
        <w:tc>
          <w:tcPr>
            <w:tcW w:type="dxa" w:w="8280"/>
          </w:tcPr>
          <w:p>
            <w:r>
              <w:t>Blended learning helps me achieve effective learning outcomes.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22</w:t>
            </w:r>
          </w:p>
        </w:tc>
        <w:tc>
          <w:tcPr>
            <w:tcW w:type="dxa" w:w="8280"/>
          </w:tcPr>
          <w:p>
            <w:r>
              <w:t>Blended learning contributes to my skill development.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23</w:t>
            </w:r>
          </w:p>
        </w:tc>
        <w:tc>
          <w:tcPr>
            <w:tcW w:type="dxa" w:w="8280"/>
          </w:tcPr>
          <w:p>
            <w:r>
              <w:t>Blended learning improves my knowledge retention.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24</w:t>
            </w:r>
          </w:p>
        </w:tc>
        <w:tc>
          <w:tcPr>
            <w:tcW w:type="dxa" w:w="8280"/>
          </w:tcPr>
          <w:p>
            <w:r>
              <w:t>Blended learning enhances my motivation to learn.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  <w:tr>
        <w:tc>
          <w:tcPr>
            <w:tcW w:type="dxa" w:w="648"/>
          </w:tcPr>
          <w:p>
            <w:r>
              <w:t>25</w:t>
            </w:r>
          </w:p>
        </w:tc>
        <w:tc>
          <w:tcPr>
            <w:tcW w:type="dxa" w:w="8280"/>
          </w:tcPr>
          <w:p>
            <w:r>
              <w:t>Blended learning helps develop my analytical skills.</w:t>
            </w:r>
          </w:p>
        </w:tc>
        <w:tc>
          <w:tcPr>
            <w:tcW w:type="dxa" w:w="1944"/>
          </w:tcPr>
          <w:p>
            <w:pPr>
              <w:jc w:val="center"/>
            </w:pPr>
            <w:r>
              <w:t>5   4   3   2   1</w:t>
            </w:r>
          </w:p>
        </w:tc>
      </w:tr>
    </w:tbl>
    <w:p/>
    <w:p>
      <w:pPr>
        <w:pStyle w:val="Heading1"/>
      </w:pPr>
      <w:r>
        <w:t>F. Demographic / Profile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</w:tcPr>
          <w:p>
            <w:r>
              <w:rPr>
                <w:b/>
              </w:rPr>
              <w:t>No.</w:t>
            </w:r>
          </w:p>
        </w:tc>
        <w:tc>
          <w:tcPr>
            <w:tcW w:type="dxa" w:w="3888"/>
          </w:tcPr>
          <w:p>
            <w:r>
              <w:rPr>
                <w:b/>
              </w:rPr>
              <w:t>Profile Variable</w:t>
            </w:r>
          </w:p>
        </w:tc>
        <w:tc>
          <w:tcPr>
            <w:tcW w:type="dxa" w:w="6336"/>
          </w:tcPr>
          <w:p>
            <w:r>
              <w:rPr>
                <w:b/>
              </w:rPr>
              <w:t>Response Options</w:t>
            </w:r>
          </w:p>
        </w:tc>
      </w:tr>
      <w:tr>
        <w:tc>
          <w:tcPr>
            <w:tcW w:type="dxa" w:w="648"/>
          </w:tcPr>
          <w:p>
            <w:r>
              <w:t>26</w:t>
            </w:r>
          </w:p>
        </w:tc>
        <w:tc>
          <w:tcPr>
            <w:tcW w:type="dxa" w:w="3888"/>
          </w:tcPr>
          <w:p>
            <w:r>
              <w:t>Age</w:t>
            </w:r>
          </w:p>
        </w:tc>
        <w:tc>
          <w:tcPr>
            <w:tcW w:type="dxa" w:w="6336"/>
          </w:tcPr>
          <w:p>
            <w:r>
              <w:t>Below 30 / 30–39 / 40–49 / 50 years &amp; above</w:t>
            </w:r>
          </w:p>
        </w:tc>
      </w:tr>
      <w:tr>
        <w:tc>
          <w:tcPr>
            <w:tcW w:type="dxa" w:w="648"/>
          </w:tcPr>
          <w:p>
            <w:r>
              <w:t>27</w:t>
            </w:r>
          </w:p>
        </w:tc>
        <w:tc>
          <w:tcPr>
            <w:tcW w:type="dxa" w:w="3888"/>
          </w:tcPr>
          <w:p>
            <w:r>
              <w:t>Gender</w:t>
            </w:r>
          </w:p>
        </w:tc>
        <w:tc>
          <w:tcPr>
            <w:tcW w:type="dxa" w:w="6336"/>
          </w:tcPr>
          <w:p>
            <w:r>
              <w:t>Male / Female / Other / Prefer not to say</w:t>
            </w:r>
          </w:p>
        </w:tc>
      </w:tr>
      <w:tr>
        <w:tc>
          <w:tcPr>
            <w:tcW w:type="dxa" w:w="648"/>
          </w:tcPr>
          <w:p>
            <w:r>
              <w:t>28</w:t>
            </w:r>
          </w:p>
        </w:tc>
        <w:tc>
          <w:tcPr>
            <w:tcW w:type="dxa" w:w="3888"/>
          </w:tcPr>
          <w:p>
            <w:r>
              <w:t>Length of service in Union Bank of India</w:t>
            </w:r>
          </w:p>
        </w:tc>
        <w:tc>
          <w:tcPr>
            <w:tcW w:type="dxa" w:w="6336"/>
          </w:tcPr>
          <w:p>
            <w:r>
              <w:t>Below 5 years / 5–10 years / 11–20 years / Above 20 years</w:t>
            </w:r>
          </w:p>
        </w:tc>
      </w:tr>
      <w:tr>
        <w:tc>
          <w:tcPr>
            <w:tcW w:type="dxa" w:w="648"/>
          </w:tcPr>
          <w:p>
            <w:r>
              <w:t>29</w:t>
            </w:r>
          </w:p>
        </w:tc>
        <w:tc>
          <w:tcPr>
            <w:tcW w:type="dxa" w:w="3888"/>
          </w:tcPr>
          <w:p>
            <w:r>
              <w:t>Cadre</w:t>
            </w:r>
          </w:p>
        </w:tc>
        <w:tc>
          <w:tcPr>
            <w:tcW w:type="dxa" w:w="6336"/>
          </w:tcPr>
          <w:p>
            <w:r>
              <w:t>Clerical / Officer / Manager / Senior Management</w:t>
            </w:r>
          </w:p>
        </w:tc>
      </w:tr>
      <w:tr>
        <w:tc>
          <w:tcPr>
            <w:tcW w:type="dxa" w:w="648"/>
          </w:tcPr>
          <w:p>
            <w:r>
              <w:t>30</w:t>
            </w:r>
          </w:p>
        </w:tc>
        <w:tc>
          <w:tcPr>
            <w:tcW w:type="dxa" w:w="3888"/>
          </w:tcPr>
          <w:p>
            <w:r>
              <w:t>Blended-learning programmes attended during the last two years</w:t>
            </w:r>
          </w:p>
        </w:tc>
        <w:tc>
          <w:tcPr>
            <w:tcW w:type="dxa" w:w="6336"/>
          </w:tcPr>
          <w:p>
            <w:r>
              <w:t>None / 1–2 / 3–5 / More than 5</w:t>
            </w:r>
          </w:p>
        </w:tc>
      </w:tr>
    </w:tbl>
    <w:p/>
    <w:p>
      <w:pPr>
        <w:pStyle w:val="Heading1"/>
      </w:pPr>
      <w:r>
        <w:t>Variable Mapping for Research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6912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1728"/>
          </w:tcPr>
          <w:p>
            <w:r>
              <w:t>Independent</w:t>
            </w:r>
          </w:p>
        </w:tc>
        <w:tc>
          <w:tcPr>
            <w:tcW w:type="dxa" w:w="6912"/>
          </w:tcPr>
          <w:p>
            <w:r>
              <w:t>Institutional Factors</w:t>
            </w:r>
          </w:p>
        </w:tc>
        <w:tc>
          <w:tcPr>
            <w:tcW w:type="dxa" w:w="2160"/>
          </w:tcPr>
          <w:p>
            <w:r>
              <w:t>Q1–Q5</w:t>
            </w:r>
          </w:p>
        </w:tc>
      </w:tr>
      <w:tr>
        <w:tc>
          <w:tcPr>
            <w:tcW w:type="dxa" w:w="1728"/>
          </w:tcPr>
          <w:p>
            <w:r>
              <w:t>Independent</w:t>
            </w:r>
          </w:p>
        </w:tc>
        <w:tc>
          <w:tcPr>
            <w:tcW w:type="dxa" w:w="6912"/>
          </w:tcPr>
          <w:p>
            <w:r>
              <w:t>Faculty-Related Factors</w:t>
            </w:r>
          </w:p>
        </w:tc>
        <w:tc>
          <w:tcPr>
            <w:tcW w:type="dxa" w:w="2160"/>
          </w:tcPr>
          <w:p>
            <w:r>
              <w:t>Q6–Q10</w:t>
            </w:r>
          </w:p>
        </w:tc>
      </w:tr>
      <w:tr>
        <w:tc>
          <w:tcPr>
            <w:tcW w:type="dxa" w:w="1728"/>
          </w:tcPr>
          <w:p>
            <w:r>
              <w:t>Independent</w:t>
            </w:r>
          </w:p>
        </w:tc>
        <w:tc>
          <w:tcPr>
            <w:tcW w:type="dxa" w:w="6912"/>
          </w:tcPr>
          <w:p>
            <w:r>
              <w:t>Learner/Employee-Related Factors</w:t>
            </w:r>
          </w:p>
        </w:tc>
        <w:tc>
          <w:tcPr>
            <w:tcW w:type="dxa" w:w="2160"/>
          </w:tcPr>
          <w:p>
            <w:r>
              <w:t>Q11–Q15</w:t>
            </w:r>
          </w:p>
        </w:tc>
      </w:tr>
      <w:tr>
        <w:tc>
          <w:tcPr>
            <w:tcW w:type="dxa" w:w="1728"/>
          </w:tcPr>
          <w:p>
            <w:r>
              <w:t>Independent</w:t>
            </w:r>
          </w:p>
        </w:tc>
        <w:tc>
          <w:tcPr>
            <w:tcW w:type="dxa" w:w="6912"/>
          </w:tcPr>
          <w:p>
            <w:r>
              <w:t>Pedagogy-Related Factors</w:t>
            </w:r>
          </w:p>
        </w:tc>
        <w:tc>
          <w:tcPr>
            <w:tcW w:type="dxa" w:w="2160"/>
          </w:tcPr>
          <w:p>
            <w:r>
              <w:t>Q16–Q20</w:t>
            </w:r>
          </w:p>
        </w:tc>
      </w:tr>
      <w:tr>
        <w:tc>
          <w:tcPr>
            <w:tcW w:type="dxa" w:w="1728"/>
          </w:tcPr>
          <w:p>
            <w:r>
              <w:t>Dependent</w:t>
            </w:r>
          </w:p>
        </w:tc>
        <w:tc>
          <w:tcPr>
            <w:tcW w:type="dxa" w:w="6912"/>
          </w:tcPr>
          <w:p>
            <w:r>
              <w:t>Effective Learning Outcomes / Skill Development</w:t>
            </w:r>
          </w:p>
        </w:tc>
        <w:tc>
          <w:tcPr>
            <w:tcW w:type="dxa" w:w="2160"/>
          </w:tcPr>
          <w:p>
            <w:r>
              <w:t>Q21–Q25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6912"/>
          </w:tcPr>
          <w:p>
            <w:r>
              <w:t>Demographic / Profile Variables</w:t>
            </w:r>
          </w:p>
        </w:tc>
        <w:tc>
          <w:tcPr>
            <w:tcW w:type="dxa" w:w="2160"/>
          </w:tcPr>
          <w:p>
            <w:r>
              <w:t>Q26–Q30</w:t>
            </w:r>
          </w:p>
        </w:tc>
      </w:tr>
    </w:tbl>
    <w:p>
      <w:r>
        <w:rPr>
          <w:b/>
        </w:rPr>
        <w:t xml:space="preserve">Suggested methodology statement: </w:t>
      </w:r>
      <w:r>
        <w:t>“The questionnaire was developed by operationalising the constructs and key success factors identified by Kumar and Pande (2017). The original study does not provide a validated questionnaire scale.”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