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8"/>
          <w:szCs w:val="28"/>
        </w:rPr>
        <w:t xml:space="preserve">HYBRID LEARNING AND TRAINING EFFECTIVENESS AT UNION BANK OF INDIA</w:t>
      </w:r>
    </w:p>
    <w:p>
      <w:pPr>
        <w:spacing w:after="120"/>
        <w:jc w:val="center"/>
      </w:pPr>
      <w:r>
        <w:rPr>
          <w:rFonts w:ascii="Times New Roman" w:cs="Times New Roman" w:eastAsia="Times New Roman" w:hAnsi="Times New Roman"/>
          <w:b/>
          <w:bCs/>
          <w:sz w:val="24"/>
          <w:szCs w:val="24"/>
        </w:rPr>
        <w:t xml:space="preserve">PROJECT REPORT</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Ms. Sreetama Ghosh Ray</w:t>
      </w:r>
    </w:p>
    <w:p>
      <w:pPr>
        <w:spacing w:after="360"/>
        <w:jc w:val="center"/>
      </w:pPr>
      <w:r>
        <w:rPr>
          <w:rFonts w:ascii="Times New Roman" w:cs="Times New Roman" w:eastAsia="Times New Roman" w:hAnsi="Times New Roman"/>
          <w:b/>
          <w:bCs/>
          <w:sz w:val="24"/>
          <w:szCs w:val="24"/>
        </w:rPr>
        <w:t xml:space="preserve">(Register No: 251578222039)</w:t>
      </w:r>
    </w:p>
    <w:p>
      <w:pPr>
        <w:spacing w:after="120"/>
        <w:jc w:val="center"/>
      </w:pPr>
      <w:r>
        <w:rPr>
          <w:rFonts w:ascii="Times New Roman" w:cs="Times New Roman" w:eastAsia="Times New Roman" w:hAnsi="Times New Roman"/>
          <w:sz w:val="24"/>
          <w:szCs w:val="24"/>
        </w:rPr>
        <w:t xml:space="preserve">In partial fulfilment of the requirement for the award of the Degree</w:t>
      </w:r>
    </w:p>
    <w:p>
      <w:pPr>
        <w:spacing w:after="0"/>
        <w:jc w:val="center"/>
      </w:pPr>
      <w:r>
        <w:rPr>
          <w:rFonts w:ascii="Times New Roman" w:cs="Times New Roman" w:eastAsia="Times New Roman" w:hAnsi="Times New Roman"/>
          <w:b/>
          <w:bCs/>
          <w:sz w:val="24"/>
          <w:szCs w:val="24"/>
        </w:rPr>
        <w:t xml:space="preserve">MASTER OF ARTS IN</w:t>
      </w:r>
    </w:p>
    <w:p>
      <w:pPr>
        <w:spacing w:after="240"/>
        <w:jc w:val="center"/>
      </w:pPr>
      <w:r>
        <w:rPr>
          <w:rFonts w:ascii="Times New Roman" w:cs="Times New Roman" w:eastAsia="Times New Roman" w:hAnsi="Times New Roman"/>
          <w:b/>
          <w:bCs/>
          <w:sz w:val="24"/>
          <w:szCs w:val="24"/>
        </w:rPr>
        <w:t xml:space="preserve">HUMAN RESOURCE MANAGEMENT</w:t>
      </w:r>
    </w:p>
    <w:p>
      <w:pPr>
        <w:spacing w:after="120"/>
        <w:jc w:val="center"/>
      </w:pPr>
      <w:r>
        <w:rPr>
          <w:rFonts w:ascii="Times New Roman" w:cs="Times New Roman" w:eastAsia="Times New Roman" w:hAnsi="Times New Roman"/>
          <w:sz w:val="24"/>
          <w:szCs w:val="24"/>
        </w:rPr>
        <w:t xml:space="preserve">Under the guidance of</w:t>
      </w:r>
    </w:p>
    <w:p>
      <w:pPr>
        <w:spacing w:after="360"/>
        <w:jc w:val="center"/>
      </w:pPr>
      <w:r>
        <w:rPr>
          <w:rFonts w:ascii="Times New Roman" w:cs="Times New Roman" w:eastAsia="Times New Roman" w:hAnsi="Times New Roman"/>
          <w:b/>
          <w:bCs/>
          <w:sz w:val="24"/>
          <w:szCs w:val="24"/>
        </w:rPr>
        <w:t xml:space="preserve">Dr. E. T. EVANGELINE, MBA, M.Phil, Ph.D.</w:t>
      </w:r>
    </w:p>
    <w:p>
      <w:pPr>
        <w:spacing w:after="360"/>
        <w:jc w:val="center"/>
      </w:pPr>
      <w:r>
        <w:drawing>
          <wp:inline distT="0" distB="0" distL="0" distR="0">
            <wp:extent cx="1143000" cy="1123950"/>
            <wp:effectExtent t="0" r="0" b="0" l="0"/>
            <wp:docPr id="9" name="mssw-logo.png" descr="Madras School of Social Work seal" title="MSSW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23950"/>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P.G. DEPARTMENT OF HUMAN RESOURCE MANAGEMENT</w:t>
      </w:r>
    </w:p>
    <w:p>
      <w:pPr>
        <w:spacing w:after="60"/>
        <w:jc w:val="center"/>
      </w:pPr>
      <w:r>
        <w:rPr>
          <w:rFonts w:ascii="Times New Roman" w:cs="Times New Roman" w:eastAsia="Times New Roman" w:hAnsi="Times New Roman"/>
          <w:b/>
          <w:bCs/>
          <w:sz w:val="24"/>
          <w:szCs w:val="24"/>
        </w:rPr>
        <w:t xml:space="preserve">MADRAS SCHOOL OF SOCIAL WORK</w:t>
      </w:r>
    </w:p>
    <w:p>
      <w:pPr>
        <w:spacing w:after="60"/>
        <w:jc w:val="center"/>
      </w:pPr>
      <w:r>
        <w:rPr>
          <w:rFonts w:ascii="Times New Roman" w:cs="Times New Roman" w:eastAsia="Times New Roman" w:hAnsi="Times New Roman"/>
          <w:sz w:val="24"/>
          <w:szCs w:val="24"/>
        </w:rPr>
        <w:t xml:space="preserve">(AUTONOMOUS)</w:t>
      </w:r>
    </w:p>
    <w:p>
      <w:pPr>
        <w:spacing w:after="60"/>
        <w:jc w:val="center"/>
      </w:pPr>
      <w:r>
        <w:rPr>
          <w:rFonts w:ascii="Times New Roman" w:cs="Times New Roman" w:eastAsia="Times New Roman" w:hAnsi="Times New Roman"/>
          <w:sz w:val="24"/>
          <w:szCs w:val="24"/>
        </w:rPr>
        <w:t xml:space="preserve">No. 32, CASA MAJOR ROAD, EGMORE</w:t>
      </w:r>
    </w:p>
    <w:p>
      <w:pPr>
        <w:spacing w:after="120"/>
        <w:jc w:val="center"/>
      </w:pPr>
      <w:r>
        <w:rPr>
          <w:rFonts w:ascii="Times New Roman" w:cs="Times New Roman" w:eastAsia="Times New Roman" w:hAnsi="Times New Roman"/>
          <w:sz w:val="24"/>
          <w:szCs w:val="24"/>
        </w:rPr>
        <w:t xml:space="preserve">CHENNAI – 600008</w:t>
      </w:r>
    </w:p>
    <w:p>
      <w:pPr>
        <w:jc w:val="center"/>
      </w:pPr>
      <w:r>
        <w:rPr>
          <w:rFonts w:ascii="Times New Roman" w:cs="Times New Roman" w:eastAsia="Times New Roman" w:hAnsi="Times New Roman"/>
          <w:b/>
          <w:bCs/>
          <w:sz w:val="24"/>
          <w:szCs w:val="24"/>
        </w:rPr>
        <w:t xml:space="preserve">OCTOBER 2026</w:t>
      </w:r>
    </w:p>
    <w:p>
      <w:r>
        <w:br w:type="page"/>
      </w:r>
    </w:p>
    <w:p>
      <w:pPr>
        <w:spacing w:after="360"/>
        <w:jc w:val="center"/>
      </w:pPr>
      <w:r>
        <w:rPr>
          <w:rFonts w:ascii="Times New Roman" w:cs="Times New Roman" w:eastAsia="Times New Roman" w:hAnsi="Times New Roman"/>
          <w:b/>
          <w:bCs/>
          <w:sz w:val="24"/>
          <w:szCs w:val="24"/>
          <w:u w:val="single"/>
        </w:rPr>
        <w:t xml:space="preserve">BONAFIDE CERTIFICATE</w:t>
      </w:r>
    </w:p>
    <w:p>
      <w:pPr>
        <w:spacing w:after="32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a project work done by Ms. Sreetama Ghosh Ray (251578222039), a second year student of M.A. HRM, Madras School of Social Work (Autonomous), Egmore, Chennai in partial fulfilment of the requirement for the Award of the Degree of Master of Arts in Human Resource Management and that the project has not been used previously for the award of any Degree, Diploma, Scholarship, Fellowship or any other project title.</w:t>
      </w:r>
    </w:p>
    <w:p>
      <w:pPr>
        <w:tabs>
          <w:tab w:val="right" w:pos="9026"/>
        </w:tabs>
        <w:spacing w:before="1200"/>
      </w:pPr>
      <w:r>
        <w:rPr>
          <w:rFonts w:ascii="Times New Roman" w:cs="Times New Roman" w:eastAsia="Times New Roman" w:hAnsi="Times New Roman"/>
          <w:b/>
          <w:bCs/>
          <w:sz w:val="24"/>
          <w:szCs w:val="24"/>
        </w:rPr>
        <w:t xml:space="preserve">Signature of the HOD</w:t>
      </w:r>
    </w:p>
    <w:p>
      <w:pPr>
        <w:tabs>
          <w:tab w:val="right" w:pos="9026"/>
        </w:tabs>
        <w:spacing w:before="1200"/>
      </w:pPr>
      <w:r>
        <w:rPr>
          <w:rFonts w:ascii="Times New Roman" w:cs="Times New Roman" w:eastAsia="Times New Roman" w:hAnsi="Times New Roman"/>
          <w:b/>
          <w:bCs/>
          <w:sz w:val="24"/>
          <w:szCs w:val="24"/>
        </w:rPr>
        <w:t xml:space="preserve">Signature of the Guide</w:t>
      </w:r>
    </w:p>
    <w:p>
      <w:r>
        <w:br w:type="page"/>
      </w:r>
    </w:p>
    <w:p>
      <w:pPr>
        <w:spacing w:after="360"/>
        <w:jc w:val="center"/>
      </w:pPr>
      <w:r>
        <w:rPr>
          <w:rFonts w:ascii="Times New Roman" w:cs="Times New Roman" w:eastAsia="Times New Roman" w:hAnsi="Times New Roman"/>
          <w:b/>
          <w:bCs/>
          <w:sz w:val="24"/>
          <w:szCs w:val="24"/>
          <w:u w:val="single"/>
        </w:rPr>
        <w:t xml:space="preserve">DECLARATION</w:t>
      </w:r>
    </w:p>
    <w:p>
      <w:pPr>
        <w:spacing w:after="320" w:line="360" w:lineRule="auto"/>
        <w:jc w:val="both"/>
      </w:pPr>
      <w:r>
        <w:rPr>
          <w:rFonts w:ascii="Times New Roman" w:cs="Times New Roman" w:eastAsia="Times New Roman" w:hAnsi="Times New Roman"/>
          <w:sz w:val="24"/>
          <w:szCs w:val="24"/>
        </w:rPr>
        <w:t xml:space="preserve">I, SREETAMA GHOSH RAY, final year student of M.A. HRM hereby declare that the thesis entitled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the original work done by me under the guidance and supervision of Dr. E. T. EVANGELINE, in partial fulfilment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pPr>
        <w:tabs>
          <w:tab w:val="right" w:pos="9026"/>
        </w:tabs>
        <w:spacing w:before="1200"/>
      </w:pPr>
      <w:r>
        <w:rPr>
          <w:rFonts w:ascii="Times New Roman" w:cs="Times New Roman" w:eastAsia="Times New Roman" w:hAnsi="Times New Roman"/>
          <w:b/>
          <w:bCs/>
          <w:sz w:val="24"/>
          <w:szCs w:val="24"/>
        </w:rPr>
        <w:t xml:space="preserve">Signature of the Guide</w:t>
      </w:r>
    </w:p>
    <w:p>
      <w:pPr>
        <w:tabs>
          <w:tab w:val="right" w:pos="9026"/>
        </w:tabs>
        <w:spacing w:before="1200"/>
      </w:pPr>
      <w:r>
        <w:rPr>
          <w:rFonts w:ascii="Times New Roman" w:cs="Times New Roman" w:eastAsia="Times New Roman" w:hAnsi="Times New Roman"/>
          <w:b/>
          <w:bCs/>
          <w:sz w:val="24"/>
          <w:szCs w:val="24"/>
        </w:rPr>
        <w:t xml:space="preserve">Signature of the Student</w:t>
      </w:r>
    </w:p>
    <w:p>
      <w:pPr>
        <w:spacing w:before="600"/>
      </w:pPr>
      <w:r>
        <w:rPr>
          <w:rFonts w:ascii="Times New Roman" w:cs="Times New Roman" w:eastAsia="Times New Roman" w:hAnsi="Times New Roman"/>
          <w:b/>
          <w:bCs/>
          <w:sz w:val="24"/>
          <w:szCs w:val="24"/>
        </w:rPr>
        <w:t xml:space="preserve">PLACE: CHENNAI</w:t>
      </w:r>
    </w:p>
    <w:p>
      <w:pPr>
        <w:spacing w:before="120"/>
      </w:pPr>
      <w:r>
        <w:rPr>
          <w:rFonts w:ascii="Times New Roman" w:cs="Times New Roman" w:eastAsia="Times New Roman" w:hAnsi="Times New Roman"/>
          <w:b/>
          <w:bCs/>
          <w:sz w:val="24"/>
          <w:szCs w:val="24"/>
        </w:rPr>
        <w:t xml:space="preserve">DATE: October 2026</w:t>
      </w:r>
    </w:p>
    <w:p>
      <w:r>
        <w:br w:type="page"/>
      </w:r>
    </w:p>
    <w:p>
      <w:pPr>
        <w:spacing w:after="360"/>
        <w:jc w:val="center"/>
      </w:pPr>
      <w:r>
        <w:rPr>
          <w:rFonts w:ascii="Times New Roman" w:cs="Times New Roman" w:eastAsia="Times New Roman" w:hAnsi="Times New Roman"/>
          <w:b/>
          <w:bCs/>
          <w:sz w:val="24"/>
          <w:szCs w:val="24"/>
          <w:u w:val="single"/>
        </w:rPr>
        <w:t xml:space="preserve">ACKNOWLEDGEMENT</w:t>
      </w:r>
    </w:p>
    <w:p>
      <w:pPr>
        <w:spacing w:after="320" w:line="360" w:lineRule="auto"/>
        <w:jc w:val="both"/>
      </w:pPr>
      <w:r>
        <w:rPr>
          <w:rFonts w:ascii="Times New Roman" w:cs="Times New Roman" w:eastAsia="Times New Roman" w:hAnsi="Times New Roman"/>
          <w:sz w:val="24"/>
          <w:szCs w:val="24"/>
        </w:rPr>
        <w:t xml:space="preserve">I am grateful to Dr. J. S. Gunawathy, Principal-in-Charge, Madras School of Social Work, for her support throughout my M.A. Human Resource Management programme. I sincerely thank my Head of Department and guide, Dr. E. T. Evangeline, for her guidance, thoughtful feedback, and encouragement while I developed and completed this thesis.</w:t>
      </w:r>
    </w:p>
    <w:p>
      <w:pPr>
        <w:spacing w:after="320" w:line="360" w:lineRule="auto"/>
        <w:jc w:val="both"/>
      </w:pPr>
      <w:r>
        <w:rPr>
          <w:rFonts w:ascii="Times New Roman" w:cs="Times New Roman" w:eastAsia="Times New Roman" w:hAnsi="Times New Roman"/>
          <w:sz w:val="24"/>
          <w:szCs w:val="24"/>
        </w:rPr>
        <w:t xml:space="preserve">I thank Devi Kumar and Ms. Karthiga, senior HR officers at Union Bank of India, Regional Office Chennai South, for helping me approach branches and complete my fieldwork. I am also grateful to Sharada Devi, Regional Head, for her mentorship and guidance during my internship. My thanks go to the officials and employees of the Regional Office and the branches I visited for their time, cooperation, and participation in the survey.</w:t>
      </w:r>
    </w:p>
    <w:p>
      <w:pPr>
        <w:spacing w:after="320" w:line="360" w:lineRule="auto"/>
        <w:jc w:val="both"/>
      </w:pPr>
      <w:r>
        <w:rPr>
          <w:rFonts w:ascii="Times New Roman" w:cs="Times New Roman" w:eastAsia="Times New Roman" w:hAnsi="Times New Roman"/>
          <w:sz w:val="24"/>
          <w:szCs w:val="24"/>
        </w:rPr>
        <w:t xml:space="preserve">I am deeply grateful to my father, Mr. Syamal Ghosh Ray, retired General Manager of erstwhile Andhra Bank, for sharing his experience of banking before and after the 2020 amalgamation. I also thank Mr. Vikas Babu Chittiprolu, General Manager – Operations, Head Office, Mumbai, for his insights into Union Bank’s post-merger operations and learning initiatives, and Mr. Debanjan Mondal, Senior Manager, Standard Chartered Bank, for sharing his practical perspective on changing training practices in banking.</w:t>
      </w:r>
    </w:p>
    <w:p>
      <w:pPr>
        <w:spacing w:after="320" w:line="360" w:lineRule="auto"/>
        <w:jc w:val="both"/>
      </w:pPr>
      <w:r>
        <w:rPr>
          <w:rFonts w:ascii="Times New Roman" w:cs="Times New Roman" w:eastAsia="Times New Roman" w:hAnsi="Times New Roman"/>
          <w:sz w:val="24"/>
          <w:szCs w:val="24"/>
        </w:rPr>
        <w:t xml:space="preserve">Their support helped me complete this research and made the experience an important part of my academic and professional learning.</w:t>
      </w:r>
    </w:p>
    <w:p>
      <w:r>
        <w:br w:type="page"/>
      </w:r>
    </w:p>
    <w:p>
      <w:pPr>
        <w:spacing w:after="360"/>
        <w:jc w:val="center"/>
      </w:pPr>
      <w:r>
        <w:rPr>
          <w:rFonts w:ascii="Times New Roman" w:cs="Times New Roman" w:eastAsia="Times New Roman" w:hAnsi="Times New Roman"/>
          <w:b/>
          <w:bCs/>
          <w:sz w:val="24"/>
          <w:szCs w:val="24"/>
          <w:u w:val="single"/>
        </w:rPr>
        <w:t xml:space="preserve">TABLE OF CONTENTS</w:t>
      </w:r>
    </w:p>
    <w:p>
      <w:pPr>
        <w:tabs>
          <w:tab w:val="left" w:pos="1300"/>
          <w:tab w:val="right" w:pos="9026"/>
        </w:tabs>
        <w:spacing w:after="160"/>
      </w:pPr>
      <w:r>
        <w:rPr>
          <w:rFonts w:ascii="Times New Roman" w:cs="Times New Roman" w:eastAsia="Times New Roman" w:hAnsi="Times New Roman"/>
          <w:b/>
          <w:bCs/>
          <w:sz w:val="24"/>
          <w:szCs w:val="24"/>
        </w:rPr>
        <w:t xml:space="preserve">CHAPTER</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w:t>
      </w:r>
      <w:fldSimple w:instr="PAGEREF h_1 \h">
        <w:r>
          <w:t xml:space="preserve">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13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14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17</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REVIEW OF LITERATURE</w:t>
      </w:r>
      <w:r>
        <w:rPr>
          <w:rFonts w:ascii="Times New Roman" w:cs="Times New Roman" w:eastAsia="Times New Roman" w:hAnsi="Times New Roman"/>
          <w:sz w:val="24"/>
          <w:szCs w:val="24"/>
        </w:rPr>
        <w:t xml:space="preserve">	</w:t>
      </w:r>
      <w:fldSimple w:instr="PAGEREF h_20 \h">
        <w:r>
          <w:t xml:space="preserve">18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18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27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29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30</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RESEARCH METHODOLOGY</w:t>
      </w:r>
      <w:r>
        <w:rPr>
          <w:rFonts w:ascii="Times New Roman" w:cs="Times New Roman" w:eastAsia="Times New Roman" w:hAnsi="Times New Roman"/>
          <w:sz w:val="24"/>
          <w:szCs w:val="24"/>
        </w:rPr>
        <w:t xml:space="preserve">	</w:t>
      </w:r>
      <w:fldSimple w:instr="PAGEREF h_40 \h">
        <w:r>
          <w:t xml:space="preserve">31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31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31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33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34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35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40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41</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DATA ANALYSIS AND INTERPRETATION</w:t>
      </w:r>
      <w:r>
        <w:rPr>
          <w:rFonts w:ascii="Times New Roman" w:cs="Times New Roman" w:eastAsia="Times New Roman" w:hAnsi="Times New Roman"/>
          <w:sz w:val="24"/>
          <w:szCs w:val="24"/>
        </w:rPr>
        <w:t xml:space="preserve">	</w:t>
      </w:r>
      <w:fldSimple w:instr="PAGEREF h_56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55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60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61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62</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SUMMARY, CONCLUSION AND SUGGESTIONS</w:t>
      </w:r>
      <w:r>
        <w:rPr>
          <w:rFonts w:ascii="Times New Roman" w:cs="Times New Roman" w:eastAsia="Times New Roman" w:hAnsi="Times New Roman"/>
          <w:sz w:val="24"/>
          <w:szCs w:val="24"/>
        </w:rPr>
        <w:t xml:space="preserve">	</w:t>
      </w:r>
      <w:fldSimple w:instr="PAGEREF h_92 \h">
        <w:r>
          <w:t xml:space="preserve">63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63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63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64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66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66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69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69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70</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w:t>
      </w:r>
      <w:fldSimple w:instr="PAGEREF h_108 \h">
        <w:r>
          <w:t xml:space="preserve">71</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A — QUESTIONNAIRE</w:t>
      </w:r>
      <w:r>
        <w:rPr>
          <w:rFonts w:ascii="Times New Roman" w:cs="Times New Roman" w:eastAsia="Times New Roman" w:hAnsi="Times New Roman"/>
          <w:sz w:val="24"/>
          <w:szCs w:val="24"/>
        </w:rPr>
        <w:t xml:space="preserve">	</w:t>
      </w:r>
      <w:fldSimple w:instr="PAGEREF h_109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76</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B — QUESTIONNAIRE DEVELOPMENT AND LITERATURE BASIS</w:t>
      </w:r>
      <w:r>
        <w:rPr>
          <w:rFonts w:ascii="Times New Roman" w:cs="Times New Roman" w:eastAsia="Times New Roman" w:hAnsi="Times New Roman"/>
          <w:sz w:val="24"/>
          <w:szCs w:val="24"/>
        </w:rPr>
        <w:t xml:space="preserve">	</w:t>
      </w:r>
      <w:fldSimple w:instr="PAGEREF h_117 \h">
        <w:r>
          <w:t xml:space="preserve">77</w:t>
        </w:r>
      </w:fldSimple>
    </w:p>
    <w:p>
      <w:r>
        <w:br w:type="page"/>
      </w:r>
    </w:p>
    <w:p>
      <w:pPr>
        <w:spacing w:after="360"/>
        <w:jc w:val="center"/>
      </w:pPr>
      <w:r>
        <w:rPr>
          <w:rFonts w:ascii="Times New Roman" w:cs="Times New Roman" w:eastAsia="Times New Roman" w:hAnsi="Times New Roman"/>
          <w:b/>
          <w:bCs/>
          <w:sz w:val="24"/>
          <w:szCs w:val="24"/>
          <w:u w:val="single"/>
        </w:rPr>
        <w:t xml:space="preserve">LIST OF TABLES</w:t>
      </w:r>
    </w:p>
    <w:p>
      <w:pPr>
        <w:tabs>
          <w:tab w:val="right" w:pos="9026" w:leader="dot"/>
        </w:tabs>
        <w:spacing w:after="100" w:line="276" w:lineRule="auto"/>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26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32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33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35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38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42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45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46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48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55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55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58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59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60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65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65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67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77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79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80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81</w:t>
        </w:r>
      </w:fldSimple>
    </w:p>
    <w:p>
      <w:r>
        <w:br w:type="page"/>
      </w:r>
    </w:p>
    <w:p>
      <w:pPr>
        <w:spacing w:after="360"/>
        <w:jc w:val="center"/>
      </w:pPr>
      <w:r>
        <w:rPr>
          <w:rFonts w:ascii="Times New Roman" w:cs="Times New Roman" w:eastAsia="Times New Roman" w:hAnsi="Times New Roman"/>
          <w:b/>
          <w:bCs/>
          <w:sz w:val="24"/>
          <w:szCs w:val="24"/>
          <w:u w:val="single"/>
        </w:rPr>
        <w:t xml:space="preserve">LIST OF CHARTS</w:t>
      </w:r>
    </w:p>
    <w:p>
      <w:pPr>
        <w:tabs>
          <w:tab w:val="right" w:pos="9026" w:leader="dot"/>
        </w:tabs>
        <w:spacing w:after="100" w:line="276" w:lineRule="auto"/>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44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44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44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46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51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51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52</w:t>
        </w:r>
      </w:fldSimple>
    </w:p>
    <w:p>
      <w:r>
        <w:br w:type="page"/>
      </w:r>
    </w:p>
    <w:p>
      <w:pPr>
        <w:pStyle w:val="Heading1"/>
        <w:keepNext/>
        <w:spacing w:after="160" w:before="0"/>
      </w:pPr>
      <w:bookmarkStart w:name="h_1" w:id="1"/>
      <w:r>
        <w:rPr>
          <w:rFonts w:ascii="Times New Roman" w:cs="Times New Roman" w:eastAsia="Times New Roman" w:hAnsi="Times New Roman"/>
          <w:b/>
          <w:bCs/>
          <w:i w:val="false"/>
          <w:iCs w:val="false"/>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i w:val="false"/>
          <w:iCs w:val="false"/>
        </w:rPr>
        <w:t xml:space="preserve">1.1 Background and Context</w:t>
      </w:r>
      <w:bookmarkEnd w:id="2"/>
    </w:p>
    <w:p>
      <w:pPr>
        <w:spacing w:after="320" w:line="360" w:lineRule="auto"/>
        <w:jc w:val="both"/>
      </w:pPr>
      <w:r>
        <w:rPr>
          <w:rFonts w:ascii="Times New Roman" w:cs="Times New Roman" w:eastAsia="Times New Roman" w:hAnsi="Times New Roman"/>
          <w:sz w:val="24"/>
          <w:szCs w:val="24"/>
        </w:rPr>
        <w:t xml:space="preserve">Employees of the bank have to continue their learning even while carrying out their normal duties, since changes in procedure, the introduction of new digital systems, or updated products can influence the way in which they serve customers and satisfy compliance requirements. The training should be available during work and prove to be useful when the employees go back to their jobs.</w:t>
      </w:r>
    </w:p>
    <w:p>
      <w:pPr>
        <w:spacing w:after="320" w:line="360" w:lineRule="auto"/>
        <w:jc w:val="both"/>
      </w:pPr>
      <w:r>
        <w:rPr>
          <w:rFonts w:ascii="Times New Roman" w:cs="Times New Roman" w:eastAsia="Times New Roman" w:hAnsi="Times New Roman"/>
          <w:sz w:val="24"/>
          <w:szCs w:val="24"/>
        </w:rPr>
        <w:t xml:space="preserve">Digital platforms allow a bank to share learning materials with staff based in different locations. Staff can access modules, videos, virtual sessions, assessments and job aids without travelling for each activity. This flexibility matters when a branch must continue serving customers. Yet access is only the first step: finishing a module does not prove that an employee has understood a procedure or knows how to use it in practice. Some questions still require an explanation from a trainer.</w:t>
      </w:r>
    </w:p>
    <w:p>
      <w:pPr>
        <w:spacing w:after="320" w:line="360" w:lineRule="auto"/>
        <w:jc w:val="both"/>
      </w:pPr>
      <w:r>
        <w:rPr>
          <w:rFonts w:ascii="Times New Roman" w:cs="Times New Roman" w:eastAsia="Times New Roman" w:hAnsi="Times New Roman"/>
          <w:sz w:val="24"/>
          <w:szCs w:val="24"/>
        </w:rPr>
        <w:t xml:space="preserve">With face-to-face sessions, employees have the opportunity to ask questions, have demonstrations, carry out practice exercises, and receive feedback. They are also able to talk about the situations that occur in their own branches. However, it is not essential to have a classroom for every update: a brief refresher or reference document might be more convenient to use online. The important point is the link between the two methods, so that the information given in digital form can be understood and put into practice during a trainer-led session or at work.</w:t>
      </w:r>
    </w:p>
    <w:p>
      <w:pPr>
        <w:spacing w:after="320" w:line="360" w:lineRule="auto"/>
        <w:jc w:val="both"/>
      </w:pPr>
      <w:r>
        <w:rPr>
          <w:rFonts w:ascii="Times New Roman" w:cs="Times New Roman" w:eastAsia="Times New Roman" w:hAnsi="Times New Roman"/>
          <w:sz w:val="24"/>
          <w:szCs w:val="24"/>
        </w:rPr>
        <w:t xml:space="preserve">Hybrid learning, also known as blended learning, is designed to link digital and face-to-face components together within a single programme. The digital element can be used to introduce a topic beforehand and will then stay accessible for later review. The trainer can then make use of the session to explain any difficult points and to carry out practical tasks related to the job. If this connection is not made, employees may see the different activities as separate obligations rather than as part of a single learning process.</w:t>
      </w:r>
    </w:p>
    <w:p>
      <w:pPr>
        <w:spacing w:after="320" w:line="360" w:lineRule="auto"/>
        <w:jc w:val="both"/>
      </w:pPr>
      <w:r>
        <w:rPr>
          <w:rFonts w:ascii="Times New Roman" w:cs="Times New Roman" w:eastAsia="Times New Roman" w:hAnsi="Times New Roman"/>
          <w:sz w:val="24"/>
          <w:szCs w:val="24"/>
        </w:rPr>
        <w:t xml:space="preserve">The study focuses on Union Bank employees who are associated with the Regional Office Chennai South in Royapettah, Chennai. The Bank makes use of Union Vidya, its Learning Management System (LMS), together with e-books, podcasts, audiobooks, microlearning, virtual workshops, role-based learning, mandatory e-learning for officers, and a Training Management System (Union Bank of India, 2024, 2025). The fact that these various methods of learning are provided indicates that there are multiple ways in which learning can take place. However, the information does not reveal how the employees experienced their involvement in a specific programme. For this reason, each respondent provided details regarding one recent programme that involved both digital and face-to-face components.</w:t>
      </w:r>
    </w:p>
    <w:p>
      <w:pPr>
        <w:spacing w:after="320" w:line="360" w:lineRule="auto"/>
        <w:jc w:val="both"/>
      </w:pPr>
      <w:r>
        <w:rPr>
          <w:rFonts w:ascii="Times New Roman" w:cs="Times New Roman" w:eastAsia="Times New Roman" w:hAnsi="Times New Roman"/>
          <w:sz w:val="24"/>
          <w:szCs w:val="24"/>
        </w:rPr>
        <w:t xml:space="preserve">There are four aspects which describe that experience. Hybrid Learning refers to the connection between digital and face-to-face activities, access to the platform and materials, and the opportunity to revise what has been taught. Trainer Competence relates to the trainer's subject knowledge, the clarity of their delivery, the use of appropriate tools, the encouragement they provide, and the feedback they give. Learner Engagement involves the employee's attention, level of effort, interest, participation, and readiness to ask for clarification. Training Effectiveness is about whether the employee found the learning to be understandable, relevant, useful, and applicable to their current role.</w:t>
      </w:r>
    </w:p>
    <w:p>
      <w:pPr>
        <w:spacing w:after="32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320" w:line="360" w:lineRule="auto"/>
        <w:jc w:val="both"/>
      </w:pPr>
      <w:r>
        <w:rPr>
          <w:rFonts w:ascii="Times New Roman" w:cs="Times New Roman" w:eastAsia="Times New Roman" w:hAnsi="Times New Roman"/>
          <w:sz w:val="24"/>
          <w:szCs w:val="24"/>
        </w:rPr>
        <w:t xml:space="preserve">Within the framework, Hybrid Learning, Trainer Competence, and Learner Engagement all act as separate predictors of perceived Training Effectiveness. It is not necessary for a well-organised programme and a capable trainer to lead to the same degree of engagement among all employees. Factors such as workload, available time, previous experience, digital confidence, motivation, and the conditions at the branch may also play a role. The questionnaire documents the way in which employees experienced these various aspects of the programme; the associations thus obtained are then interpreted within the constraints of a single self-report survey.</w:t>
      </w:r>
    </w:p>
    <w:p>
      <w:pPr>
        <w:spacing w:after="320" w:line="360" w:lineRule="auto"/>
        <w:jc w:val="both"/>
      </w:pPr>
      <w:r>
        <w:rPr>
          <w:rFonts w:ascii="Times New Roman" w:cs="Times New Roman" w:eastAsia="Times New Roman" w:hAnsi="Times New Roman"/>
          <w:sz w:val="24"/>
          <w:szCs w:val="24"/>
        </w:rPr>
        <w:t xml:space="preserve">Each of the three base papers looks at a different aspect of the question. Sosnova et al. (2025) examine hybrid education and learning effectiveness among students, offering a conceptual basis for the topic. Kim (2022) investigates automotive sales training and highlights delivery design, instructor involvement, and practice in a corporate setting. Bahl, Kiran and Sharma (2024) evaluate training among 402 Indian bank employees using Kirkpatrick’s Reaction, Learning, Behaviour, and Results framework. The four-construct Union Bank model draws on these complementary perspectives; it does not come from a single paper.</w:t>
      </w:r>
    </w:p>
    <w:p>
      <w:pPr>
        <w:spacing w:after="32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i w:val="false"/>
          <w:iCs w:val="false"/>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i/>
          <w:iCs/>
        </w:rPr>
        <w:t xml:space="preserve">Hybrid Learning</w:t>
      </w:r>
      <w:bookmarkEnd w:id="4"/>
    </w:p>
    <w:p>
      <w:pPr>
        <w:spacing w:after="320" w:line="360" w:lineRule="auto"/>
        <w:jc w:val="both"/>
      </w:pPr>
      <w:r>
        <w:rPr>
          <w:rFonts w:ascii="Times New Roman" w:cs="Times New Roman" w:eastAsia="Times New Roman" w:hAnsi="Times New Roman"/>
          <w:sz w:val="24"/>
          <w:szCs w:val="24"/>
        </w:rPr>
        <w:t xml:space="preserve">Hybrid Learning involves combining digital activities with face-to-face ones as part of a single planned programme. For the digital element a bank could make use of an LMS module, a video, a virtual session, an online assessment or downloadable reference material. The in-person component could be provided by classroom discussion, a demonstration, role play, a group exercise or supervised practice. Each of these methods has a specific purpose within the same learning sequence.</w:t>
      </w:r>
    </w:p>
    <w:p>
      <w:pPr>
        <w:spacing w:after="320" w:line="360" w:lineRule="auto"/>
        <w:jc w:val="both"/>
      </w:pPr>
      <w:r>
        <w:rPr>
          <w:rFonts w:ascii="Times New Roman" w:cs="Times New Roman" w:eastAsia="Times New Roman" w:hAnsi="Times New Roman"/>
          <w:sz w:val="24"/>
          <w:szCs w:val="24"/>
        </w:rPr>
        <w:t xml:space="preserve">The employees assessed whether the two methods felt connected, whether they were able to access the platform and the materials, and whether the digital materials remained available for revision. This evaluation relates to their experience of the programme in question and is not a technical assessment of Union Vidya nor a comparison of the programmes delivered via a single mode.</w:t>
      </w:r>
    </w:p>
    <w:p>
      <w:pPr>
        <w:pStyle w:val="Heading3"/>
        <w:keepNext/>
        <w:spacing w:after="160" w:before="240"/>
      </w:pPr>
      <w:bookmarkStart w:name="h_5" w:id="5"/>
      <w:r>
        <w:rPr>
          <w:rFonts w:ascii="Times New Roman" w:cs="Times New Roman" w:eastAsia="Times New Roman" w:hAnsi="Times New Roman"/>
          <w:b/>
          <w:bCs/>
          <w:i/>
          <w:iCs/>
        </w:rPr>
        <w:t xml:space="preserve">Trainer Competence</w:t>
      </w:r>
      <w:bookmarkEnd w:id="5"/>
    </w:p>
    <w:p>
      <w:pPr>
        <w:spacing w:after="320" w:line="360" w:lineRule="auto"/>
        <w:jc w:val="both"/>
      </w:pPr>
      <w:r>
        <w:rPr>
          <w:rFonts w:ascii="Times New Roman" w:cs="Times New Roman" w:eastAsia="Times New Roman" w:hAnsi="Times New Roman"/>
          <w:sz w:val="24"/>
          <w:szCs w:val="24"/>
        </w:rPr>
        <w:t xml:space="preserve">The level of a trainer's competence depends on how effectively they support the learning process. It is important that they have subject knowledge and provide clear explanations, as well as being able to link the work carried out online with the live session, to use appropriate tools, encourage participation and offer useful feedback. In a hybrid programme, employees might need the trainer to demonstrate how an online task relates to the subsequent discussion or to a procedure in their own role.</w:t>
      </w:r>
    </w:p>
    <w:p>
      <w:pPr>
        <w:spacing w:after="32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i/>
          <w:iCs/>
        </w:rPr>
        <w:t xml:space="preserve">Learner Engagement</w:t>
      </w:r>
      <w:bookmarkEnd w:id="6"/>
    </w:p>
    <w:p>
      <w:pPr>
        <w:spacing w:after="320" w:line="360" w:lineRule="auto"/>
        <w:jc w:val="both"/>
      </w:pPr>
      <w:r>
        <w:rPr>
          <w:rFonts w:ascii="Times New Roman" w:cs="Times New Roman" w:eastAsia="Times New Roman" w:hAnsi="Times New Roman"/>
          <w:sz w:val="24"/>
          <w:szCs w:val="24"/>
        </w:rPr>
        <w:t xml:space="preserve">Learner Engagement refers to the various aspects of what an employee contributes to the programme in question, such as their attention, effort, participation, interest, and readiness to ask questions. Simply being present or having completed the programme online does not demonstrate this level of involvement. A person may be there without paying close attention to the material; it is shown by their attempt to understand it and by their participation in the learning activities.</w:t>
      </w:r>
    </w:p>
    <w:p>
      <w:pPr>
        <w:spacing w:after="320" w:line="360" w:lineRule="auto"/>
        <w:jc w:val="both"/>
      </w:pPr>
      <w:r>
        <w:rPr>
          <w:rFonts w:ascii="Times New Roman" w:cs="Times New Roman" w:eastAsia="Times New Roman" w:hAnsi="Times New Roman"/>
          <w:sz w:val="24"/>
          <w:szCs w:val="24"/>
        </w:rPr>
        <w:t xml:space="preserve">The questions which relate to engagement are concerned with behaviour in a single training programme and do not evaluate general work engagement, organisational commitment, motivation, or metacognitive skill since these are additional constructs.</w:t>
      </w:r>
    </w:p>
    <w:p>
      <w:pPr>
        <w:pStyle w:val="Heading3"/>
        <w:keepNext/>
        <w:spacing w:after="160" w:before="240"/>
      </w:pPr>
      <w:bookmarkStart w:name="h_7" w:id="7"/>
      <w:r>
        <w:rPr>
          <w:rFonts w:ascii="Times New Roman" w:cs="Times New Roman" w:eastAsia="Times New Roman" w:hAnsi="Times New Roman"/>
          <w:b/>
          <w:bCs/>
          <w:i/>
          <w:iCs/>
        </w:rPr>
        <w:t xml:space="preserve">Training Effectiveness</w:t>
      </w:r>
      <w:bookmarkEnd w:id="7"/>
    </w:p>
    <w:p>
      <w:pPr>
        <w:spacing w:after="320" w:line="360" w:lineRule="auto"/>
        <w:jc w:val="both"/>
      </w:pPr>
      <w:r>
        <w:rPr>
          <w:rFonts w:ascii="Times New Roman" w:cs="Times New Roman" w:eastAsia="Times New Roman" w:hAnsi="Times New Roman"/>
          <w:sz w:val="24"/>
          <w:szCs w:val="24"/>
        </w:rPr>
        <w:t xml:space="preserve">Training Effectiveness refers to the employee's view of the contribution of the programme to their current work, and the questions address understanding, relevance, confidence, and the extent to which the employee feels they can apply what they have learned to everyday tasks and related problems.</w:t>
      </w:r>
    </w:p>
    <w:p>
      <w:pPr>
        <w:spacing w:after="320" w:line="360" w:lineRule="auto"/>
        <w:jc w:val="both"/>
      </w:pPr>
      <w:r>
        <w:rPr>
          <w:rFonts w:ascii="Times New Roman" w:cs="Times New Roman" w:eastAsia="Times New Roman" w:hAnsi="Times New Roman"/>
          <w:sz w:val="24"/>
          <w:szCs w:val="24"/>
        </w:rPr>
        <w:t xml:space="preserve">The literature on training evaluations and transfer backs this definition, going beyond simply asking whether the employees had liked the session. Nevertheless, the evidence obtained is based on people's own reports: in this case, no objective improvement is measured in individual performance, customer service, productivity, reputation, or financial results.</w:t>
      </w:r>
    </w:p>
    <w:p>
      <w:pPr>
        <w:pStyle w:val="Heading3"/>
        <w:keepNext/>
        <w:spacing w:after="160" w:before="240"/>
      </w:pPr>
      <w:bookmarkStart w:name="h_8" w:id="8"/>
      <w:r>
        <w:rPr>
          <w:rFonts w:ascii="Times New Roman" w:cs="Times New Roman" w:eastAsia="Times New Roman" w:hAnsi="Times New Roman"/>
          <w:b/>
          <w:bCs/>
          <w:i/>
          <w:iCs/>
        </w:rPr>
        <w:t xml:space="preserve">Learning Management System</w:t>
      </w:r>
      <w:bookmarkEnd w:id="8"/>
    </w:p>
    <w:p>
      <w:pPr>
        <w:spacing w:after="320" w:line="360" w:lineRule="auto"/>
        <w:jc w:val="both"/>
      </w:pPr>
      <w:r>
        <w:rPr>
          <w:rFonts w:ascii="Times New Roman" w:cs="Times New Roman" w:eastAsia="Times New Roman" w:hAnsi="Times New Roman"/>
          <w:sz w:val="24"/>
          <w:szCs w:val="24"/>
        </w:rPr>
        <w:t xml:space="preserve">A Learning Management System (LMS) enables an organisation to deliver and manage learning by means of various digital resources, including modules, readings, videos, quizzes, virtual sessions, and learning records. Within its wider system of e-learning, virtual training, staggered programmes, and role-based learning, Union Bank has chosen Union Vidya as its LMS (Union Bank of India, 2024, 2025).</w:t>
      </w:r>
    </w:p>
    <w:p>
      <w:pPr>
        <w:spacing w:after="320" w:line="360" w:lineRule="auto"/>
        <w:jc w:val="both"/>
      </w:pPr>
      <w:r>
        <w:rPr>
          <w:rFonts w:ascii="Times New Roman" w:cs="Times New Roman" w:eastAsia="Times New Roman" w:hAnsi="Times New Roman"/>
          <w:sz w:val="24"/>
          <w:szCs w:val="24"/>
        </w:rPr>
        <w:t xml:space="preserve">Union Vidya is given as an example when the questionnaire is asking about the platform used in the programme that the respondent has chosen, since there can be differences between programmes and platform features and it is not assessed as a separate item.</w:t>
      </w:r>
    </w:p>
    <w:p>
      <w:pPr>
        <w:pStyle w:val="Heading2"/>
        <w:keepNext/>
        <w:spacing w:after="160" w:before="240"/>
      </w:pPr>
      <w:bookmarkStart w:name="h_9" w:id="9"/>
      <w:r>
        <w:rPr>
          <w:rFonts w:ascii="Times New Roman" w:cs="Times New Roman" w:eastAsia="Times New Roman" w:hAnsi="Times New Roman"/>
          <w:b/>
          <w:bCs/>
          <w:i w:val="false"/>
          <w:iCs w:val="false"/>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i/>
          <w:iCs/>
        </w:rPr>
        <w:t xml:space="preserve">Need for the Study</w:t>
      </w:r>
      <w:bookmarkEnd w:id="10"/>
    </w:p>
    <w:p>
      <w:pPr>
        <w:spacing w:after="320" w:line="360" w:lineRule="auto"/>
        <w:jc w:val="both"/>
      </w:pPr>
      <w:r>
        <w:rPr>
          <w:rFonts w:ascii="Times New Roman" w:cs="Times New Roman" w:eastAsia="Times New Roman" w:hAnsi="Times New Roman"/>
          <w:sz w:val="24"/>
          <w:szCs w:val="24"/>
        </w:rPr>
        <w:t xml:space="preserve">The main issue is the connection between employees' experience of Hybrid Learning, Trainer Competence, and Learner Engagement and their perception of Training Effectiveness. Bank employees acquire their knowledge by handling customers, carrying out various procedures, and managing their daily duties. When the activities are hard to access or poorly linked, training tends to increase the pressure on them rather than assist them in applying their new knowledge.</w:t>
      </w:r>
    </w:p>
    <w:p>
      <w:pPr>
        <w:spacing w:after="320" w:line="360" w:lineRule="auto"/>
        <w:jc w:val="both"/>
      </w:pPr>
      <w:r>
        <w:rPr>
          <w:rFonts w:ascii="Times New Roman" w:cs="Times New Roman" w:eastAsia="Times New Roman" w:hAnsi="Times New Roman"/>
          <w:sz w:val="24"/>
          <w:szCs w:val="24"/>
        </w:rPr>
        <w:t xml:space="preserve">Research into blended learning provides some valuable insights into the design of programmes, even though a great deal of it focuses on students. In the case of a bank employee, customer service and compliance duties go on during the training period. Corporate studies include evidence from the work environment, but there is still a lack of research looking at the four constructs together among the employees of an Indian public-sector bank.</w:t>
      </w:r>
    </w:p>
    <w:p>
      <w:pPr>
        <w:spacing w:after="320" w:line="360" w:lineRule="auto"/>
        <w:jc w:val="both"/>
      </w:pPr>
      <w:r>
        <w:rPr>
          <w:rFonts w:ascii="Times New Roman" w:cs="Times New Roman" w:eastAsia="Times New Roman" w:hAnsi="Times New Roman"/>
          <w:sz w:val="24"/>
          <w:szCs w:val="24"/>
        </w:rPr>
        <w:t xml:space="preserve">Union Bank has recorded its digital resources and the training facilities which are led by trainers. These records show what the setup is rather than the quality of the employee's experience within a particular programme. It is the survey that looks at this more specific question.</w:t>
      </w:r>
    </w:p>
    <w:p>
      <w:pPr>
        <w:pStyle w:val="Heading3"/>
        <w:keepNext/>
        <w:spacing w:after="160" w:before="240"/>
      </w:pPr>
      <w:bookmarkStart w:name="h_11" w:id="11"/>
      <w:r>
        <w:rPr>
          <w:rFonts w:ascii="Times New Roman" w:cs="Times New Roman" w:eastAsia="Times New Roman" w:hAnsi="Times New Roman"/>
          <w:b/>
          <w:bCs/>
          <w:i/>
          <w:iCs/>
        </w:rPr>
        <w:t xml:space="preserve">Scope of the Study</w:t>
      </w:r>
      <w:bookmarkEnd w:id="11"/>
    </w:p>
    <w:p>
      <w:pPr>
        <w:spacing w:after="320" w:line="360" w:lineRule="auto"/>
        <w:jc w:val="both"/>
      </w:pPr>
      <w:r>
        <w:rPr>
          <w:rFonts w:ascii="Times New Roman" w:cs="Times New Roman" w:eastAsia="Times New Roman" w:hAnsi="Times New Roman"/>
          <w:sz w:val="24"/>
          <w:szCs w:val="24"/>
        </w:rPr>
        <w:t xml:space="preserve">The respondents who were eligible had to be employees associated with Union Bank's Regional Office in Chennai South and must have taken part in a programme that included both digital and face-to-face elements over the past 12 months; each person was to discuss one programme that had recently taken place. Those who had taken part in only one of the two modes of delivery were unable to judge how the two were linked and so were not eligible.</w:t>
      </w:r>
    </w:p>
    <w:p>
      <w:pPr>
        <w:spacing w:after="320" w:line="360" w:lineRule="auto"/>
        <w:jc w:val="both"/>
      </w:pPr>
      <w:r>
        <w:rPr>
          <w:rFonts w:ascii="Times New Roman" w:cs="Times New Roman" w:eastAsia="Times New Roman" w:hAnsi="Times New Roman"/>
          <w:sz w:val="24"/>
          <w:szCs w:val="24"/>
        </w:rPr>
        <w:t xml:space="preserve">The areas that are measured include Hybrid Learning, Trainer Competence, Learner Engagement, and Training Effectiveness; other factors which might be relevant, such as knowledge retention, job performance, supervisor support, digital literacy, and Union Vidya's technical performance, are not covered by this model. Using a more focused tool makes it possible to keep the analysis manageable for the selected sample.</w:t>
      </w:r>
    </w:p>
    <w:p>
      <w:pPr>
        <w:spacing w:after="320" w:line="360" w:lineRule="auto"/>
        <w:jc w:val="both"/>
      </w:pPr>
      <w:r>
        <w:rPr>
          <w:rFonts w:ascii="Times New Roman" w:cs="Times New Roman" w:eastAsia="Times New Roman" w:hAnsi="Times New Roman"/>
          <w:sz w:val="24"/>
          <w:szCs w:val="24"/>
        </w:rPr>
        <w:t xml:space="preserve">Responses were collected once using a structured five-point agreement questionnaire. Descriptive and correlational analyses describe this group of respondents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i/>
          <w:iCs/>
        </w:rPr>
        <w:t xml:space="preserve">Significance of the Study</w:t>
      </w:r>
      <w:bookmarkEnd w:id="12"/>
    </w:p>
    <w:p>
      <w:pPr>
        <w:spacing w:after="320" w:line="360" w:lineRule="auto"/>
        <w:jc w:val="both"/>
      </w:pPr>
      <w:r>
        <w:rPr>
          <w:rFonts w:ascii="Times New Roman" w:cs="Times New Roman" w:eastAsia="Times New Roman" w:hAnsi="Times New Roman"/>
          <w:sz w:val="24"/>
          <w:szCs w:val="24"/>
        </w:rPr>
        <w:t xml:space="preserve">The results for Union Bank show how employees have responded to the relationship between different learning methods, the level of support provided by trainers, and the extent of their participation. Those aspects which have received lower ratings can help staff identify areas that should be looked at, for example regarding the timing of the modules, access to the materials, the guidance given, the feedback offered, or the opportunities for taking part.</w:t>
      </w:r>
    </w:p>
    <w:p>
      <w:pPr>
        <w:spacing w:after="320" w:line="360" w:lineRule="auto"/>
        <w:jc w:val="both"/>
      </w:pPr>
      <w:r>
        <w:rPr>
          <w:rFonts w:ascii="Times New Roman" w:cs="Times New Roman" w:eastAsia="Times New Roman" w:hAnsi="Times New Roman"/>
          <w:sz w:val="24"/>
          <w:szCs w:val="24"/>
        </w:rPr>
        <w:t xml:space="preserve">Trainers and members of the learning-and-development team can make use of these responses in order to go beyond simply delivering the content. Employees should also understand the reason why a digital module comes before a session, how a new procedure relates to their particular role, and where they can go to ask questions afterwards. These practical links influence whether the training seems manageable when combined with their normal duties.</w:t>
      </w:r>
    </w:p>
    <w:p>
      <w:pPr>
        <w:spacing w:after="320" w:line="360" w:lineRule="auto"/>
        <w:jc w:val="both"/>
      </w:pPr>
      <w:r>
        <w:rPr>
          <w:rFonts w:ascii="Times New Roman" w:cs="Times New Roman" w:eastAsia="Times New Roman" w:hAnsi="Times New Roman"/>
          <w:sz w:val="24"/>
          <w:szCs w:val="24"/>
        </w:rPr>
        <w:t xml:space="preserve">The academic contribution consists of a detailed account based on experience in the public-sector banking environment. The questionnaire was developed by drawing upon conceptual, corporate, and Indian banking literature; it was examined by the supervisor, tried out, and evaluated for internal consistency in the final sample.</w:t>
      </w:r>
    </w:p>
    <w:p>
      <w:pPr>
        <w:pStyle w:val="Heading2"/>
        <w:keepNext/>
        <w:spacing w:after="160" w:before="240"/>
      </w:pPr>
      <w:bookmarkStart w:name="h_13" w:id="13"/>
      <w:r>
        <w:rPr>
          <w:rFonts w:ascii="Times New Roman" w:cs="Times New Roman" w:eastAsia="Times New Roman" w:hAnsi="Times New Roman"/>
          <w:b/>
          <w:bCs/>
          <w:i w:val="false"/>
          <w:iCs w:val="false"/>
        </w:rPr>
        <w:t xml:space="preserve">1.4 Statement of the Problem</w:t>
      </w:r>
      <w:bookmarkEnd w:id="13"/>
    </w:p>
    <w:p>
      <w:pPr>
        <w:spacing w:after="320" w:line="360" w:lineRule="auto"/>
        <w:jc w:val="both"/>
      </w:pPr>
      <w:r>
        <w:rPr>
          <w:rFonts w:ascii="Times New Roman" w:cs="Times New Roman" w:eastAsia="Times New Roman" w:hAnsi="Times New Roman"/>
          <w:sz w:val="24"/>
          <w:szCs w:val="24"/>
        </w:rPr>
        <w:t xml:space="preserve">The learning system at Union Bank makes use of digital materials as well as trainer-led activities, which provides the possibility of hybrid training. However, the fact that such resources are available does not indicate much about an individual employee's actual experience. What remains to be determined is whether the activities are coherent, if the trainers offer adequate guidance, whether the employees take part, and whether they can apply what they have learned to their present jobs.</w:t>
      </w:r>
    </w:p>
    <w:p>
      <w:pPr>
        <w:spacing w:after="320" w:line="360" w:lineRule="auto"/>
        <w:jc w:val="both"/>
      </w:pPr>
      <w:r>
        <w:rPr>
          <w:rFonts w:ascii="Times New Roman" w:cs="Times New Roman" w:eastAsia="Times New Roman" w:hAnsi="Times New Roman"/>
          <w:sz w:val="24"/>
          <w:szCs w:val="24"/>
        </w:rPr>
        <w:t xml:space="preserve">The evidence available from higher education and corporate training provides some context for these questions, but it does not look at the four constructs together in the specific case of Union Bank. Specifically, the published material on Union Vidya fails to explain how employees link its digital resources with trainer-led learning.</w:t>
      </w:r>
    </w:p>
    <w:p>
      <w:pPr>
        <w:spacing w:after="32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i w:val="false"/>
          <w:iCs w:val="false"/>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i w:val="false"/>
          <w:iCs w:val="false"/>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i/>
          <w:iCs/>
        </w:rPr>
        <w:t xml:space="preserve">Banking Industry Context</w:t>
      </w:r>
      <w:bookmarkEnd w:id="16"/>
    </w:p>
    <w:p>
      <w:pPr>
        <w:spacing w:after="320" w:line="360" w:lineRule="auto"/>
        <w:jc w:val="both"/>
      </w:pPr>
      <w:r>
        <w:rPr>
          <w:rFonts w:ascii="Times New Roman" w:cs="Times New Roman" w:eastAsia="Times New Roman" w:hAnsi="Times New Roman"/>
          <w:sz w:val="24"/>
          <w:szCs w:val="24"/>
        </w:rPr>
        <w:t xml:space="preserve">The banking industry involves regulation, digital systems, a range of products, and customer service. Each day, staff are required to keep up to date with regard to procedures and risk controls as they are serving customers. In a public-sector bank with employees spread across various departments and locations, general material has to be available without compromising the chances for questions, practice, guidance, and subsequent revision.</w:t>
      </w:r>
    </w:p>
    <w:p>
      <w:pPr>
        <w:spacing w:after="320" w:line="360" w:lineRule="auto"/>
        <w:jc w:val="both"/>
      </w:pPr>
      <w:r>
        <w:rPr>
          <w:rFonts w:ascii="Times New Roman" w:cs="Times New Roman" w:eastAsia="Times New Roman" w:hAnsi="Times New Roman"/>
          <w:sz w:val="24"/>
          <w:szCs w:val="24"/>
        </w:rPr>
        <w:t xml:space="preserve">Since different training needs exist, different types of activities are required. For example, a brief policy update would be appropriate for a digital module followed by a knowledge check; a new procedure might need to be demonstrated and then practised; and a situation involving customers could be more easily dealt with using role play. Digital material can stay available afterwards. The mode chosen should be one that corresponds to the task the employees need to learn.</w:t>
      </w:r>
    </w:p>
    <w:p>
      <w:pPr>
        <w:pStyle w:val="Heading3"/>
        <w:keepNext/>
        <w:spacing w:after="160" w:before="240"/>
      </w:pPr>
      <w:bookmarkStart w:name="h_17" w:id="17"/>
      <w:r>
        <w:rPr>
          <w:rFonts w:ascii="Times New Roman" w:cs="Times New Roman" w:eastAsia="Times New Roman" w:hAnsi="Times New Roman"/>
          <w:b/>
          <w:bCs/>
          <w:i/>
          <w:iCs/>
        </w:rPr>
        <w:t xml:space="preserve">Union Bank of India Context</w:t>
      </w:r>
      <w:bookmarkEnd w:id="17"/>
    </w:p>
    <w:p>
      <w:pPr>
        <w:spacing w:after="320" w:line="360" w:lineRule="auto"/>
        <w:jc w:val="both"/>
      </w:pPr>
      <w:r>
        <w:rPr>
          <w:rFonts w:ascii="Times New Roman" w:cs="Times New Roman" w:eastAsia="Times New Roman" w:hAnsi="Times New Roman"/>
          <w:sz w:val="24"/>
          <w:szCs w:val="24"/>
        </w:rPr>
        <w:t xml:space="preserve">Union Bank was set up in Mumbai on 11 November 1919 and was nationalised in 1969. On 1 April 2020, Andhra Bank and Corporation Bank joined it by way of amalgamation (Union Bank of India, n.d.-a). The bank's public profile stated that it had more than 8,700 domestic branches and 73,900 employees in June 2026. Since its workforce is distributed over such a large number of locations, it becomes a practical issue to have access to up-to-date materials and to receive trainer support.</w:t>
      </w:r>
    </w:p>
    <w:p>
      <w:pPr>
        <w:pStyle w:val="Heading3"/>
        <w:keepNext/>
        <w:spacing w:after="160" w:before="240"/>
      </w:pPr>
      <w:bookmarkStart w:name="h_18" w:id="18"/>
      <w:r>
        <w:rPr>
          <w:rFonts w:ascii="Times New Roman" w:cs="Times New Roman" w:eastAsia="Times New Roman" w:hAnsi="Times New Roman"/>
          <w:b/>
          <w:bCs/>
          <w:i/>
          <w:iCs/>
        </w:rPr>
        <w:t xml:space="preserve">Union Bank Training Architecture</w:t>
      </w:r>
      <w:bookmarkEnd w:id="18"/>
    </w:p>
    <w:p>
      <w:pPr>
        <w:spacing w:after="320" w:line="360" w:lineRule="auto"/>
        <w:jc w:val="both"/>
      </w:pPr>
      <w:r>
        <w:rPr>
          <w:rFonts w:ascii="Times New Roman" w:cs="Times New Roman" w:eastAsia="Times New Roman" w:hAnsi="Times New Roman"/>
          <w:sz w:val="24"/>
          <w:szCs w:val="24"/>
        </w:rPr>
        <w:t xml:space="preserve">Union Bank promotes learning by providing both physical training facilities and digital courses. According to its 2024–25 annual report there is a Master Policy on Learning and Development which includes e-learning, virtual and staggered programmes, role-based training, mandatory e-learning for officers, and a Training Management System within Union Vidya (Union Bank of India, 2025). The previous annual report designates Union Vidya as the Bank's LMS and lists its digital resources and virtual workshops together with classroom and locational programmes (Union Bank of India, 2024).</w:t>
      </w:r>
    </w:p>
    <w:p>
      <w:pPr>
        <w:spacing w:after="320" w:line="360" w:lineRule="auto"/>
        <w:jc w:val="both"/>
      </w:pPr>
      <w:r>
        <w:rPr>
          <w:rFonts w:ascii="Times New Roman" w:cs="Times New Roman" w:eastAsia="Times New Roman" w:hAnsi="Times New Roman"/>
          <w:sz w:val="24"/>
          <w:szCs w:val="24"/>
        </w:rPr>
        <w:t xml:space="preserve">In 2022, nine specialised Union Learning Academies were set up. According to the Bank's public list, there is also a Staff Training College in Bengaluru and seven further Staff Training Centres (Union Bank of India, 2022; Union Bank of India, n.d.-b). Along with the digital facilities, these institutions make up its learning infrastructure, though their presence does not prove that anyone attended a centre or that each programme combined both modes.</w:t>
      </w:r>
    </w:p>
    <w:p>
      <w:pPr>
        <w:spacing w:after="320" w:line="360" w:lineRule="auto"/>
        <w:jc w:val="both"/>
      </w:pPr>
      <w:r>
        <w:rPr>
          <w:rFonts w:ascii="Times New Roman" w:cs="Times New Roman" w:eastAsia="Times New Roman" w:hAnsi="Times New Roman"/>
          <w:sz w:val="24"/>
          <w:szCs w:val="24"/>
        </w:rPr>
        <w:t xml:space="preserve">The circular, which dates from 9 September 2026, cites an example of a link between the different modes. Classroom sessions that have been selected at the Union Learning Academies and the Zonal Learning Centres can be watched via Microsoft Teams, with the schedules and recordings being made available through Union Vidya, and virtual participants being able to pose questions in the chat for the programme coordinator to raise at appropriate intervals (Union Bank of India, 2026). This arrangement enables access to certain trainer-led sessions; however, the circular contains no information regarding the effects on employees within the Bank.</w:t>
      </w:r>
    </w:p>
    <w:p>
      <w:pPr>
        <w:spacing w:after="320" w:line="360" w:lineRule="auto"/>
        <w:jc w:val="both"/>
      </w:pPr>
      <w:r>
        <w:rPr>
          <w:rFonts w:ascii="Times New Roman" w:cs="Times New Roman" w:eastAsia="Times New Roman" w:hAnsi="Times New Roman"/>
          <w:sz w:val="24"/>
          <w:szCs w:val="24"/>
        </w:rPr>
        <w:t xml:space="preserve">The survey therefore focuses on what eligible employees connected with Regional Office Chennai South reported about one recent hybrid programme. Its findings concern those respondents rather than the Bank as a whole.</w:t>
      </w:r>
    </w:p>
    <w:p>
      <w:pPr>
        <w:pStyle w:val="Heading2"/>
        <w:keepNext/>
        <w:spacing w:after="160" w:before="240"/>
      </w:pPr>
      <w:bookmarkStart w:name="h_19" w:id="19"/>
      <w:r>
        <w:rPr>
          <w:rFonts w:ascii="Times New Roman" w:cs="Times New Roman" w:eastAsia="Times New Roman" w:hAnsi="Times New Roman"/>
          <w:b/>
          <w:bCs/>
          <w:i w:val="false"/>
          <w:iCs w:val="false"/>
        </w:rPr>
        <w:t xml:space="preserve">1.7 Chapterisation</w:t>
      </w:r>
      <w:bookmarkEnd w:id="19"/>
    </w:p>
    <w:p>
      <w:pPr>
        <w:spacing w:after="320" w:line="360" w:lineRule="auto"/>
        <w:jc w:val="both"/>
      </w:pPr>
      <w:r>
        <w:rPr>
          <w:rFonts w:ascii="Times New Roman" w:cs="Times New Roman" w:eastAsia="Times New Roman" w:hAnsi="Times New Roman"/>
          <w:sz w:val="24"/>
          <w:szCs w:val="24"/>
        </w:rPr>
        <w:t xml:space="preserve">The banking context the four constructs the research problem and the questions that guide the study are all outlined in Chapter 1.</w:t>
      </w:r>
    </w:p>
    <w:p>
      <w:pPr>
        <w:spacing w:after="320" w:line="360" w:lineRule="auto"/>
        <w:jc w:val="both"/>
      </w:pPr>
      <w:r>
        <w:rPr>
          <w:rFonts w:ascii="Times New Roman" w:cs="Times New Roman" w:eastAsia="Times New Roman" w:hAnsi="Times New Roman"/>
          <w:sz w:val="24"/>
          <w:szCs w:val="24"/>
        </w:rPr>
        <w:t xml:space="preserve">The chapter looks at the relevant literature and outlines the roles of the three fundamental papers; it then presents the framework together with the gap that is addressed in the case of Union Bank.</w:t>
      </w:r>
    </w:p>
    <w:p>
      <w:pPr>
        <w:spacing w:after="320" w:line="360" w:lineRule="auto"/>
        <w:jc w:val="both"/>
      </w:pPr>
      <w:r>
        <w:rPr>
          <w:rFonts w:ascii="Times New Roman" w:cs="Times New Roman" w:eastAsia="Times New Roman" w:hAnsi="Times New Roman"/>
          <w:sz w:val="24"/>
          <w:szCs w:val="24"/>
        </w:rPr>
        <w:t xml:space="preserve">Chapter 3 sets out the objective, the hypothesis, the method of sampling and the procedure for data collection, the questionnaire, the analysis, and the ethical safeguards.</w:t>
      </w:r>
    </w:p>
    <w:p>
      <w:pPr>
        <w:spacing w:after="320" w:line="360" w:lineRule="auto"/>
        <w:jc w:val="both"/>
      </w:pPr>
      <w:r>
        <w:rPr>
          <w:rFonts w:ascii="Times New Roman" w:cs="Times New Roman" w:eastAsia="Times New Roman" w:hAnsi="Times New Roman"/>
          <w:sz w:val="24"/>
          <w:szCs w:val="24"/>
        </w:rPr>
        <w:t xml:space="preserve">Chapter 4 sets out and explains the results. Chapter 5 summarizes the findings, the limitations, the recommendations, and reaches a conclusion.</w:t>
      </w:r>
    </w:p>
    <w:p>
      <w:r>
        <w:br w:type="page"/>
      </w:r>
    </w:p>
    <w:p>
      <w:pPr>
        <w:pStyle w:val="Heading1"/>
        <w:keepNext/>
        <w:spacing w:after="160" w:before="0"/>
      </w:pPr>
      <w:bookmarkStart w:name="h_20" w:id="20"/>
      <w:r>
        <w:rPr>
          <w:rFonts w:ascii="Times New Roman" w:cs="Times New Roman" w:eastAsia="Times New Roman" w:hAnsi="Times New Roman"/>
          <w:b/>
          <w:bCs/>
          <w:i w:val="false"/>
          <w:iCs w:val="false"/>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i w:val="false"/>
          <w:iCs w:val="false"/>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i/>
          <w:iCs/>
        </w:rPr>
        <w:t xml:space="preserve">Hybrid Learning as an Integrated Training Design</w:t>
      </w:r>
      <w:bookmarkEnd w:id="22"/>
    </w:p>
    <w:p>
      <w:pPr>
        <w:spacing w:after="320" w:line="360" w:lineRule="auto"/>
        <w:jc w:val="both"/>
      </w:pPr>
      <w:r>
        <w:rPr>
          <w:rFonts w:ascii="Times New Roman" w:cs="Times New Roman" w:eastAsia="Times New Roman" w:hAnsi="Times New Roman"/>
          <w:sz w:val="24"/>
          <w:szCs w:val="24"/>
        </w:rPr>
        <w:t xml:space="preserve">Hybrid learning in the workplace involves more than simply allocating a certain number of hours for an online module and a classroom session; the various activities have to be arranged in a sequence that employees can follow and apply to their own work, and a digital task should have a clear reason for coming before or after a trainer-led activity.</w:t>
      </w:r>
    </w:p>
    <w:p>
      <w:pPr>
        <w:spacing w:after="32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32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320" w:line="360" w:lineRule="auto"/>
        <w:jc w:val="both"/>
      </w:pPr>
      <w:r>
        <w:rPr>
          <w:rFonts w:ascii="Times New Roman" w:cs="Times New Roman" w:eastAsia="Times New Roman" w:hAnsi="Times New Roman"/>
          <w:sz w:val="24"/>
          <w:szCs w:val="24"/>
        </w:rPr>
        <w:t xml:space="preserve">Two educational reviews contribute to the wider discussion about learning. Vo, Zhu and Diep (2017) pooled 51 effect sizes from courses in higher education and found a small average benefit of blended learning compared to traditional classroom teaching (g = 0.385). Yu, Yu, Li and Wang (2025) examined 133 studies involving 18,464 students and identified an upper-medium effect on learning performance (g = 0.651). These figures refer to students. Since bank employees frequently have to learn while dealing with customer service, meeting deadlines, and adapting to new procedures, the estimates only serve as background information and not as a prediction for Union Bank.</w:t>
      </w:r>
    </w:p>
    <w:p>
      <w:pPr>
        <w:spacing w:after="32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320" w:line="360" w:lineRule="auto"/>
        <w:jc w:val="both"/>
      </w:pPr>
      <w:r>
        <w:rPr>
          <w:rFonts w:ascii="Times New Roman" w:cs="Times New Roman" w:eastAsia="Times New Roman" w:hAnsi="Times New Roman"/>
          <w:sz w:val="24"/>
          <w:szCs w:val="24"/>
        </w:rPr>
        <w:t xml:space="preserve">The relevance of Mulaudzi's (2021) Master's dissertation to employees who have to undergo training around their regular work lies in its examination of issues such as time, access, flexibility, teaching materials and practical obstacles. These themes have therefore been reflected in the way the questions in the present questionnaire are phrased with regard to access and connected learning, even though the questionnaire instrument from the dissertation was not used directly as a ready-made corporate scale.</w:t>
      </w:r>
    </w:p>
    <w:p>
      <w:pPr>
        <w:spacing w:after="320" w:line="360" w:lineRule="auto"/>
        <w:jc w:val="both"/>
      </w:pPr>
      <w:r>
        <w:rPr>
          <w:rFonts w:ascii="Times New Roman" w:cs="Times New Roman" w:eastAsia="Times New Roman" w:hAnsi="Times New Roman"/>
          <w:sz w:val="24"/>
          <w:szCs w:val="24"/>
        </w:rPr>
        <w:t xml:space="preserve">The Questionnaire on the Perceptions of the Blended Learning Environment developed by Han and Ellis (2020) inquires into how learners perceive the relationship between different modes and the role of online learning; however, its language, which is geared towards higher education, is not appropriate for use directly with bank employees. The fundamental themes involved—namely, connection, access, availability of materials, and revision—help to explain the content of the Hybrid Learning items.</w:t>
      </w:r>
    </w:p>
    <w:p>
      <w:pPr>
        <w:spacing w:after="32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i/>
          <w:iCs/>
        </w:rPr>
        <w:t xml:space="preserve">Hybrid Training and Effectiveness in Corporate Settings</w:t>
      </w:r>
      <w:bookmarkEnd w:id="23"/>
    </w:p>
    <w:p>
      <w:pPr>
        <w:spacing w:after="320" w:line="360" w:lineRule="auto"/>
        <w:jc w:val="both"/>
      </w:pPr>
      <w:r>
        <w:rPr>
          <w:rFonts w:ascii="Times New Roman" w:cs="Times New Roman" w:eastAsia="Times New Roman" w:hAnsi="Times New Roman"/>
          <w:sz w:val="24"/>
          <w:szCs w:val="24"/>
        </w:rPr>
        <w:t xml:space="preserve">The corporate training evidence is provided by Kim (2022). In South Korea automotive sales training the method of delivery shifted from traditional to fully digital and then to a hybrid approach. The analysis includes 583 training cases from 2019 to 2020: 325 traditional, 140 fully digital and 118 hybrid. Different from the more self-directed fully digital format, the hybrid format involved both online and offline activities.</w:t>
      </w:r>
    </w:p>
    <w:p>
      <w:pPr>
        <w:spacing w:after="320" w:line="360" w:lineRule="auto"/>
        <w:jc w:val="both"/>
      </w:pPr>
      <w:r>
        <w:rPr>
          <w:rFonts w:ascii="Times New Roman" w:cs="Times New Roman" w:eastAsia="Times New Roman" w:hAnsi="Times New Roman"/>
          <w:sz w:val="24"/>
          <w:szCs w:val="24"/>
        </w:rPr>
        <w:t xml:space="preserve">The effectiveness of the training was assessed using Kim’s Content, Instructional Design, Programmed Learning, and Recommendation (CIP-R) framework, a framework that includes content, design, personalised learning, perceived competence, and recommendation. Effectiveness was found to decrease when the method of delivery changed from traditional to fully digital training and increased afterwards when a hybrid approach was introduced. Factors linked to the reported outcome included instructor engagement, duration, personalised learning, confidence and competence, and job-related skill level.</w:t>
      </w:r>
    </w:p>
    <w:p>
      <w:pPr>
        <w:spacing w:after="320" w:line="360" w:lineRule="auto"/>
        <w:jc w:val="both"/>
      </w:pPr>
      <w:r>
        <w:rPr>
          <w:rFonts w:ascii="Times New Roman" w:cs="Times New Roman" w:eastAsia="Times New Roman" w:hAnsi="Times New Roman"/>
          <w:sz w:val="24"/>
          <w:szCs w:val="24"/>
        </w:rPr>
        <w:t xml:space="preserve">The order in which Kim's group ranked the different types of training was such that traditional training came top, hybrid training followed it, and fully digital training was at the bottom. There was no statistically significant difference between the hybrid and fully digital methods of delivery. Kim is therefore unable to make a general assertion that hybrid training is better. The paper is more helpful in illustrating the reasons why the design of the delivery, the role of the instructor, and practice should all be taken into account when assessing a corporate programme.</w:t>
      </w:r>
    </w:p>
    <w:p>
      <w:pPr>
        <w:spacing w:after="320" w:line="360" w:lineRule="auto"/>
        <w:jc w:val="both"/>
      </w:pPr>
      <w:r>
        <w:rPr>
          <w:rFonts w:ascii="Times New Roman" w:cs="Times New Roman" w:eastAsia="Times New Roman" w:hAnsi="Times New Roman"/>
          <w:sz w:val="24"/>
          <w:szCs w:val="24"/>
        </w:rPr>
        <w:t xml:space="preserve">The current decisions regarding measurement are based on Kim's findings; training effectiveness includes more than just a positive immediate reaction; hybrid learning relates to the quality of the link between the different methods; and trainer competence stays distinct since having access to digital materials does not take the place of guidance and feedback.</w:t>
      </w:r>
    </w:p>
    <w:p>
      <w:pPr>
        <w:spacing w:after="320" w:line="360" w:lineRule="auto"/>
        <w:jc w:val="both"/>
      </w:pPr>
      <w:r>
        <w:rPr>
          <w:rFonts w:ascii="Times New Roman" w:cs="Times New Roman" w:eastAsia="Times New Roman" w:hAnsi="Times New Roman"/>
          <w:sz w:val="24"/>
          <w:szCs w:val="24"/>
        </w:rPr>
        <w:t xml:space="preserve">The term “hybrid” does not indicate whether an employee could access the materials, prepare in advance, take part, or practise. This matters when staff from different branches attend training while normal work continues. The Union Bank questionnaire therefore asks about activities within one programme and the support available, rather than asking employees to compare formats they may never have experienced.</w:t>
      </w:r>
    </w:p>
    <w:p>
      <w:pPr>
        <w:spacing w:after="320" w:line="360" w:lineRule="auto"/>
        <w:jc w:val="both"/>
      </w:pPr>
      <w:r>
        <w:rPr>
          <w:rFonts w:ascii="Times New Roman" w:cs="Times New Roman" w:eastAsia="Times New Roman" w:hAnsi="Times New Roman"/>
          <w:sz w:val="24"/>
          <w:szCs w:val="24"/>
        </w:rPr>
        <w:t xml:space="preserve">Instead of comparing corporate delivery methods, this thesis seeks to find out from individual bank employees whether one of the programmes had helped them to understand and apply work-related learning. The designs are not going to yield exactly the same results, but the comparison at the corporate level does make the question at the employee level worth investigating.</w:t>
      </w:r>
    </w:p>
    <w:p>
      <w:pPr>
        <w:spacing w:after="32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320" w:line="360" w:lineRule="auto"/>
        <w:jc w:val="both"/>
      </w:pPr>
      <w:r>
        <w:rPr>
          <w:rFonts w:ascii="Times New Roman" w:cs="Times New Roman" w:eastAsia="Times New Roman" w:hAnsi="Times New Roman"/>
          <w:sz w:val="24"/>
          <w:szCs w:val="24"/>
        </w:rPr>
        <w:t xml:space="preserve">Uddin and others have provided relevant literature relating to the workplace. In order to test the specific pathways concerning soft skills, knowledge acquisition, and performance, it would be necessary to use measures that are not included in this four-factor survey.</w:t>
      </w:r>
    </w:p>
    <w:p>
      <w:pPr>
        <w:pStyle w:val="Heading3"/>
        <w:keepNext/>
        <w:spacing w:after="160" w:before="240"/>
      </w:pPr>
      <w:bookmarkStart w:name="h_24" w:id="24"/>
      <w:r>
        <w:rPr>
          <w:rFonts w:ascii="Times New Roman" w:cs="Times New Roman" w:eastAsia="Times New Roman" w:hAnsi="Times New Roman"/>
          <w:b/>
          <w:bCs/>
          <w:i/>
          <w:iCs/>
        </w:rPr>
        <w:t xml:space="preserve">Trainer Competence in Hybrid Training</w:t>
      </w:r>
      <w:bookmarkEnd w:id="24"/>
    </w:p>
    <w:p>
      <w:pPr>
        <w:spacing w:after="32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320" w:line="360" w:lineRule="auto"/>
        <w:jc w:val="both"/>
      </w:pPr>
      <w:r>
        <w:rPr>
          <w:rFonts w:ascii="Times New Roman" w:cs="Times New Roman" w:eastAsia="Times New Roman" w:hAnsi="Times New Roman"/>
          <w:sz w:val="24"/>
          <w:szCs w:val="24"/>
        </w:rPr>
        <w:t xml:space="preserve">The quality of the technical platform and the level of competence of the trainer are two distinct issues. It is possible for the material to be available on line without there being an explanation of its purpose; similarly, an experienced trainer may have difficulty when employees are unable to access that material. That is why the questionnaire includes separate sections relating to programme design and trainer support.</w:t>
      </w:r>
    </w:p>
    <w:p>
      <w:pPr>
        <w:spacing w:after="32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32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i/>
          <w:iCs/>
        </w:rPr>
        <w:t xml:space="preserve">Learner Engagement</w:t>
      </w:r>
      <w:bookmarkEnd w:id="25"/>
    </w:p>
    <w:p>
      <w:pPr>
        <w:spacing w:after="320" w:line="360" w:lineRule="auto"/>
        <w:jc w:val="both"/>
      </w:pPr>
      <w:r>
        <w:rPr>
          <w:rFonts w:ascii="Times New Roman" w:cs="Times New Roman" w:eastAsia="Times New Roman" w:hAnsi="Times New Roman"/>
          <w:sz w:val="24"/>
          <w:szCs w:val="24"/>
        </w:rPr>
        <w:t xml:space="preserve">Engagement refers to active involvement, such as showing attention, putting in effort, taking part, displaying interest, and asking for clarification. Since a login or attendance record does not indicate whether a person made an attempt to understand a changing procedure, completion is only a partial description of the learning process.</w:t>
      </w:r>
    </w:p>
    <w:p>
      <w:pPr>
        <w:spacing w:after="320" w:line="360" w:lineRule="auto"/>
        <w:jc w:val="both"/>
      </w:pPr>
      <w:r>
        <w:rPr>
          <w:rFonts w:ascii="Times New Roman" w:cs="Times New Roman" w:eastAsia="Times New Roman" w:hAnsi="Times New Roman"/>
          <w:sz w:val="24"/>
          <w:szCs w:val="24"/>
        </w:rPr>
        <w:t xml:space="preserve">Schaufeli, Bakker and Salanova (2006) define work engagement as comprising vigour, dedication and absorption. Their scale does not serve as a measure of one's participation in a specific training programme. The items used in the present study are based only on the general concept of active effort, namely that respondents indicate the degree of their attention, participation, involvement, questioning and interest during the programme in question.</w:t>
      </w:r>
    </w:p>
    <w:p>
      <w:pPr>
        <w:spacing w:after="320" w:line="360" w:lineRule="auto"/>
        <w:jc w:val="both"/>
      </w:pPr>
      <w:r>
        <w:rPr>
          <w:rFonts w:ascii="Times New Roman" w:cs="Times New Roman" w:eastAsia="Times New Roman" w:hAnsi="Times New Roman"/>
          <w:sz w:val="24"/>
          <w:szCs w:val="24"/>
        </w:rPr>
        <w:t xml:space="preserve">Learner Engagement has to be considered an independent variable since neither the design of the programme nor the trainer's skill is enough to determine an employee's level of attention or involvement. Other factors such as time pressure, previous experience, digital confidence, motivation, and the conditions of the branch can also influence the response. The model therefore looks at the relationship between engagement and Training Effectiveness rather than assuming that engagement is fixed in a particular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i/>
          <w:iCs/>
        </w:rPr>
        <w:t xml:space="preserve">Training Effectiveness</w:t>
      </w:r>
      <w:bookmarkEnd w:id="26"/>
    </w:p>
    <w:p>
      <w:pPr>
        <w:spacing w:after="320" w:line="360" w:lineRule="auto"/>
        <w:jc w:val="both"/>
      </w:pPr>
      <w:r>
        <w:rPr>
          <w:rFonts w:ascii="Times New Roman" w:cs="Times New Roman" w:eastAsia="Times New Roman" w:hAnsi="Times New Roman"/>
          <w:sz w:val="24"/>
          <w:szCs w:val="24"/>
        </w:rPr>
        <w:t xml:space="preserve">Kirkpatrick's framework distinguishes between reaction, learning, behaviour and results. This distinction means that a positive reaction to a session cannot be taken as equivalent to all the outcomes of the training. It is possible for an employee to enjoy a session without understanding it, or to understand it without later having the opportunity to apply what they have learned.</w:t>
      </w:r>
    </w:p>
    <w:p>
      <w:pPr>
        <w:spacing w:after="320" w:line="360" w:lineRule="auto"/>
        <w:jc w:val="both"/>
      </w:pPr>
      <w:r>
        <w:rPr>
          <w:rFonts w:ascii="Times New Roman" w:cs="Times New Roman" w:eastAsia="Times New Roman" w:hAnsi="Times New Roman"/>
          <w:sz w:val="24"/>
          <w:szCs w:val="24"/>
        </w:rPr>
        <w:t xml:space="preserve">Bahl, Kiran and Sharma (2024) provide the Indian banking base paper. Their open-access assessment covers 402 managerial and non-managerial employees in public, private, and foreign banks and applies Kirkpatrick’s four levels. It shows why training evaluation matters in banking. It does not examine hybrid delivery, trainer competence, learner engagement, or Union Vidya, so it cannot supply the current model on its own.</w:t>
      </w:r>
    </w:p>
    <w:p>
      <w:pPr>
        <w:spacing w:after="32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320" w:line="360" w:lineRule="auto"/>
        <w:jc w:val="both"/>
      </w:pPr>
      <w:r>
        <w:rPr>
          <w:rFonts w:ascii="Times New Roman" w:cs="Times New Roman" w:eastAsia="Times New Roman" w:hAnsi="Times New Roman"/>
          <w:sz w:val="24"/>
          <w:szCs w:val="24"/>
        </w:rPr>
        <w:t xml:space="preserve">The criterion used in this case is more limited in that employees are asked to assess the extent to which the training covers understanding, relevance, capability, its applicability to tasks, its value in helping with related problems, and the confidence it has given them in carrying out their present responsibilities; they are not required to judge productivity, customer satisfaction, the bank's reputation, or its financial performance, since that would demand further data.</w:t>
      </w:r>
    </w:p>
    <w:p>
      <w:pPr>
        <w:spacing w:after="32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32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32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i/>
          <w:iCs/>
        </w:rPr>
        <w:t xml:space="preserve">Workplace Implementation Conditions</w:t>
      </w:r>
      <w:bookmarkEnd w:id="27"/>
    </w:p>
    <w:p>
      <w:pPr>
        <w:spacing w:after="320" w:line="360" w:lineRule="auto"/>
        <w:jc w:val="both"/>
      </w:pPr>
      <w:r>
        <w:rPr>
          <w:rFonts w:ascii="Times New Roman" w:cs="Times New Roman" w:eastAsia="Times New Roman" w:hAnsi="Times New Roman"/>
          <w:sz w:val="24"/>
          <w:szCs w:val="24"/>
        </w:rPr>
        <w:t xml:space="preserve">While an LMS can store the content, it is up to people to decide what should be read before a session, what should be discussed, and when feedback is required. Likewise, a classroom discussion might not provide employees with material that they can go back and review later. This link between the different activities is at the heart of the Hybrid Learning measure.</w:t>
      </w:r>
    </w:p>
    <w:p>
      <w:pPr>
        <w:spacing w:after="32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32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320" w:line="360" w:lineRule="auto"/>
        <w:jc w:val="both"/>
      </w:pPr>
      <w:r>
        <w:rPr>
          <w:rFonts w:ascii="Times New Roman" w:cs="Times New Roman" w:eastAsia="Times New Roman" w:hAnsi="Times New Roman"/>
          <w:sz w:val="24"/>
          <w:szCs w:val="24"/>
        </w:rPr>
        <w:t xml:space="preserve">A possible approach would be digital preparation, followed by practice led by a trainer, then applying it in the workplace and finally carrying out digital feedback. This example illustrates what a connected programme could be like. It is not another model that was tested in the survey.</w:t>
      </w:r>
    </w:p>
    <w:p>
      <w:pPr>
        <w:pStyle w:val="Heading3"/>
        <w:keepNext/>
        <w:spacing w:after="160" w:before="240"/>
      </w:pPr>
      <w:bookmarkStart w:name="h_28" w:id="28"/>
      <w:r>
        <w:rPr>
          <w:rFonts w:ascii="Times New Roman" w:cs="Times New Roman" w:eastAsia="Times New Roman" w:hAnsi="Times New Roman"/>
          <w:b/>
          <w:bCs/>
          <w:i/>
          <w:iCs/>
        </w:rPr>
        <w:t xml:space="preserve">Use of the Literature in Practical Recommendations</w:t>
      </w:r>
      <w:bookmarkEnd w:id="28"/>
    </w:p>
    <w:p>
      <w:pPr>
        <w:spacing w:after="320" w:line="360" w:lineRule="auto"/>
        <w:jc w:val="both"/>
      </w:pPr>
      <w:r>
        <w:rPr>
          <w:rFonts w:ascii="Times New Roman" w:cs="Times New Roman" w:eastAsia="Times New Roman" w:hAnsi="Times New Roman"/>
          <w:sz w:val="24"/>
          <w:szCs w:val="24"/>
        </w:rPr>
        <w:t xml:space="preserve">The recommendations should start with the actual ratings given by the respondents and then refer to the relevant literature to interpret these ratings; if the scores for access or materials are low this would indicate a problem with the timing or availability of resources; if the ratings for explanation or feedback are low it would point to the need for reviewing the trainer's preparation; and if participation or seeking clarification is limited the focus should be on the questions, practice, and follow-up.</w:t>
      </w:r>
    </w:p>
    <w:p>
      <w:pPr>
        <w:spacing w:after="320" w:line="360" w:lineRule="auto"/>
        <w:jc w:val="both"/>
      </w:pPr>
      <w:r>
        <w:rPr>
          <w:rFonts w:ascii="Times New Roman" w:cs="Times New Roman" w:eastAsia="Times New Roman" w:hAnsi="Times New Roman"/>
          <w:sz w:val="24"/>
          <w:szCs w:val="24"/>
        </w:rPr>
        <w:t xml:space="preserve">The employee ratings point out the strengths or difficulties in the chosen programme, and the studies that have been reviewed help to explain why these areas might be important.</w:t>
      </w:r>
    </w:p>
    <w:p>
      <w:pPr>
        <w:pStyle w:val="Heading3"/>
        <w:keepNext/>
        <w:spacing w:after="160" w:before="240"/>
      </w:pPr>
      <w:bookmarkStart w:name="h_29" w:id="29"/>
      <w:r>
        <w:rPr>
          <w:rFonts w:ascii="Times New Roman" w:cs="Times New Roman" w:eastAsia="Times New Roman" w:hAnsi="Times New Roman"/>
          <w:b/>
          <w:bCs/>
          <w:i/>
          <w:iCs/>
        </w:rPr>
        <w:t xml:space="preserve">Summary of the Empirical Review</w:t>
      </w:r>
      <w:bookmarkEnd w:id="29"/>
    </w:p>
    <w:p>
      <w:pPr>
        <w:spacing w:after="32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320" w:line="360" w:lineRule="auto"/>
        <w:jc w:val="both"/>
      </w:pPr>
      <w:r>
        <w:rPr>
          <w:rFonts w:ascii="Times New Roman" w:cs="Times New Roman" w:eastAsia="Times New Roman" w:hAnsi="Times New Roman"/>
          <w:sz w:val="24"/>
          <w:szCs w:val="24"/>
        </w:rPr>
        <w:t xml:space="preserve">No single source provides the whole model or an instrument ready for Union Bank; it is Appendix B that shows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i/>
          <w:iCs/>
        </w:rPr>
        <w:t xml:space="preserve">Comparison of the Three Base Papers</w:t>
      </w:r>
      <w:bookmarkEnd w:id="30"/>
    </w:p>
    <w:p>
      <w:pPr>
        <w:spacing w:after="320" w:line="360" w:lineRule="auto"/>
        <w:jc w:val="both"/>
      </w:pPr>
      <w:r>
        <w:rPr>
          <w:rFonts w:ascii="Times New Roman" w:cs="Times New Roman" w:eastAsia="Times New Roman" w:hAnsi="Times New Roman"/>
          <w:sz w:val="24"/>
          <w:szCs w:val="24"/>
        </w:rPr>
        <w:t xml:space="preserve">The studies refer to three different settings rather than using the same model. Sosnova et al. (2025) focus on students; Kim (2022) looks at trainees in the automotive sales field; and Bahl, Kiran and Sharma (2024) look at Indian bank employees without including a hybrid-delivery measure. The fact that these studies differ is what makes the Union Bank question relevant, but none of them provides a result that can be directly replicated in Chennai.</w:t>
      </w:r>
    </w:p>
    <w:p>
      <w:pPr>
        <w:spacing w:after="32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320" w:line="360" w:lineRule="auto"/>
        <w:jc w:val="both"/>
      </w:pPr>
      <w:r>
        <w:rPr>
          <w:rFonts w:ascii="Times New Roman" w:cs="Times New Roman" w:eastAsia="Times New Roman" w:hAnsi="Times New Roman"/>
          <w:sz w:val="24"/>
          <w:szCs w:val="24"/>
        </w:rPr>
        <w:t xml:space="preserve">All of the points made by Kim regarding instructors and participation, Mulaudzi's (2021) account of facilitation and time in the workplace, and Schaufeli, Bakker and Salanova's (2006) idea of active effort help in distinguishing between trainer support and learner behaviour. Since the last of these refers to general work engagement, it is included here as background rather than as a measure for training. Even if a bank employee appreciates the trainer's explanation, he or she may still not have much time to get prepared or to ask questions. The two aspects are therefore assessed separately.</w:t>
      </w:r>
    </w:p>
    <w:p>
      <w:pPr>
        <w:spacing w:after="320" w:line="360" w:lineRule="auto"/>
        <w:jc w:val="both"/>
      </w:pPr>
      <w:r>
        <w:rPr>
          <w:rFonts w:ascii="Times New Roman" w:cs="Times New Roman" w:eastAsia="Times New Roman" w:hAnsi="Times New Roman"/>
          <w:sz w:val="24"/>
          <w:szCs w:val="24"/>
        </w:rPr>
        <w:t xml:space="preserve">The other measurement sources have a different aim: Han and Ellis (2020) address questions concerning the relationship between modes, Mulaudzi (2021) provides information on workplace access conditions, and Aziz (2015) offers support for an employee-level outcome. Appendix B shows how these themes were adapted to apply to one Union Bank programme. A student scale or a transport-sector instrument does not automatically become a validated Bank measure just because its wording has been changed.</w:t>
      </w:r>
    </w:p>
    <w:p>
      <w:pPr>
        <w:spacing w:after="32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i/>
          <w:iCs/>
        </w:rPr>
        <w:t xml:space="preserve">Literature Summary</w:t>
      </w:r>
      <w:bookmarkEnd w:id="31"/>
    </w:p>
    <w:p>
      <w:pPr>
        <w:keepNext/>
        <w:spacing w:after="120" w:before="200" w:line="276" w:lineRule="auto"/>
        <w:jc w:val="left"/>
      </w:pPr>
      <w:bookmarkStart w:name="tbl_32" w:id="32"/>
      <w:r>
        <w:rPr>
          <w:rFonts w:ascii="Times New Roman" w:cs="Times New Roman" w:eastAsia="Times New Roman" w:hAnsi="Times New Roman"/>
          <w:b/>
          <w:bCs/>
          <w:sz w:val="24"/>
          <w:szCs w:val="24"/>
        </w:rPr>
        <w:t xml:space="preserve">Table 2.1: 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4"/>
        <w:gridCol w:w="4175"/>
        <w:gridCol w:w="2957"/>
      </w:tblGrid>
      <w:tr>
        <w:trPr>
          <w:cantSplit/>
          <w:tblHeader/>
        </w:trPr>
        <w:tc>
          <w:tcPr>
            <w:tcW w:type="dxa" w:w="189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Study</w:t>
            </w:r>
          </w:p>
        </w:tc>
        <w:tc>
          <w:tcPr>
            <w:tcW w:type="dxa" w:w="417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Context and contribution</w:t>
            </w:r>
          </w:p>
        </w:tc>
        <w:tc>
          <w:tcPr>
            <w:tcW w:type="dxa" w:w="295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Use in the present study</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Sosnova et al. (2025)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education experiment with higher-education students; examines learning effectiveness.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Conceptual anchor for examining Hybrid Learning and learning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automotive sales-training study comparing delivery methods.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evidence on training design, instructor involvement, participation, and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Bahl, Kiran and Sharma (2024)</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Open Indian banking study of 402 employees using Kirkpatrick’s framework.</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Banking-sector anchor for employee-level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Validated blended-learning-environment instrument in higher education.</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the structure of Hybrid Learning items, adapted for the workplace.</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blended-learning study in the transport sector.</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workplace wording on access, materials, flexibility, and facilitation.</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training-effectiveness scale development.</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i w:val="false"/>
          <w:iCs w:val="false"/>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i/>
          <w:iCs/>
        </w:rPr>
        <w:t xml:space="preserve">Blended-Learning Integration</w:t>
      </w:r>
      <w:bookmarkEnd w:id="34"/>
    </w:p>
    <w:p>
      <w:pPr>
        <w:spacing w:after="32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320" w:line="360" w:lineRule="auto"/>
        <w:jc w:val="both"/>
      </w:pPr>
      <w:r>
        <w:rPr>
          <w:rFonts w:ascii="Times New Roman" w:cs="Times New Roman" w:eastAsia="Times New Roman" w:hAnsi="Times New Roman"/>
          <w:sz w:val="24"/>
          <w:szCs w:val="24"/>
        </w:rPr>
        <w:t xml:space="preserve">For an employee, the sequence could involve digital material being used to introduce a topic prior to the session on cases and practice; this material could then be kept available when it is necessary to check a procedure later on. Alternatively, the programme might start with a live explanation and make use of digital resources for follow-up. What is important is that employees recognise the link between the activities and the work need.</w:t>
      </w:r>
    </w:p>
    <w:p>
      <w:pPr>
        <w:spacing w:after="320" w:line="360" w:lineRule="auto"/>
        <w:jc w:val="both"/>
      </w:pPr>
      <w:r>
        <w:rPr>
          <w:rFonts w:ascii="Times New Roman" w:cs="Times New Roman" w:eastAsia="Times New Roman" w:hAnsi="Times New Roman"/>
          <w:sz w:val="24"/>
          <w:szCs w:val="24"/>
        </w:rPr>
        <w:t xml:space="preserve">The programme design cannot be determined by the platform employed. Simply posting a module does not guarantee that it will prepare staff for discussion; moreover, a well-designed classroom activity can also be difficult to apply later on without a reference resource. That is why the Hybrid Learning entries make reference to both connection and access, and not just to a login or completion record.</w:t>
      </w:r>
    </w:p>
    <w:p>
      <w:pPr>
        <w:pStyle w:val="Heading3"/>
        <w:keepNext/>
        <w:spacing w:after="160" w:before="240"/>
      </w:pPr>
      <w:bookmarkStart w:name="h_35" w:id="35"/>
      <w:r>
        <w:rPr>
          <w:rFonts w:ascii="Times New Roman" w:cs="Times New Roman" w:eastAsia="Times New Roman" w:hAnsi="Times New Roman"/>
          <w:b/>
          <w:bCs/>
          <w:i/>
          <w:iCs/>
        </w:rPr>
        <w:t xml:space="preserve">Separate Employee-Level Predictors</w:t>
      </w:r>
      <w:bookmarkEnd w:id="35"/>
    </w:p>
    <w:p>
      <w:pPr>
        <w:spacing w:after="32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320" w:line="360" w:lineRule="auto"/>
        <w:jc w:val="both"/>
      </w:pPr>
      <w:r>
        <w:rPr>
          <w:rFonts w:ascii="Times New Roman" w:cs="Times New Roman" w:eastAsia="Times New Roman" w:hAnsi="Times New Roman"/>
          <w:sz w:val="24"/>
          <w:szCs w:val="24"/>
        </w:rPr>
        <w:t xml:space="preserve">There is the case of an employee who receives the material, understands the trainer, but is unable to take part due to the demands of their branch work. In another instance, someone may be willing to learn but be unable to locate the digital resource. Combining such situations in a single positive or negative rating would mask the aspect of the experience that requires improvement.</w:t>
      </w:r>
    </w:p>
    <w:p>
      <w:pPr>
        <w:spacing w:after="320" w:line="360" w:lineRule="auto"/>
        <w:jc w:val="both"/>
      </w:pPr>
      <w:r>
        <w:rPr>
          <w:rFonts w:ascii="Times New Roman" w:cs="Times New Roman" w:eastAsia="Times New Roman" w:hAnsi="Times New Roman"/>
          <w:sz w:val="24"/>
          <w:szCs w:val="24"/>
        </w:rPr>
        <w:t xml:space="preserve">The predictors can still be linked. Although clear instructions can help employees carry out a digital task, related activities may encourage them to take part. The model permits these associations to exist without requiring that one predictor lead to engagement in a particular sequence. It examines how the three ratings relate to Training Effectiveness when they are considered as a group.</w:t>
      </w:r>
    </w:p>
    <w:p>
      <w:pPr>
        <w:pStyle w:val="Heading3"/>
        <w:keepNext/>
        <w:spacing w:after="160" w:before="240"/>
      </w:pPr>
      <w:bookmarkStart w:name="h_36" w:id="36"/>
      <w:r>
        <w:rPr>
          <w:rFonts w:ascii="Times New Roman" w:cs="Times New Roman" w:eastAsia="Times New Roman" w:hAnsi="Times New Roman"/>
          <w:b/>
          <w:bCs/>
          <w:i/>
          <w:iCs/>
        </w:rPr>
        <w:t xml:space="preserve">Training Evaluation and Transfer</w:t>
      </w:r>
      <w:bookmarkEnd w:id="36"/>
    </w:p>
    <w:p>
      <w:pPr>
        <w:spacing w:after="32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32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320" w:line="360" w:lineRule="auto"/>
        <w:jc w:val="both"/>
      </w:pPr>
      <w:r>
        <w:rPr>
          <w:rFonts w:ascii="Times New Roman" w:cs="Times New Roman" w:eastAsia="Times New Roman" w:hAnsi="Times New Roman"/>
          <w:sz w:val="24"/>
          <w:szCs w:val="24"/>
        </w:rPr>
        <w:t xml:space="preserve">Training-transfer literature also considers what happens after a session. An employee may understand a procedure yet lack the opportunity, time, or support to use it immediately. Since a single survey cannot follow a skill over several months, it can show only whether respondents perceive a link between training and their present duties (Baldwin and Ford, 1988; Holton, 1996).</w:t>
      </w:r>
    </w:p>
    <w:p>
      <w:pPr>
        <w:pStyle w:val="Heading3"/>
        <w:keepNext/>
        <w:spacing w:after="160" w:before="240"/>
      </w:pPr>
      <w:bookmarkStart w:name="h_37" w:id="37"/>
      <w:r>
        <w:rPr>
          <w:rFonts w:ascii="Times New Roman" w:cs="Times New Roman" w:eastAsia="Times New Roman" w:hAnsi="Times New Roman"/>
          <w:b/>
          <w:bCs/>
          <w:i/>
          <w:iCs/>
        </w:rPr>
        <w:t xml:space="preserve">Conceptual Framework</w:t>
      </w:r>
      <w:bookmarkEnd w:id="37"/>
    </w:p>
    <w:p>
      <w:pPr>
        <w:spacing w:after="32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320" w:line="360" w:lineRule="auto"/>
        <w:jc w:val="both"/>
      </w:pPr>
      <w:r>
        <w:rPr>
          <w:rFonts w:ascii="Times New Roman" w:cs="Times New Roman" w:eastAsia="Times New Roman" w:hAnsi="Times New Roman"/>
          <w:sz w:val="24"/>
          <w:szCs w:val="24"/>
        </w:rPr>
        <w:t xml:space="preserve">Hybrid Learning, Trainer Competence, and Learner Engagement are included in the model as independent variables. The arrows indicate the SPSS predictor–outcome analysis, without stating any order among the predictors or showing causation.</w:t>
      </w:r>
    </w:p>
    <w:p>
      <w:pPr>
        <w:spacing w:after="320" w:line="360" w:lineRule="auto"/>
        <w:jc w:val="both"/>
      </w:pPr>
      <w:r>
        <w:rPr>
          <w:rFonts w:ascii="Times New Roman" w:cs="Times New Roman" w:eastAsia="Times New Roman" w:hAnsi="Times New Roman"/>
          <w:sz w:val="24"/>
          <w:szCs w:val="24"/>
        </w:rPr>
        <w:t xml:space="preserve">The questionnaire sections each have a specific purpose: to assess arrangement and access, trainer support, employee participation, or perceived learning and relevance. Separate sections can identify a weaker aspect of the experience even when overall ratings are high. The regression provides the joint test, while item responses point to areas for review.</w:t>
      </w:r>
    </w:p>
    <w:p>
      <w:pPr>
        <w:pStyle w:val="Heading2"/>
        <w:keepNext/>
        <w:spacing w:after="160" w:before="240"/>
      </w:pPr>
      <w:bookmarkStart w:name="h_38" w:id="38"/>
      <w:r>
        <w:rPr>
          <w:rFonts w:ascii="Times New Roman" w:cs="Times New Roman" w:eastAsia="Times New Roman" w:hAnsi="Times New Roman"/>
          <w:b/>
          <w:bCs/>
          <w:i w:val="false"/>
          <w:iCs w:val="false"/>
        </w:rPr>
        <w:t xml:space="preserve">2.3 Case Study: Union Bank of India</w:t>
      </w:r>
      <w:bookmarkEnd w:id="38"/>
    </w:p>
    <w:p>
      <w:pPr>
        <w:spacing w:after="320" w:line="360" w:lineRule="auto"/>
        <w:jc w:val="both"/>
      </w:pPr>
      <w:r>
        <w:rPr>
          <w:rFonts w:ascii="Times New Roman" w:cs="Times New Roman" w:eastAsia="Times New Roman" w:hAnsi="Times New Roman"/>
          <w:sz w:val="24"/>
          <w:szCs w:val="24"/>
        </w:rPr>
        <w:t xml:space="preserve">Respondents were employees associated with Union Bank’s Regional Office Chennai South. Their work can require current knowledge of products, procedures, risk controls, digital systems, and customer service. This setting makes continuing training relevant to daily work.</w:t>
      </w:r>
    </w:p>
    <w:p>
      <w:pPr>
        <w:spacing w:after="320" w:line="360" w:lineRule="auto"/>
        <w:jc w:val="both"/>
      </w:pPr>
      <w:r>
        <w:rPr>
          <w:rFonts w:ascii="Times New Roman" w:cs="Times New Roman" w:eastAsia="Times New Roman" w:hAnsi="Times New Roman"/>
          <w:sz w:val="24"/>
          <w:szCs w:val="24"/>
        </w:rPr>
        <w:t xml:space="preserve">The annual reports refer to both digital and trainer-led training. According to the 2023–24 report, Union Vidya was introduced as the Bank's LMS, along with digital materials, virtual workshops, and classroom and locational training. The 2024–25 report mentions the Master Policy on Learning and Development, e-learning, virtual and staggered programmes, ten mandatory e-learning modules for officers, role-based training, and a Training Management System on Union Vidya (Union Bank of India, 2024, 2025).</w:t>
      </w:r>
    </w:p>
    <w:p>
      <w:pPr>
        <w:spacing w:after="320" w:line="360" w:lineRule="auto"/>
        <w:jc w:val="both"/>
      </w:pPr>
      <w:r>
        <w:rPr>
          <w:rFonts w:ascii="Times New Roman" w:cs="Times New Roman" w:eastAsia="Times New Roman" w:hAnsi="Times New Roman"/>
          <w:sz w:val="24"/>
          <w:szCs w:val="24"/>
        </w:rPr>
        <w:t xml:space="preserve">In 2022 Union Bank opened nine specialised Union Learning Academies. The list of its public training centres includes the Bengaluru Staff Training College and seven other Staff Training Centres (Union Bank of India, 2022; Union Bank of India, n.d.-b). Although these records show that the bank has physical training facilities they do not provide details about each employee's programme.</w:t>
      </w:r>
    </w:p>
    <w:p>
      <w:pPr>
        <w:spacing w:after="320" w:line="360" w:lineRule="auto"/>
        <w:jc w:val="both"/>
      </w:pPr>
      <w:r>
        <w:rPr>
          <w:rFonts w:ascii="Times New Roman" w:cs="Times New Roman" w:eastAsia="Times New Roman" w:hAnsi="Times New Roman"/>
          <w:sz w:val="24"/>
          <w:szCs w:val="24"/>
        </w:rPr>
        <w:t xml:space="preserve">A circular issued internally on 9 September 2026 states that certain classroom sessions at the Union Learning Academies and the Zonal Learning Centres are being live-streamed via Microsoft Teams. The schedules and recordings are made available on Union Vidya and enable participants taking part virtually to ask questions using the chat function (Union Bank of India, 2026). This serves as an instance of trainer-led sessions being extended by means of digital access.</w:t>
      </w:r>
    </w:p>
    <w:p>
      <w:pPr>
        <w:spacing w:after="320" w:line="360" w:lineRule="auto"/>
        <w:jc w:val="both"/>
      </w:pPr>
      <w:r>
        <w:rPr>
          <w:rFonts w:ascii="Times New Roman" w:cs="Times New Roman" w:eastAsia="Times New Roman" w:hAnsi="Times New Roman"/>
          <w:sz w:val="24"/>
          <w:szCs w:val="24"/>
        </w:rPr>
        <w:t xml:space="preserve">While these resources make Union Bank a suitable setting for the study of hybrid learning, the infrastructure by itself is not enough to show us how the programme was experienced by the participants. That is why the survey inquiries eligible employees about one recent programme which involved both modes, including the access and support they had.</w:t>
      </w:r>
    </w:p>
    <w:p>
      <w:pPr>
        <w:spacing w:after="320" w:line="360" w:lineRule="auto"/>
        <w:jc w:val="both"/>
      </w:pPr>
      <w:r>
        <w:rPr>
          <w:rFonts w:ascii="Times New Roman" w:cs="Times New Roman" w:eastAsia="Times New Roman" w:hAnsi="Times New Roman"/>
          <w:sz w:val="24"/>
          <w:szCs w:val="24"/>
        </w:rPr>
        <w:t xml:space="preserve">The respondents evaluate just their own programme and not the whole training system; they are not required to compare different programmes or to provide information about customers, confidential records, or Bank-wide performance data.</w:t>
      </w:r>
    </w:p>
    <w:p>
      <w:pPr>
        <w:pStyle w:val="Heading2"/>
        <w:keepNext/>
        <w:spacing w:after="160" w:before="240"/>
      </w:pPr>
      <w:bookmarkStart w:name="h_39" w:id="39"/>
      <w:r>
        <w:rPr>
          <w:rFonts w:ascii="Times New Roman" w:cs="Times New Roman" w:eastAsia="Times New Roman" w:hAnsi="Times New Roman"/>
          <w:b/>
          <w:bCs/>
          <w:i w:val="false"/>
          <w:iCs w:val="false"/>
        </w:rPr>
        <w:t xml:space="preserve">2.4 Gaps in the Study</w:t>
      </w:r>
      <w:bookmarkEnd w:id="39"/>
    </w:p>
    <w:p>
      <w:pPr>
        <w:spacing w:after="32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320" w:line="360" w:lineRule="auto"/>
        <w:jc w:val="both"/>
      </w:pPr>
      <w:r>
        <w:rPr>
          <w:rFonts w:ascii="Times New Roman" w:cs="Times New Roman" w:eastAsia="Times New Roman" w:hAnsi="Times New Roman"/>
          <w:sz w:val="24"/>
          <w:szCs w:val="24"/>
        </w:rPr>
        <w:t xml:space="preserve">The gap in the banking sector still exists even though Bahl, Kiran and Sharma (2024) examined the effectiveness of training among employees of Indian banks. The model they developed does not cover Hybrid Learning, Trainer Competence, Learner Engagement, or Union Vidya. While Union Bank provides information about its learning facilities, it does not explain how employees experienced the combination of different methods in a single programme.</w:t>
      </w:r>
    </w:p>
    <w:p>
      <w:pPr>
        <w:spacing w:after="320" w:line="360" w:lineRule="auto"/>
        <w:jc w:val="both"/>
      </w:pPr>
      <w:r>
        <w:rPr>
          <w:rFonts w:ascii="Times New Roman" w:cs="Times New Roman" w:eastAsia="Times New Roman" w:hAnsi="Times New Roman"/>
          <w:sz w:val="24"/>
          <w:szCs w:val="24"/>
        </w:rPr>
        <w:t xml:space="preserve">The gap known as the predictor-combination gap lies in the fact that the three individual papers do not look at the three independent constructs together. Sosnova looks at hybrid methods in the field of education, Kim compares different corporate delivery arrangements, and Bahl, Kiran and Sharma assess training in the banking sector. They do not together test the three independent constructs against employee-level Training Effectiveness in a public-sector bank.</w:t>
      </w:r>
    </w:p>
    <w:p>
      <w:pPr>
        <w:spacing w:after="320" w:line="360" w:lineRule="auto"/>
        <w:jc w:val="both"/>
      </w:pPr>
      <w:r>
        <w:rPr>
          <w:rFonts w:ascii="Times New Roman" w:cs="Times New Roman" w:eastAsia="Times New Roman" w:hAnsi="Times New Roman"/>
          <w:sz w:val="24"/>
          <w:szCs w:val="24"/>
        </w:rPr>
        <w:t xml:space="preserve">The gap in measurement is a result of the settings of the available scales: although one of the blended-learning tools was designed for students, the scale relating to workplace effectiveness covers organisation-level outcomes as well. Neither of these can be used in the short bank survey without modification. The four sections of the questionnaire had been informed by the relevant literature, were reviewed by the guide, and were piloted online with 20 eligible employees on 15–16 September 2026. While SPSS gives a report on the overall consistency of the 26 items, it does not provide a separate reliability estimate for each construct.</w:t>
      </w:r>
    </w:p>
    <w:p>
      <w:pPr>
        <w:spacing w:after="320" w:line="360" w:lineRule="auto"/>
        <w:jc w:val="both"/>
      </w:pPr>
      <w:r>
        <w:rPr>
          <w:rFonts w:ascii="Times New Roman" w:cs="Times New Roman" w:eastAsia="Times New Roman" w:hAnsi="Times New Roman"/>
          <w:sz w:val="24"/>
          <w:szCs w:val="24"/>
        </w:rPr>
        <w:t xml:space="preserve">The study relates to the area where these different fields of research come together: namely, employees' experiences of hybrid delivery, trainer support, participation, and the perception of effectiveness in a public-sector bank that uses Union Vidya as part of its learning system.</w:t>
      </w:r>
    </w:p>
    <w:p>
      <w:r>
        <w:br w:type="page"/>
      </w:r>
    </w:p>
    <w:p>
      <w:pPr>
        <w:pStyle w:val="Heading1"/>
        <w:keepNext/>
        <w:spacing w:after="160" w:before="0"/>
      </w:pPr>
      <w:bookmarkStart w:name="h_40" w:id="40"/>
      <w:r>
        <w:rPr>
          <w:rFonts w:ascii="Times New Roman" w:cs="Times New Roman" w:eastAsia="Times New Roman" w:hAnsi="Times New Roman"/>
          <w:b/>
          <w:bCs/>
          <w:i w:val="false"/>
          <w:iCs w:val="false"/>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i w:val="false"/>
          <w:iCs w:val="false"/>
        </w:rPr>
        <w:t xml:space="preserve">3.1 Objectives of the Study</w:t>
      </w:r>
      <w:bookmarkEnd w:id="41"/>
    </w:p>
    <w:p>
      <w:pPr>
        <w:spacing w:after="320" w:line="360" w:lineRule="auto"/>
        <w:jc w:val="both"/>
      </w:pPr>
      <w:r>
        <w:rPr>
          <w:rFonts w:ascii="Times New Roman" w:cs="Times New Roman" w:eastAsia="Times New Roman" w:hAnsi="Times New Roman"/>
          <w:sz w:val="24"/>
          <w:szCs w:val="24"/>
        </w:rPr>
        <w:t xml:space="preserve">This study investigates the way in which eligible Union Bank employees experienced a hybrid training programme and the relationship between their ratings and their perception of training effectiveness. In this programme they could make use of digital materials and attend sessions led by trainers while at the same time carrying out their normal bank duties. The criterion is their description of the programme, not just the fact that an LMS was used.</w:t>
      </w:r>
    </w:p>
    <w:p>
      <w:pPr>
        <w:spacing w:after="320" w:line="360" w:lineRule="auto"/>
        <w:jc w:val="both"/>
      </w:pPr>
      <w:r>
        <w:rPr>
          <w:rFonts w:ascii="Times New Roman" w:cs="Times New Roman" w:eastAsia="Times New Roman" w:hAnsi="Times New Roman"/>
          <w:sz w:val="24"/>
          <w:szCs w:val="24"/>
        </w:rPr>
        <w:t xml:space="preserve">The primary objective is:</w:t>
      </w:r>
    </w:p>
    <w:p>
      <w:pPr>
        <w:spacing w:after="320" w:line="360" w:lineRule="auto"/>
        <w:jc w:val="both"/>
      </w:pPr>
      <w:r>
        <w:rPr>
          <w:rFonts w:ascii="Times New Roman" w:cs="Times New Roman" w:eastAsia="Times New Roman" w:hAnsi="Times New Roman"/>
          <w:sz w:val="24"/>
          <w:szCs w:val="24"/>
        </w:rPr>
        <w:t xml:space="preserve">The aim is to find out whether Hybrid Learning, Trainer Competence, and Learner Engagement together are associated with Training Effectiveness among eligible Union Bank respondents.</w:t>
      </w:r>
    </w:p>
    <w:p>
      <w:pPr>
        <w:spacing w:after="32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320" w:line="360" w:lineRule="auto"/>
        <w:jc w:val="both"/>
      </w:pPr>
      <w:r>
        <w:rPr>
          <w:rFonts w:ascii="Times New Roman" w:cs="Times New Roman" w:eastAsia="Times New Roman" w:hAnsi="Times New Roman"/>
          <w:sz w:val="24"/>
          <w:szCs w:val="24"/>
        </w:rPr>
        <w:t xml:space="preserve">The aims here are concerned with associations and statistical prediction within the sample in question, without asserting any causal relationship.</w:t>
      </w:r>
    </w:p>
    <w:p>
      <w:pPr>
        <w:pStyle w:val="Heading2"/>
        <w:keepNext/>
        <w:spacing w:after="160" w:before="240"/>
      </w:pPr>
      <w:bookmarkStart w:name="h_42" w:id="42"/>
      <w:r>
        <w:rPr>
          <w:rFonts w:ascii="Times New Roman" w:cs="Times New Roman" w:eastAsia="Times New Roman" w:hAnsi="Times New Roman"/>
          <w:b/>
          <w:bCs/>
          <w:i w:val="false"/>
          <w:iCs w:val="false"/>
        </w:rPr>
        <w:t xml:space="preserve">3.2 Hypothesis of the Study</w:t>
      </w:r>
      <w:bookmarkEnd w:id="42"/>
    </w:p>
    <w:p>
      <w:pPr>
        <w:spacing w:after="320" w:line="360" w:lineRule="auto"/>
        <w:jc w:val="both"/>
      </w:pPr>
      <w:r>
        <w:rPr>
          <w:rFonts w:ascii="Times New Roman" w:cs="Times New Roman" w:eastAsia="Times New Roman" w:hAnsi="Times New Roman"/>
          <w:sz w:val="24"/>
          <w:szCs w:val="24"/>
        </w:rPr>
        <w:t xml:space="preserve">A single overall regression hypothesis is examined at the 5 per cent level of significance.</w:t>
      </w:r>
    </w:p>
    <w:p>
      <w:pPr>
        <w:keepNext/>
        <w:spacing w:after="120" w:before="200" w:line="276" w:lineRule="auto"/>
        <w:jc w:val="left"/>
      </w:pPr>
      <w:bookmarkStart w:name="tbl_43" w:id="43"/>
      <w:r>
        <w:rPr>
          <w:rFonts w:ascii="Times New Roman" w:cs="Times New Roman" w:eastAsia="Times New Roman" w:hAnsi="Times New Roman"/>
          <w:b/>
          <w:bCs/>
          <w:sz w:val="24"/>
          <w:szCs w:val="24"/>
        </w:rPr>
        <w:t xml:space="preserve">Table 3.1: 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Null hypothesis (H₀)</w:t>
            </w:r>
          </w:p>
        </w:tc>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Alternative hypothesis (H₁)</w:t>
            </w:r>
          </w:p>
        </w:tc>
      </w:tr>
      <w:tr>
        <w:trPr>
          <w:cantSplit/>
        </w:trPr>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do not jointly predict Training Effectiveness among eligible respondents of Union Bank of India.</w:t>
            </w:r>
          </w:p>
        </w:tc>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 Training Effectiveness among eligible respondents of Union Bank of India.</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hypothesis relates to the model as a whole, and the coefficients are given separately in order to show the adjusted association of each predictor after allowing for overlap with the others.</w:t>
      </w:r>
    </w:p>
    <w:p>
      <w:pPr>
        <w:pStyle w:val="Heading2"/>
        <w:keepNext/>
        <w:spacing w:after="160" w:before="240"/>
      </w:pPr>
      <w:bookmarkStart w:name="h_44" w:id="44"/>
      <w:r>
        <w:rPr>
          <w:rFonts w:ascii="Times New Roman" w:cs="Times New Roman" w:eastAsia="Times New Roman" w:hAnsi="Times New Roman"/>
          <w:b/>
          <w:bCs/>
          <w:i w:val="false"/>
          <w:iCs w:val="false"/>
        </w:rPr>
        <w:t xml:space="preserve">3.3 Definition of Variables</w:t>
      </w:r>
      <w:bookmarkEnd w:id="44"/>
    </w:p>
    <w:p>
      <w:pPr>
        <w:spacing w:after="320" w:line="360" w:lineRule="auto"/>
        <w:jc w:val="both"/>
      </w:pPr>
      <w:r>
        <w:rPr>
          <w:rFonts w:ascii="Times New Roman" w:cs="Times New Roman" w:eastAsia="Times New Roman" w:hAnsi="Times New Roman"/>
          <w:sz w:val="24"/>
          <w:szCs w:val="24"/>
        </w:rPr>
        <w:t xml:space="preserve">The questionnaire yields scores for four constructs.</w:t>
      </w:r>
    </w:p>
    <w:p>
      <w:pPr>
        <w:spacing w:after="320" w:line="360" w:lineRule="auto"/>
        <w:jc w:val="both"/>
      </w:pPr>
      <w:r>
        <w:rPr>
          <w:rFonts w:ascii="Times New Roman" w:cs="Times New Roman" w:eastAsia="Times New Roman" w:hAnsi="Times New Roman"/>
          <w:sz w:val="24"/>
          <w:szCs w:val="24"/>
        </w:rPr>
        <w:t xml:space="preserve">Hybrid Learning refers to the way in which digital and face-to-face activities are combined within a programme, and questions 5 to 11 deal with its design, platform access, the materials available and later revision.</w:t>
      </w:r>
    </w:p>
    <w:p>
      <w:pPr>
        <w:spacing w:after="320" w:line="360" w:lineRule="auto"/>
        <w:jc w:val="both"/>
      </w:pPr>
      <w:r>
        <w:rPr>
          <w:rFonts w:ascii="Times New Roman" w:cs="Times New Roman" w:eastAsia="Times New Roman" w:hAnsi="Times New Roman"/>
          <w:sz w:val="24"/>
          <w:szCs w:val="24"/>
        </w:rPr>
        <w:t xml:space="preserve">Trainer Competence includes knowledge of the subject, clear explanation, connections between different modes, the appropriate use of digital tools, encouragement, and feedback. It is assessed through Questions 12 to 17.</w:t>
      </w:r>
    </w:p>
    <w:p>
      <w:pPr>
        <w:spacing w:after="320" w:line="360" w:lineRule="auto"/>
        <w:jc w:val="both"/>
      </w:pPr>
      <w:r>
        <w:rPr>
          <w:rFonts w:ascii="Times New Roman" w:cs="Times New Roman" w:eastAsia="Times New Roman" w:hAnsi="Times New Roman"/>
          <w:sz w:val="24"/>
          <w:szCs w:val="24"/>
        </w:rPr>
        <w:t xml:space="preserve">Learner Engagement means the level of attention, effort, participation, questioning, and interest shown by the respondent while undergoing the programme in question, and it is measured by Questions 18 to 23. Engagement is still considered an independent variable since factors such as workload, available time, prior experience, motivation, digital confidence and local conditions can influence participation even beyond what is provided by the programme design or trainer support.</w:t>
      </w:r>
    </w:p>
    <w:p>
      <w:pPr>
        <w:spacing w:after="320" w:line="360" w:lineRule="auto"/>
        <w:jc w:val="both"/>
      </w:pPr>
      <w:r>
        <w:rPr>
          <w:rFonts w:ascii="Times New Roman" w:cs="Times New Roman" w:eastAsia="Times New Roman" w:hAnsi="Times New Roman"/>
          <w:sz w:val="24"/>
          <w:szCs w:val="24"/>
        </w:rPr>
        <w:t xml:space="preserve">Training Effectiveness includes aspects such as perceived understanding, the relevance of the role, capability, application to other tasks, and confidence. Questions 24 through 30 deal with these employee-level outcomes.</w:t>
      </w:r>
    </w:p>
    <w:p>
      <w:pPr>
        <w:keepNext/>
        <w:spacing w:after="120" w:before="200" w:line="276" w:lineRule="auto"/>
        <w:jc w:val="left"/>
      </w:pPr>
      <w:bookmarkStart w:name="tbl_45" w:id="45"/>
      <w:r>
        <w:rPr>
          <w:rFonts w:ascii="Times New Roman" w:cs="Times New Roman" w:eastAsia="Times New Roman" w:hAnsi="Times New Roman"/>
          <w:b/>
          <w:bCs/>
          <w:sz w:val="24"/>
          <w:szCs w:val="24"/>
        </w:rPr>
        <w:t xml:space="preserve">Table 3.2: 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0"/>
        <w:gridCol w:w="1772"/>
        <w:gridCol w:w="1688"/>
        <w:gridCol w:w="2696"/>
      </w:tblGrid>
      <w:tr>
        <w:trPr>
          <w:cantSplit/>
          <w:tblHeader/>
        </w:trPr>
        <w:tc>
          <w:tcPr>
            <w:tcW w:type="dxa" w:w="287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177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Questions</w:t>
            </w:r>
          </w:p>
        </w:tc>
        <w:tc>
          <w:tcPr>
            <w:tcW w:type="dxa" w:w="16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269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regression model</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5–11</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12–17</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18–23</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24–30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Total Likert-scale items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questionnaire consists of 30 numbered questions: four relating to eligibility and profile and then 26 items which require a five-point agreement. Knowledge retention, job performance, organisation-level results, employee agility, supervisor support, and Union Vidya's technical performance are not further variables that are measured.</w:t>
      </w:r>
    </w:p>
    <w:p>
      <w:pPr>
        <w:pStyle w:val="Heading2"/>
        <w:keepNext/>
        <w:spacing w:after="160" w:before="240"/>
      </w:pPr>
      <w:bookmarkStart w:name="h_46" w:id="46"/>
      <w:r>
        <w:rPr>
          <w:rFonts w:ascii="Times New Roman" w:cs="Times New Roman" w:eastAsia="Times New Roman" w:hAnsi="Times New Roman"/>
          <w:b/>
          <w:bCs/>
          <w:i w:val="false"/>
          <w:iCs w:val="false"/>
        </w:rPr>
        <w:t xml:space="preserve">3.4 Research Design</w:t>
      </w:r>
      <w:bookmarkEnd w:id="46"/>
    </w:p>
    <w:p>
      <w:pPr>
        <w:spacing w:after="320" w:line="360" w:lineRule="auto"/>
        <w:jc w:val="both"/>
      </w:pPr>
      <w:r>
        <w:rPr>
          <w:rFonts w:ascii="Times New Roman" w:cs="Times New Roman" w:eastAsia="Times New Roman" w:hAnsi="Times New Roman"/>
          <w:sz w:val="24"/>
          <w:szCs w:val="24"/>
        </w:rPr>
        <w:t xml:space="preserve">The design is, in a statistical context, quantitative, descriptive, correlational and predictive; it makes use of structured ratings to describe the response pattern, shows the direction and strength of the associations between pairs of variables, and employs SPSS regression to examine the three independent variables in relation to Training Effectiveness.</w:t>
      </w:r>
    </w:p>
    <w:p>
      <w:pPr>
        <w:spacing w:after="320" w:line="360" w:lineRule="auto"/>
        <w:jc w:val="both"/>
      </w:pPr>
      <w:r>
        <w:rPr>
          <w:rFonts w:ascii="Times New Roman" w:cs="Times New Roman" w:eastAsia="Times New Roman" w:hAnsi="Times New Roman"/>
          <w:sz w:val="24"/>
          <w:szCs w:val="24"/>
        </w:rPr>
        <w:t xml:space="preserve">Each respondent filled in the survey once regarding a hybrid course which they had taken in the previous 12 months. When referring to a single programme there is no need to combine the memories of a number of different courses. The individual response record is the unit on which analysis is carried out.</w:t>
      </w:r>
    </w:p>
    <w:p>
      <w:pPr>
        <w:spacing w:after="32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32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Other employee and work conditions outside the questionnaire may matter too.</w:t>
      </w:r>
    </w:p>
    <w:p>
      <w:pPr>
        <w:pStyle w:val="Heading2"/>
        <w:keepNext/>
        <w:spacing w:after="160" w:before="240"/>
      </w:pPr>
      <w:bookmarkStart w:name="h_47" w:id="47"/>
      <w:r>
        <w:rPr>
          <w:rFonts w:ascii="Times New Roman" w:cs="Times New Roman" w:eastAsia="Times New Roman" w:hAnsi="Times New Roman"/>
          <w:b/>
          <w:bCs/>
          <w:i w:val="false"/>
          <w:iCs w:val="false"/>
        </w:rPr>
        <w:t xml:space="preserve">3.5 Population, Sample and Sampling Method</w:t>
      </w:r>
      <w:bookmarkEnd w:id="47"/>
    </w:p>
    <w:p>
      <w:pPr>
        <w:spacing w:after="320" w:line="360" w:lineRule="auto"/>
        <w:jc w:val="both"/>
      </w:pPr>
      <w:r>
        <w:rPr>
          <w:rFonts w:ascii="Times New Roman" w:cs="Times New Roman" w:eastAsia="Times New Roman" w:hAnsi="Times New Roman"/>
          <w:sz w:val="24"/>
          <w:szCs w:val="24"/>
        </w:rPr>
        <w:t xml:space="preserve">The group under consideration consisted of the employees associated with Union Bank's Regional Office in Chennai South who had taken part in a programme that included both digital and face-to-face learning during the previous 12 months.</w:t>
      </w:r>
    </w:p>
    <w:p>
      <w:pPr>
        <w:spacing w:after="320" w:line="360" w:lineRule="auto"/>
        <w:jc w:val="both"/>
      </w:pPr>
      <w:r>
        <w:rPr>
          <w:rFonts w:ascii="Times New Roman" w:cs="Times New Roman" w:eastAsia="Times New Roman" w:hAnsi="Times New Roman"/>
          <w:sz w:val="24"/>
          <w:szCs w:val="24"/>
        </w:rPr>
        <w:t xml:space="preserve">The employees who had the relevant experience and were selected with a view to ensuring that they could answer the questions were those who had taken part in both methods within the specified period, since the survey involves questions regarding the connection between them.</w:t>
      </w:r>
    </w:p>
    <w:p>
      <w:pPr>
        <w:spacing w:after="320" w:line="360" w:lineRule="auto"/>
        <w:jc w:val="both"/>
      </w:pPr>
      <w:r>
        <w:rPr>
          <w:rFonts w:ascii="Times New Roman" w:cs="Times New Roman" w:eastAsia="Times New Roman" w:hAnsi="Times New Roman"/>
          <w:sz w:val="24"/>
          <w:szCs w:val="24"/>
        </w:rPr>
        <w:t xml:space="preserve">The collection was restricted to those offices and branches that could be accessed during the internship. The question concerning eligibility was used to identify individuals with the relevant training experience. Since the respondents were not selected at random from a complete list of all employees of the Bank, the resulting percentages and associations cannot be generalised statistically to the entire workforce of Union Bank.</w:t>
      </w:r>
    </w:p>
    <w:p>
      <w:pPr>
        <w:spacing w:after="320" w:line="360" w:lineRule="auto"/>
        <w:jc w:val="both"/>
      </w:pPr>
      <w:r>
        <w:rPr>
          <w:rFonts w:ascii="Times New Roman" w:cs="Times New Roman" w:eastAsia="Times New Roman" w:hAnsi="Times New Roman"/>
          <w:sz w:val="24"/>
          <w:szCs w:val="24"/>
        </w:rPr>
        <w:t xml:space="preserve">The initial target was about 80 eligible respondents. Collection yielded 132 submissions—70 on paper and 62 through Google Forms. After screening, 103 records had complete profiles. SPSS used 102 valid cases in the multiple regression because one record lacked a Trainer Competence mean in its analysis file.</w:t>
      </w:r>
    </w:p>
    <w:p>
      <w:pPr>
        <w:spacing w:after="320" w:line="360" w:lineRule="auto"/>
        <w:jc w:val="both"/>
      </w:pPr>
      <w:r>
        <w:rPr>
          <w:rFonts w:ascii="Times New Roman" w:cs="Times New Roman" w:eastAsia="Times New Roman" w:hAnsi="Times New Roman"/>
          <w:sz w:val="24"/>
          <w:szCs w:val="24"/>
        </w:rPr>
        <w:t xml:space="preserve">No employee name or number was requested. Each valid form was treated as one response record; similar answer patterns alone were not evidence that the same person responded twice.</w:t>
      </w:r>
    </w:p>
    <w:p>
      <w:pPr>
        <w:spacing w:after="320" w:line="360" w:lineRule="auto"/>
        <w:jc w:val="both"/>
      </w:pPr>
      <w:r>
        <w:rPr>
          <w:rFonts w:ascii="Times New Roman" w:cs="Times New Roman" w:eastAsia="Times New Roman" w:hAnsi="Times New Roman"/>
          <w:sz w:val="24"/>
          <w:szCs w:val="24"/>
        </w:rPr>
        <w:t xml:space="preserve">It is not possible to determine the number of employees who were contacted or who were sent the link, therefore a formal response rate cannot be obtained. Instead, Table 3.3 takes into account the number of forms received and kept.</w:t>
      </w:r>
    </w:p>
    <w:p>
      <w:pPr>
        <w:pStyle w:val="Heading2"/>
        <w:keepNext/>
        <w:spacing w:after="160" w:before="240"/>
      </w:pPr>
      <w:bookmarkStart w:name="h_48" w:id="48"/>
      <w:r>
        <w:rPr>
          <w:rFonts w:ascii="Times New Roman" w:cs="Times New Roman" w:eastAsia="Times New Roman" w:hAnsi="Times New Roman"/>
          <w:b/>
          <w:bCs/>
          <w:i w:val="false"/>
          <w:iCs w:val="false"/>
        </w:rPr>
        <w:t xml:space="preserve">3.6 Data Collection Procedure and Screening</w:t>
      </w:r>
      <w:bookmarkEnd w:id="48"/>
    </w:p>
    <w:p>
      <w:pPr>
        <w:spacing w:after="320" w:line="360" w:lineRule="auto"/>
        <w:jc w:val="both"/>
      </w:pPr>
      <w:r>
        <w:rPr>
          <w:rFonts w:ascii="Times New Roman" w:cs="Times New Roman" w:eastAsia="Times New Roman" w:hAnsi="Times New Roman"/>
          <w:sz w:val="24"/>
          <w:szCs w:val="24"/>
        </w:rPr>
        <w:t xml:space="preserve">The researcher employed printed forms together with a Google Forms link. The fieldwork records name the Regional Office Chennai South and 27 branches in Chennai: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The Retail Loans and Currency Chest at the Regional Office were also designated as collection points. With the online option, staff were able to respond at a later time when their branch duties made it impossible for them to complete the paper form immediately.</w:t>
      </w:r>
    </w:p>
    <w:p>
      <w:pPr>
        <w:spacing w:after="320" w:line="360" w:lineRule="auto"/>
        <w:jc w:val="both"/>
      </w:pPr>
      <w:r>
        <w:rPr>
          <w:rFonts w:ascii="Times New Roman" w:cs="Times New Roman" w:eastAsia="Times New Roman" w:hAnsi="Times New Roman"/>
          <w:sz w:val="24"/>
          <w:szCs w:val="24"/>
        </w:rPr>
        <w:t xml:space="preserve">Main-study collection began at the Regional Office on 15 September 2026 alongside the separate online pilot. The fieldwork record places branch visits from 16 to 28 September 2026. All pilot submissions had been received by 16 September and were kept outside the main-study count.</w:t>
      </w:r>
    </w:p>
    <w:p>
      <w:pPr>
        <w:spacing w:after="320" w:line="360" w:lineRule="auto"/>
        <w:jc w:val="both"/>
      </w:pPr>
      <w:r>
        <w:rPr>
          <w:rFonts w:ascii="Times New Roman" w:cs="Times New Roman" w:eastAsia="Times New Roman" w:hAnsi="Times New Roman"/>
          <w:sz w:val="24"/>
          <w:szCs w:val="24"/>
        </w:rPr>
        <w:t xml:space="preserve">The researcher obtained verbal permission from the Regional Office HR Manager. The manager contacted branch staff to support collection while customer service continued. The paper and online forms contained the same 30 questions and response scale. Offering both modes made participation easier, although possible differences between paper and online responses were not separately tested.</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200" w:line="276" w:lineRule="auto"/>
        <w:jc w:val="left"/>
      </w:pPr>
      <w:bookmarkStart w:name="tbl_49" w:id="49"/>
      <w:r>
        <w:rPr>
          <w:rFonts w:ascii="Times New Roman" w:cs="Times New Roman" w:eastAsia="Times New Roman" w:hAnsi="Times New Roman"/>
          <w:b/>
          <w:bCs/>
          <w:sz w:val="24"/>
          <w:szCs w:val="24"/>
        </w:rPr>
        <w:t xml:space="preserve">Table 3.3: 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91"/>
        <w:gridCol w:w="1241"/>
        <w:gridCol w:w="1106"/>
        <w:gridCol w:w="2088"/>
      </w:tblGrid>
      <w:tr>
        <w:trPr>
          <w:cantSplit/>
          <w:tblHeader/>
        </w:trPr>
        <w:tc>
          <w:tcPr>
            <w:tcW w:type="dxa" w:w="459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Disposition</w:t>
            </w:r>
          </w:p>
        </w:tc>
        <w:tc>
          <w:tcPr>
            <w:tcW w:type="dxa" w:w="12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Digital</w:t>
            </w:r>
          </w:p>
        </w:tc>
        <w:tc>
          <w:tcPr>
            <w:tcW w:type="dxa" w:w="110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Manual</w:t>
            </w:r>
          </w:p>
        </w:tc>
        <w:tc>
          <w:tcPr>
            <w:tcW w:type="dxa" w:w="20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Total</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Responses received</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70</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 No</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blank or unreadable</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Required profile field blank</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Profile-complete records before SPSS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SPSS listwise exclusion for missing construct mean</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Valid SPSS analysis cases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102</w:t>
            </w:r>
          </w:p>
        </w:tc>
      </w:tr>
    </w:tbl>
    <w:p>
      <w:pPr>
        <w:spacing w:after="120"/>
      </w:pPr>
    </w:p>
    <w:p>
      <w:pPr>
        <w:spacing w:after="32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i w:val="false"/>
          <w:iCs w:val="false"/>
        </w:rPr>
        <w:t xml:space="preserve">3.7 Research Instrument and Scoring</w:t>
      </w:r>
      <w:bookmarkEnd w:id="50"/>
    </w:p>
    <w:p>
      <w:pPr>
        <w:spacing w:after="320" w:line="360" w:lineRule="auto"/>
        <w:jc w:val="both"/>
      </w:pPr>
      <w:r>
        <w:rPr>
          <w:rFonts w:ascii="Times New Roman" w:cs="Times New Roman" w:eastAsia="Times New Roman" w:hAnsi="Times New Roman"/>
          <w:sz w:val="24"/>
          <w:szCs w:val="24"/>
        </w:rPr>
        <w:t xml:space="preserve">Appendix A is the 30-question self-administered instrument, with questions 1 to 4 being used to establish eligibility and to obtain a profile and questions 5 through 30 employing a five-point scale ranging from Strongly Disagree to Strongly Agree; the people surveyed referred to one hybrid programme from the previous 12 months.</w:t>
      </w:r>
    </w:p>
    <w:p>
      <w:pPr>
        <w:spacing w:after="320" w:line="360" w:lineRule="auto"/>
        <w:jc w:val="both"/>
      </w:pPr>
      <w:r>
        <w:rPr>
          <w:rFonts w:ascii="Times New Roman" w:cs="Times New Roman" w:eastAsia="Times New Roman" w:hAnsi="Times New Roman"/>
          <w:sz w:val="24"/>
          <w:szCs w:val="24"/>
        </w:rPr>
        <w:t xml:space="preserve">The themes for the item are taken from the base papers and the supporting measurement literature, with the adaptations being set out in Appendix B; Union Vidya is designated as the Bank's LMS and is given as an example of a platform which a respondent might have used.</w:t>
      </w:r>
    </w:p>
    <w:p>
      <w:pPr>
        <w:spacing w:after="320" w:line="360" w:lineRule="auto"/>
        <w:jc w:val="both"/>
      </w:pPr>
      <w:r>
        <w:rPr>
          <w:rFonts w:ascii="Times New Roman" w:cs="Times New Roman" w:eastAsia="Times New Roman" w:hAnsi="Times New Roman"/>
          <w:sz w:val="24"/>
          <w:szCs w:val="24"/>
        </w:rPr>
        <w:t xml:space="preserve">The programme is divided into four sections, each dealing with a different aspect of it. Questions 5 to 11 relate to the delivery and the availability of the material; questions 12 to 17 are about the support provided by the trainer; questions 18 to 23 refer to the employee's own level of involvement; and questions 24 to 30 deal with learning and the usefulness of the material at work. Having these sections separately gives more information than a general evaluation of the programme as a whole.</w:t>
      </w:r>
    </w:p>
    <w:p>
      <w:pPr>
        <w:spacing w:after="320" w:line="360" w:lineRule="auto"/>
        <w:jc w:val="both"/>
      </w:pPr>
      <w:r>
        <w:rPr>
          <w:rFonts w:ascii="Times New Roman" w:cs="Times New Roman" w:eastAsia="Times New Roman" w:hAnsi="Times New Roman"/>
          <w:sz w:val="24"/>
          <w:szCs w:val="24"/>
        </w:rPr>
        <w:t xml:space="preserve">The answers to questions 5 through 30 are coded on a scale from 1 (Strongly Disagree) to 5 (Strongly Agree); in SPSS the four construct means are designated by the names HLTMEAN, TCTMEAN, LETMEAN, and TETMEAN.</w:t>
      </w:r>
    </w:p>
    <w:p>
      <w:pPr>
        <w:spacing w:after="320" w:line="360" w:lineRule="auto"/>
        <w:jc w:val="both"/>
      </w:pPr>
      <w:r>
        <w:rPr>
          <w:rFonts w:ascii="Times New Roman" w:cs="Times New Roman" w:eastAsia="Times New Roman" w:hAnsi="Times New Roman"/>
          <w:sz w:val="24"/>
          <w:szCs w:val="24"/>
        </w:rPr>
        <w:t xml:space="preserve">The score for each construct is the arithmetic average of the items assigned to it and stays on the 1 to 5 scale, with higher scores showing more favourable evaluations. Since all the items have the same direction of scoring, there is no need for any to be reverse coded. The use of means enables comparisons to be made between blocks containing six or seven items and serves to summarise the respondents' answers, not their actual job performance or the Bank's overall results.</w:t>
      </w:r>
    </w:p>
    <w:p>
      <w:pPr>
        <w:pStyle w:val="Heading2"/>
        <w:keepNext/>
        <w:spacing w:after="160" w:before="240"/>
      </w:pPr>
      <w:bookmarkStart w:name="h_51" w:id="51"/>
      <w:r>
        <w:rPr>
          <w:rFonts w:ascii="Times New Roman" w:cs="Times New Roman" w:eastAsia="Times New Roman" w:hAnsi="Times New Roman"/>
          <w:b/>
          <w:bCs/>
          <w:i w:val="false"/>
          <w:iCs w:val="false"/>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i w:val="false"/>
          <w:iCs w:val="false"/>
        </w:rPr>
        <w:t xml:space="preserve">3.9 Data Analysis Techniques</w:t>
      </w:r>
      <w:bookmarkEnd w:id="52"/>
    </w:p>
    <w:p>
      <w:pPr>
        <w:spacing w:after="320" w:line="360" w:lineRule="auto"/>
        <w:jc w:val="both"/>
      </w:pPr>
      <w:r>
        <w:rPr>
          <w:rFonts w:ascii="Times New Roman" w:cs="Times New Roman" w:eastAsia="Times New Roman" w:hAnsi="Times New Roman"/>
          <w:sz w:val="24"/>
          <w:szCs w:val="24"/>
        </w:rPr>
        <w:t xml:space="preserve">The relationship tests and construct summaries were provided by SPSS Statistics 23, and its primary regression analysis was based on 102 valid cases.</w:t>
      </w:r>
    </w:p>
    <w:p>
      <w:pPr>
        <w:keepNext/>
        <w:spacing w:after="120" w:before="200" w:line="276" w:lineRule="auto"/>
        <w:jc w:val="left"/>
      </w:pPr>
      <w:bookmarkStart w:name="tbl_53" w:id="53"/>
      <w:r>
        <w:rPr>
          <w:rFonts w:ascii="Times New Roman" w:cs="Times New Roman" w:eastAsia="Times New Roman" w:hAnsi="Times New Roman"/>
          <w:b/>
          <w:bCs/>
          <w:sz w:val="24"/>
          <w:szCs w:val="24"/>
        </w:rPr>
        <w:t xml:space="preserve">Table 3.4: 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4"/>
        <w:gridCol w:w="3328"/>
        <w:gridCol w:w="3064"/>
      </w:tblGrid>
      <w:tr>
        <w:trPr>
          <w:cantSplit/>
          <w:tblHeader/>
        </w:trPr>
        <w:tc>
          <w:tcPr>
            <w:tcW w:type="dxa" w:w="26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Analysis</w:t>
            </w:r>
          </w:p>
        </w:tc>
        <w:tc>
          <w:tcPr>
            <w:tcW w:type="dxa" w:w="332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SPSS procedure used</w:t>
            </w:r>
          </w:p>
        </w:tc>
        <w:tc>
          <w:tcPr>
            <w:tcW w:type="dxa" w:w="30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study</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Item description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Descriptives with mean, standard deviation, skewness, and kurtosis for 26 items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Chapter 4 presents the seven Hybrid Learning item means used to discuss the lowest-rated aspect of that construct.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Construct exploration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Explore procedure with histograms, Q–Q plots, boxplots, and normality tests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Examines the construct-mean distributions.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Overall questionnaire consistency</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 26-item Cronbach’s alpha analysis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Reports overall internal consistency of the item set.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Exploratory structure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Principal Component Analysis with varimax rotation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Retained as an exploratory diagnostic; it does not redefine the four theory-based constructs.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Association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correlation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pairwise associations among the four construct means.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Main hypothesis test</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Multiple regression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the combined relationship of Hybrid Learning, Trainer Competence, and Learner Engagement with Training Effectiveness.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Respondent profile</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Excel frequency and percentage summary</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age group, length of service, and job level for the selected 102 profile-complete records.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Supplementary comparisons</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One-sample and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Welch’s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and one-way ANOVA</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Provides descriptive comparisons for the 102-case scored dataset; these are exploratory and are not the main hypothesis test.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Crosstab suitability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chi-square on construct-mean categories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Checks whether those tables have adequate expected cell counts before any inferential interpretation.</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multiple-regression model is:</w:t>
      </w:r>
    </w:p>
    <w:p>
      <w:pPr>
        <w:spacing w:after="320" w:line="360" w:lineRule="auto"/>
        <w:jc w:val="both"/>
      </w:pPr>
      <w:r>
        <w:rPr>
          <w:rFonts w:ascii="Times New Roman" w:cs="Times New Roman" w:eastAsia="Times New Roman" w:hAnsi="Times New Roman"/>
          <w:sz w:val="24"/>
          <w:szCs w:val="24"/>
        </w:rPr>
        <w:t xml:space="preserve">Training Effectiveness = b₀ + b₁(Hybrid Learning) + b₂(Trainer Competence) + b₃(Learner Engagement) + e</w:t>
      </w:r>
    </w:p>
    <w:p>
      <w:pPr>
        <w:spacing w:after="320" w:line="360" w:lineRule="auto"/>
        <w:jc w:val="both"/>
      </w:pPr>
      <w:r>
        <w:rPr>
          <w:rFonts w:ascii="Times New Roman" w:cs="Times New Roman" w:eastAsia="Times New Roman" w:hAnsi="Times New Roman"/>
          <w:sz w:val="24"/>
          <w:szCs w:val="24"/>
        </w:rPr>
        <w:t xml:space="preserve">Training Effectiveness is the dependent variable and the other three constructs act as predictors together. The F-test as a whole examines their combined association, while the coefficients in the table indicate what is left for each predictor after the effects of the others have been taken into account.</w:t>
      </w:r>
    </w:p>
    <w:p>
      <w:pPr>
        <w:spacing w:after="320" w:line="360" w:lineRule="auto"/>
        <w:jc w:val="both"/>
      </w:pPr>
      <w:r>
        <w:rPr>
          <w:rFonts w:ascii="Times New Roman" w:cs="Times New Roman" w:eastAsia="Times New Roman" w:hAnsi="Times New Roman"/>
          <w:sz w:val="24"/>
          <w:szCs w:val="24"/>
        </w:rPr>
        <w:t xml:space="preserve">The pairwise relationships which give context to the joint model are shown by the Pearson correlations. However, neither of the analyses proves a cause-and-effect relationship.</w:t>
      </w:r>
    </w:p>
    <w:p>
      <w:pPr>
        <w:spacing w:after="320" w:line="360" w:lineRule="auto"/>
        <w:jc w:val="both"/>
      </w:pPr>
      <w:r>
        <w:rPr>
          <w:rFonts w:ascii="Times New Roman" w:cs="Times New Roman" w:eastAsia="Times New Roman" w:hAnsi="Times New Roman"/>
          <w:sz w:val="24"/>
          <w:szCs w:val="24"/>
        </w:rPr>
        <w:t xml:space="preserve">The respondent-profile summary was produced by an Excel workbook, while the supplementary Chapter 4 comparisons were drawn from a subset consisting of 102 records out of the original 103-record scored CSV file. The comparisons are labelled separately since some of the additional tests carried out in the saved SPSS viewer used all 103 cases. However, without the SPSS data file, the exact case-by-case agreement between the different sources cannot be verified. The supplementary comparisons have no role in the decision regarding the main hypothesis.</w:t>
      </w:r>
    </w:p>
    <w:p>
      <w:pPr>
        <w:spacing w:after="320" w:line="360" w:lineRule="auto"/>
        <w:jc w:val="both"/>
      </w:pPr>
      <w:r>
        <w:rPr>
          <w:rFonts w:ascii="Times New Roman" w:cs="Times New Roman" w:eastAsia="Times New Roman" w:hAnsi="Times New Roman"/>
          <w:sz w:val="24"/>
          <w:szCs w:val="24"/>
        </w:rPr>
        <w:t xml:space="preserve">The same applies to the descriptive results. The construct and regression plots are obtained from SPSS, while the profile frequencies and the supplementary item distributions are derived from the selected scored records. The source of the data and the number of cases are given in the tables. Hence, the SPSS item mean based on 103 cases and the frequency distribution based on 102 cases are not regarded as calculations made on the same group of respondents.</w:t>
      </w:r>
    </w:p>
    <w:p>
      <w:pPr>
        <w:pStyle w:val="Heading2"/>
        <w:keepNext/>
        <w:spacing w:after="160" w:before="240"/>
      </w:pPr>
      <w:bookmarkStart w:name="h_54" w:id="54"/>
      <w:r>
        <w:rPr>
          <w:rFonts w:ascii="Times New Roman" w:cs="Times New Roman" w:eastAsia="Times New Roman" w:hAnsi="Times New Roman"/>
          <w:b/>
          <w:bCs/>
          <w:i w:val="false"/>
          <w:iCs w:val="false"/>
        </w:rPr>
        <w:t xml:space="preserve">3.10 Questionnaire Review, Reliability and Validity</w:t>
      </w:r>
      <w:bookmarkEnd w:id="54"/>
    </w:p>
    <w:p>
      <w:pPr>
        <w:spacing w:after="320" w:line="360" w:lineRule="auto"/>
        <w:jc w:val="both"/>
      </w:pPr>
      <w:r>
        <w:rPr>
          <w:rFonts w:ascii="Times New Roman" w:cs="Times New Roman" w:eastAsia="Times New Roman" w:hAnsi="Times New Roman"/>
          <w:sz w:val="24"/>
          <w:szCs w:val="24"/>
        </w:rPr>
        <w:t xml:space="preserve">The guide-approved questionnaire was tested online with 20 eligible employees while main collection was beginning. According to the researcher’s fieldwork record, the pilot ran from 15 to 16 September 2026; the main survey also began on 15 September with the same approved questions. The corrected pilot CSV has no timestamp column, so these dates come from the fieldwork record. Feedback addressed clarity, completion time, Union Vidya wording, relevance, and repetition. No systematic problem required an item to be removed, and scored wording remained unchanged during collection. Pilot records were kept separate from the main analysis.</w:t>
      </w:r>
    </w:p>
    <w:p>
      <w:pPr>
        <w:spacing w:after="320" w:line="360" w:lineRule="auto"/>
        <w:jc w:val="both"/>
      </w:pPr>
      <w:r>
        <w:rPr>
          <w:rFonts w:ascii="Times New Roman" w:cs="Times New Roman" w:eastAsia="Times New Roman" w:hAnsi="Times New Roman"/>
          <w:sz w:val="24"/>
          <w:szCs w:val="24"/>
        </w:rPr>
        <w:t xml:space="preserve">The pilot also checked completion time: the mean was 15.5 minutes and the median was 15. Sixteen participants thought the length was about right; four found it too long. Comments mentioned possible overlap between Questions 5 and 6 and between Questions 14 and 15. One person found Question 24 difficult when considering more than one programme. The instruction to answer about one selected programme addressed that concern. These comments did not reveal a repeated difficulty across the group, so all scored questions were retained.</w:t>
      </w:r>
    </w:p>
    <w:p>
      <w:pPr>
        <w:spacing w:after="320" w:line="360" w:lineRule="auto"/>
        <w:jc w:val="both"/>
      </w:pPr>
      <w:r>
        <w:rPr>
          <w:rFonts w:ascii="Times New Roman" w:cs="Times New Roman" w:eastAsia="Times New Roman" w:hAnsi="Times New Roman"/>
          <w:sz w:val="24"/>
          <w:szCs w:val="24"/>
        </w:rPr>
        <w:t xml:space="preserve">In the four pilot item blocks the preliminary Cronbach’s alpha values varied from .879 to .929. Since only 20 responses were available, these figures provide an initial check of consistency rather than full scale validation. The subsequent SPSS output was looked at on its own.</w:t>
      </w:r>
    </w:p>
    <w:p>
      <w:pPr>
        <w:spacing w:after="320" w:line="360" w:lineRule="auto"/>
        <w:jc w:val="both"/>
      </w:pPr>
      <w:r>
        <w:rPr>
          <w:rFonts w:ascii="Times New Roman" w:cs="Times New Roman" w:eastAsia="Times New Roman" w:hAnsi="Times New Roman"/>
          <w:sz w:val="24"/>
          <w:szCs w:val="24"/>
        </w:rPr>
        <w:t xml:space="preserve">SPSS carries out one reliability analysis for all 26 agreement items: the Cronbach’s alpha value is .980239 and this shows a very high degree of consistency for the set of items in that file. However, it should not be taken as a replacement for four separate construct alphas, since the saved output does not include them.</w:t>
      </w:r>
    </w:p>
    <w:p>
      <w:pPr>
        <w:spacing w:after="320" w:line="360" w:lineRule="auto"/>
        <w:jc w:val="both"/>
      </w:pPr>
      <w:r>
        <w:rPr>
          <w:rFonts w:ascii="Times New Roman" w:cs="Times New Roman" w:eastAsia="Times New Roman" w:hAnsi="Times New Roman"/>
          <w:sz w:val="24"/>
          <w:szCs w:val="24"/>
        </w:rPr>
        <w:t xml:space="preserve">The content basis of the questions is given in Appendix B. The Hybrid Learning section draws on research into blended learning and access. The next two sections draw on workplace facilitation and engagement literature, while the outcome section uses training-evaluation and transfer research, including Bahl, Kiran and Sharma’s (2024) banking study. The guide reviewed the questionnaire wording for this academic survey.</w:t>
      </w:r>
    </w:p>
    <w:p>
      <w:pPr>
        <w:pStyle w:val="Heading2"/>
        <w:keepNext/>
        <w:spacing w:after="160" w:before="240"/>
      </w:pPr>
      <w:bookmarkStart w:name="h_55" w:id="55"/>
      <w:r>
        <w:rPr>
          <w:rFonts w:ascii="Times New Roman" w:cs="Times New Roman" w:eastAsia="Times New Roman" w:hAnsi="Times New Roman"/>
          <w:b/>
          <w:bCs/>
          <w:i w:val="false"/>
          <w:iCs w:val="false"/>
        </w:rPr>
        <w:t xml:space="preserve">3.11 Ethical Considerations and Limitations</w:t>
      </w:r>
      <w:bookmarkEnd w:id="55"/>
    </w:p>
    <w:p>
      <w:pPr>
        <w:spacing w:after="320" w:line="360" w:lineRule="auto"/>
        <w:jc w:val="both"/>
      </w:pPr>
      <w:r>
        <w:rPr>
          <w:rFonts w:ascii="Times New Roman" w:cs="Times New Roman" w:eastAsia="Times New Roman" w:hAnsi="Times New Roman"/>
          <w:sz w:val="24"/>
          <w:szCs w:val="24"/>
        </w:rPr>
        <w:t xml:space="preserve">People could choose whether or not to take part. The questionnaire did not ask for any personal identifiers or confidential bank information, and the participants were informed that the results would be combined and used solely for academic purposes.</w:t>
      </w:r>
    </w:p>
    <w:p>
      <w:pPr>
        <w:spacing w:after="320" w:line="360" w:lineRule="auto"/>
        <w:jc w:val="both"/>
      </w:pPr>
      <w:r>
        <w:rPr>
          <w:rFonts w:ascii="Times New Roman" w:cs="Times New Roman" w:eastAsia="Times New Roman" w:hAnsi="Times New Roman"/>
          <w:sz w:val="24"/>
          <w:szCs w:val="24"/>
        </w:rPr>
        <w:t xml:space="preserve">Several design limitations affect interpretation. The non-probability sample cannot statistically represent all Bank employees, and a one-time self-report survey cannot establish causation. Having the same person rate both programme experience and perceived effectiveness may strengthen the observed associations. The saved SPSS output has one overall alpha for all 26 items but no separate construct alphas. It also omits one record from regression because the Trainer Competence mean was missing in that file.</w:t>
      </w:r>
    </w:p>
    <w:p>
      <w:pPr>
        <w:spacing w:after="320" w:line="360" w:lineRule="auto"/>
        <w:jc w:val="both"/>
      </w:pPr>
      <w:r>
        <w:rPr>
          <w:rFonts w:ascii="Times New Roman" w:cs="Times New Roman" w:eastAsia="Times New Roman" w:hAnsi="Times New Roman"/>
          <w:sz w:val="24"/>
          <w:szCs w:val="24"/>
        </w:rPr>
        <w:t xml:space="preserve">The findings give a concentrated description of the eligible respondents' experiences of four aspects of training within the Union Bank environment.</w:t>
      </w:r>
    </w:p>
    <w:p>
      <w:r>
        <w:br w:type="page"/>
      </w:r>
    </w:p>
    <w:p>
      <w:pPr>
        <w:pStyle w:val="Heading1"/>
        <w:keepNext/>
        <w:spacing w:after="160" w:before="0"/>
      </w:pPr>
      <w:bookmarkStart w:name="h_56" w:id="56"/>
      <w:r>
        <w:rPr>
          <w:rFonts w:ascii="Times New Roman" w:cs="Times New Roman" w:eastAsia="Times New Roman" w:hAnsi="Times New Roman"/>
          <w:b/>
          <w:bCs/>
          <w:i w:val="false"/>
          <w:iCs w:val="false"/>
        </w:rPr>
        <w:t xml:space="preserve">CHAPTER 4 — DATA ANALYSIS AND INTERPRETATION</w:t>
      </w:r>
      <w:bookmarkEnd w:id="56"/>
    </w:p>
    <w:p>
      <w:pPr>
        <w:spacing w:after="320" w:line="360" w:lineRule="auto"/>
        <w:jc w:val="both"/>
      </w:pPr>
      <w:r>
        <w:rPr>
          <w:rFonts w:ascii="Times New Roman" w:cs="Times New Roman" w:eastAsia="Times New Roman" w:hAnsi="Times New Roman"/>
          <w:sz w:val="24"/>
          <w:szCs w:val="24"/>
        </w:rPr>
        <w:t xml:space="preserve">Chapter 4 combines the SPSS Statistics 23 results that have been saved with the separately labelled summaries drawn from the selected scored records and then poses the primary question of whether the three predictors as a group are related to Training Effectiveness among the Union Bank respondents.</w:t>
      </w:r>
    </w:p>
    <w:p>
      <w:pPr>
        <w:spacing w:after="320" w:line="360" w:lineRule="auto"/>
        <w:jc w:val="both"/>
      </w:pPr>
      <w:r>
        <w:rPr>
          <w:rFonts w:ascii="Times New Roman" w:cs="Times New Roman" w:eastAsia="Times New Roman" w:hAnsi="Times New Roman"/>
          <w:sz w:val="24"/>
          <w:szCs w:val="24"/>
        </w:rPr>
        <w:t xml:space="preserve">The number of cases used in the SPSS construct summaries and in the multiple regression is 102; some of the item and pairwise procedures use either 103 or 102 depending on the data available, and the case count appears next to each result.</w:t>
      </w:r>
    </w:p>
    <w:p>
      <w:pPr>
        <w:spacing w:after="320" w:line="360" w:lineRule="auto"/>
        <w:jc w:val="both"/>
      </w:pPr>
      <w:r>
        <w:rPr>
          <w:rFonts w:ascii="Times New Roman" w:cs="Times New Roman" w:eastAsia="Times New Roman" w:hAnsi="Times New Roman"/>
          <w:sz w:val="24"/>
          <w:szCs w:val="24"/>
        </w:rPr>
        <w:t xml:space="preserve">The results are limited to this group of respondents and the relationships between their ratings; the survey does not allow a causal sequence to be established.</w:t>
      </w:r>
    </w:p>
    <w:p>
      <w:pPr>
        <w:pStyle w:val="Heading2"/>
        <w:keepNext/>
        <w:spacing w:after="160" w:before="240"/>
      </w:pPr>
      <w:bookmarkStart w:name="h_57" w:id="57"/>
      <w:r>
        <w:rPr>
          <w:rFonts w:ascii="Times New Roman" w:cs="Times New Roman" w:eastAsia="Times New Roman" w:hAnsi="Times New Roman"/>
          <w:b/>
          <w:bCs/>
          <w:i w:val="false"/>
          <w:iCs w:val="false"/>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i/>
          <w:iCs/>
        </w:rPr>
        <w:t xml:space="preserve">Respondent Profile</w:t>
      </w:r>
      <w:bookmarkEnd w:id="58"/>
    </w:p>
    <w:p>
      <w:pPr>
        <w:spacing w:after="320" w:line="360" w:lineRule="auto"/>
        <w:jc w:val="both"/>
      </w:pPr>
      <w:r>
        <w:rPr>
          <w:rFonts w:ascii="Times New Roman" w:cs="Times New Roman" w:eastAsia="Times New Roman" w:hAnsi="Times New Roman"/>
          <w:sz w:val="24"/>
          <w:szCs w:val="24"/>
        </w:rPr>
        <w:t xml:space="preserve">The profile table includes 102 full records, of which 48 are online and 54 are paper forms. The majority of the respondents were in the age group of 35 to 44 years, more than half had between 11 and 20 years' service, and officers were the most numerous of the job levels. In Table 4.1 all the percentages have 102 as the denominator.</w:t>
      </w:r>
    </w:p>
    <w:p>
      <w:pPr>
        <w:keepNext/>
        <w:spacing w:after="120" w:before="200" w:line="276" w:lineRule="auto"/>
        <w:jc w:val="left"/>
      </w:pPr>
      <w:bookmarkStart w:name="tbl_59" w:id="59"/>
      <w:r>
        <w:rPr>
          <w:rFonts w:ascii="Times New Roman" w:cs="Times New Roman" w:eastAsia="Times New Roman" w:hAnsi="Times New Roman"/>
          <w:b/>
          <w:bCs/>
          <w:sz w:val="24"/>
          <w:szCs w:val="24"/>
        </w:rPr>
        <w:t xml:space="preserve">Table 4.1: 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8"/>
        <w:gridCol w:w="2943"/>
        <w:gridCol w:w="1616"/>
        <w:gridCol w:w="1749"/>
      </w:tblGrid>
      <w:tr>
        <w:trPr>
          <w:cantSplit/>
          <w:tblHeader/>
        </w:trPr>
        <w:tc>
          <w:tcPr>
            <w:tcW w:type="dxa" w:w="271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Profile</w:t>
            </w:r>
          </w:p>
        </w:tc>
        <w:tc>
          <w:tcPr>
            <w:tcW w:type="dxa" w:w="294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Category</w:t>
            </w:r>
          </w:p>
        </w:tc>
        <w:tc>
          <w:tcPr>
            <w:tcW w:type="dxa" w:w="161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Frequency</w:t>
            </w:r>
          </w:p>
        </w:tc>
        <w:tc>
          <w:tcPr>
            <w:tcW w:type="dxa" w:w="174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Percentage</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25</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25–34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35–44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45–54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12.7</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55 and above</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5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5–10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11–20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Above 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Clerical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Officer</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Managerial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200" w:line="276" w:lineRule="auto"/>
        <w:jc w:val="left"/>
      </w:pPr>
      <w:bookmarkStart w:name="fig_60" w:id="60"/>
      <w:r>
        <w:rPr>
          <w:rFonts w:ascii="Times New Roman" w:cs="Times New Roman" w:eastAsia="Times New Roman" w:hAnsi="Times New Roman"/>
          <w:b/>
          <w:bCs/>
          <w:sz w:val="24"/>
          <w:szCs w:val="24"/>
        </w:rPr>
        <w:t xml:space="preserve">Figure 4.1: Age-group distribution</w:t>
      </w:r>
      <w:bookmarkEnd w:id="60"/>
    </w:p>
    <w:p>
      <w:pPr>
        <w:spacing w:after="160" w:before="60"/>
        <w:jc w:val="center"/>
      </w:pPr>
      <w:r>
        <w:drawing>
          <wp:inline distT="0" distB="0" distL="0" distR="0">
            <wp:extent cx="5486400" cy="2867025"/>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67025"/>
                    </a:xfrm>
                    <a:prstGeom prst="rect">
                      <a:avLst/>
                    </a:prstGeom>
                  </pic:spPr>
                </pic:pic>
              </a:graphicData>
            </a:graphic>
          </wp:inline>
        </w:drawing>
      </w:r>
    </w:p>
    <w:p>
      <w:pPr>
        <w:keepNext/>
        <w:spacing w:after="120" w:before="200" w:line="276" w:lineRule="auto"/>
        <w:jc w:val="left"/>
      </w:pPr>
      <w:bookmarkStart w:name="fig_61" w:id="61"/>
      <w:r>
        <w:rPr>
          <w:rFonts w:ascii="Times New Roman" w:cs="Times New Roman" w:eastAsia="Times New Roman" w:hAnsi="Times New Roman"/>
          <w:b/>
          <w:bCs/>
          <w:sz w:val="24"/>
          <w:szCs w:val="24"/>
        </w:rPr>
        <w:t xml:space="preserve">Figure 4.2: Length-of-service distribution</w:t>
      </w:r>
      <w:bookmarkEnd w:id="61"/>
    </w:p>
    <w:p>
      <w:pPr>
        <w:spacing w:after="160" w:before="60"/>
        <w:jc w:val="center"/>
      </w:pPr>
      <w:r>
        <w:drawing>
          <wp:inline distT="0" distB="0" distL="0" distR="0">
            <wp:extent cx="5486400" cy="2486025"/>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486025"/>
                    </a:xfrm>
                    <a:prstGeom prst="rect">
                      <a:avLst/>
                    </a:prstGeom>
                  </pic:spPr>
                </pic:pic>
              </a:graphicData>
            </a:graphic>
          </wp:inline>
        </w:drawing>
      </w:r>
    </w:p>
    <w:p>
      <w:pPr>
        <w:keepNext/>
        <w:spacing w:after="120" w:before="200" w:line="276" w:lineRule="auto"/>
        <w:jc w:val="left"/>
      </w:pPr>
      <w:bookmarkStart w:name="fig_62" w:id="62"/>
      <w:r>
        <w:rPr>
          <w:rFonts w:ascii="Times New Roman" w:cs="Times New Roman" w:eastAsia="Times New Roman" w:hAnsi="Times New Roman"/>
          <w:b/>
          <w:bCs/>
          <w:sz w:val="24"/>
          <w:szCs w:val="24"/>
        </w:rPr>
        <w:t xml:space="preserve">Figure 4.3: Job-level distribution</w:t>
      </w:r>
      <w:bookmarkEnd w:id="62"/>
    </w:p>
    <w:p>
      <w:pPr>
        <w:spacing w:after="160" w:before="60"/>
        <w:jc w:val="center"/>
      </w:pPr>
      <w:r>
        <w:drawing>
          <wp:inline distT="0" distB="0" distL="0" distR="0">
            <wp:extent cx="5486400" cy="2105025"/>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10502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i/>
          <w:iCs/>
        </w:rPr>
        <w:t xml:space="preserve">4.1.1 Construct-Level Results</w:t>
      </w:r>
      <w:bookmarkEnd w:id="63"/>
    </w:p>
    <w:p>
      <w:pPr>
        <w:spacing w:after="320" w:line="360" w:lineRule="auto"/>
        <w:jc w:val="both"/>
      </w:pPr>
      <w:r>
        <w:rPr>
          <w:rFonts w:ascii="Times New Roman" w:cs="Times New Roman" w:eastAsia="Times New Roman" w:hAnsi="Times New Roman"/>
          <w:sz w:val="24"/>
          <w:szCs w:val="24"/>
        </w:rPr>
        <w:t xml:space="preserve">The SPSS Explore results show that the mean scores for all four constructs are above the midpoint of the five-point scale, with Learner Engagement coming highest, followed by Training Effectiveness, Trainer Competence, and Hybrid Learning.</w:t>
      </w:r>
    </w:p>
    <w:p>
      <w:pPr>
        <w:keepNext/>
        <w:spacing w:after="120" w:before="200" w:line="276" w:lineRule="auto"/>
        <w:jc w:val="left"/>
      </w:pPr>
      <w:bookmarkStart w:name="tbl_64" w:id="64"/>
      <w:r>
        <w:rPr>
          <w:rFonts w:ascii="Times New Roman" w:cs="Times New Roman" w:eastAsia="Times New Roman" w:hAnsi="Times New Roman"/>
          <w:b/>
          <w:bCs/>
          <w:sz w:val="24"/>
          <w:szCs w:val="24"/>
        </w:rPr>
        <w:t xml:space="preserve">Table 4.2: 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8"/>
        <w:gridCol w:w="900"/>
        <w:gridCol w:w="928"/>
        <w:gridCol w:w="1442"/>
        <w:gridCol w:w="928"/>
        <w:gridCol w:w="928"/>
        <w:gridCol w:w="1064"/>
        <w:gridCol w:w="928"/>
      </w:tblGrid>
      <w:tr>
        <w:trPr>
          <w:cantSplit/>
          <w:tblHeader/>
        </w:trPr>
        <w:tc>
          <w:tcPr>
            <w:tcW w:type="dxa" w:w="190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4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deviation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Minimum</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Maximum</w:t>
            </w:r>
          </w:p>
        </w:tc>
        <w:tc>
          <w:tcPr>
            <w:tcW w:type="dxa" w:w="106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Skewness</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Kurtosis</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0.859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-1.818</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4.058</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0.863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5.583</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0.793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-2.131</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6.236</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200" w:line="276" w:lineRule="auto"/>
        <w:jc w:val="left"/>
      </w:pPr>
      <w:bookmarkStart w:name="fig_65" w:id="65"/>
      <w:r>
        <w:rPr>
          <w:rFonts w:ascii="Times New Roman" w:cs="Times New Roman" w:eastAsia="Times New Roman" w:hAnsi="Times New Roman"/>
          <w:b/>
          <w:bCs/>
          <w:sz w:val="24"/>
          <w:szCs w:val="24"/>
        </w:rPr>
        <w:t xml:space="preserve">Figure 4.4: Mean ratings for the four study constructs</w:t>
      </w:r>
      <w:bookmarkEnd w:id="65"/>
    </w:p>
    <w:p>
      <w:pPr>
        <w:spacing w:after="160" w:before="60"/>
        <w:jc w:val="center"/>
      </w:pPr>
      <w:r>
        <w:drawing>
          <wp:inline distT="0" distB="0" distL="0" distR="0">
            <wp:extent cx="5486400" cy="2486025"/>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860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Agreement and strong agreement are the most common responses, which is the reason for the negative skewness shown in Table 4.2; while low ratings were not very frequent, the survey does not provide an explanation for this pattern.</w:t>
      </w:r>
    </w:p>
    <w:p>
      <w:pPr>
        <w:spacing w:after="320" w:line="360" w:lineRule="auto"/>
        <w:jc w:val="both"/>
      </w:pPr>
      <w:r>
        <w:rPr>
          <w:rFonts w:ascii="Times New Roman" w:cs="Times New Roman" w:eastAsia="Times New Roman" w:hAnsi="Times New Roman"/>
          <w:sz w:val="24"/>
          <w:szCs w:val="24"/>
        </w:rPr>
        <w:t xml:space="preserve">Hybrid Learning scores the lowest yet are still above the neutral level; although employees as a whole rated the combined system in a favourable way, the practical aspects of it might deserve more scrutiny than those in the other areas. Learner Engagement is the highest, which is in line with the respondents' reports of their attention, participation, and interest.</w:t>
      </w:r>
    </w:p>
    <w:p>
      <w:pPr>
        <w:pStyle w:val="Heading3"/>
        <w:keepNext/>
        <w:spacing w:after="160" w:before="240"/>
      </w:pPr>
      <w:bookmarkStart w:name="h_66" w:id="66"/>
      <w:r>
        <w:rPr>
          <w:rFonts w:ascii="Times New Roman" w:cs="Times New Roman" w:eastAsia="Times New Roman" w:hAnsi="Times New Roman"/>
          <w:b/>
          <w:bCs/>
          <w:i/>
          <w:iCs/>
        </w:rPr>
        <w:t xml:space="preserve">4.1.2 Item-Level Results Across the Four Constructs</w:t>
      </w:r>
      <w:bookmarkEnd w:id="66"/>
    </w:p>
    <w:p>
      <w:pPr>
        <w:spacing w:after="32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200" w:line="276" w:lineRule="auto"/>
        <w:jc w:val="left"/>
      </w:pPr>
      <w:bookmarkStart w:name="tbl_67" w:id="67"/>
      <w:r>
        <w:rPr>
          <w:rFonts w:ascii="Times New Roman" w:cs="Times New Roman" w:eastAsia="Times New Roman" w:hAnsi="Times New Roman"/>
          <w:b/>
          <w:bCs/>
          <w:sz w:val="24"/>
          <w:szCs w:val="24"/>
        </w:rPr>
        <w:t xml:space="preserve">Table 4.3: 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3"/>
        <w:gridCol w:w="4478"/>
        <w:gridCol w:w="1333"/>
        <w:gridCol w:w="1742"/>
      </w:tblGrid>
      <w:tr>
        <w:trPr>
          <w:cantSplit/>
          <w:tblHeader/>
        </w:trPr>
        <w:tc>
          <w:tcPr>
            <w:tcW w:type="dxa" w:w="147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447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focus</w:t>
            </w:r>
          </w:p>
        </w:tc>
        <w:tc>
          <w:tcPr>
            <w:tcW w:type="dxa" w:w="13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and face-to-face parts planned as one experience</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activities prepared the respondent for face-to-face sessions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3.990</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Face-to-face sessions clarified or applied digital learning</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4.165</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the digital platform</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4.184</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Ease of platform navigation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Availability of digital learning materials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4.223</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digital material for revision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32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200" w:line="276" w:lineRule="auto"/>
        <w:jc w:val="left"/>
      </w:pPr>
      <w:bookmarkStart w:name="tbl_68" w:id="68"/>
      <w:r>
        <w:rPr>
          <w:rFonts w:ascii="Times New Roman" w:cs="Times New Roman" w:eastAsia="Times New Roman" w:hAnsi="Times New Roman"/>
          <w:b/>
          <w:bCs/>
          <w:sz w:val="24"/>
          <w:szCs w:val="24"/>
        </w:rPr>
        <w:t xml:space="preserve">Table 4.4: 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5"/>
        <w:gridCol w:w="900"/>
        <w:gridCol w:w="1653"/>
        <w:gridCol w:w="1021"/>
        <w:gridCol w:w="944"/>
        <w:gridCol w:w="900"/>
        <w:gridCol w:w="1453"/>
      </w:tblGrid>
      <w:tr>
        <w:trPr>
          <w:cantSplit/>
          <w:tblHeader/>
        </w:trPr>
        <w:tc>
          <w:tcPr>
            <w:tcW w:type="dxa" w:w="215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16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 Strongly disagree</w:t>
            </w:r>
          </w:p>
        </w:tc>
        <w:tc>
          <w:tcPr>
            <w:tcW w:type="dxa" w:w="10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 Disagree</w:t>
            </w:r>
          </w:p>
        </w:tc>
        <w:tc>
          <w:tcPr>
            <w:tcW w:type="dxa" w:w="94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3 Neutral</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4 Agree</w:t>
            </w:r>
          </w:p>
        </w:tc>
        <w:tc>
          <w:tcPr>
            <w:tcW w:type="dxa" w:w="14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 Strongly agree</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200" w:line="276" w:lineRule="auto"/>
        <w:jc w:val="left"/>
      </w:pPr>
      <w:bookmarkStart w:name="fig_69" w:id="69"/>
      <w:r>
        <w:rPr>
          <w:rFonts w:ascii="Times New Roman" w:cs="Times New Roman" w:eastAsia="Times New Roman" w:hAnsi="Times New Roman"/>
          <w:b/>
          <w:bCs/>
          <w:sz w:val="24"/>
          <w:szCs w:val="24"/>
        </w:rPr>
        <w:t xml:space="preserve">Figure 4.5: Hybrid Learning item-response distribution</w:t>
      </w:r>
      <w:bookmarkEnd w:id="69"/>
    </w:p>
    <w:p>
      <w:pPr>
        <w:spacing w:after="160" w:before="60"/>
        <w:jc w:val="center"/>
      </w:pPr>
      <w:r>
        <w:drawing>
          <wp:inline distT="0" distB="0" distL="0" distR="0">
            <wp:extent cx="5486400" cy="369570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695700"/>
                    </a:xfrm>
                    <a:prstGeom prst="rect">
                      <a:avLst/>
                    </a:prstGeom>
                  </pic:spPr>
                </pic:pic>
              </a:graphicData>
            </a:graphic>
          </wp:inline>
        </w:drawing>
      </w:r>
    </w:p>
    <w:p>
      <w:pPr>
        <w:keepNext/>
        <w:spacing w:after="120" w:before="200" w:line="276" w:lineRule="auto"/>
        <w:jc w:val="left"/>
      </w:pPr>
      <w:bookmarkStart w:name="fig_70" w:id="70"/>
      <w:r>
        <w:rPr>
          <w:rFonts w:ascii="Times New Roman" w:cs="Times New Roman" w:eastAsia="Times New Roman" w:hAnsi="Times New Roman"/>
          <w:b/>
          <w:bCs/>
          <w:sz w:val="24"/>
          <w:szCs w:val="24"/>
        </w:rPr>
        <w:t xml:space="preserve">Figure 4.6: Trainer Competence item-response distribution</w:t>
      </w:r>
      <w:bookmarkEnd w:id="70"/>
    </w:p>
    <w:p>
      <w:pPr>
        <w:spacing w:after="160" w:before="60"/>
        <w:jc w:val="center"/>
      </w:pPr>
      <w:r>
        <w:drawing>
          <wp:inline distT="0" distB="0" distL="0" distR="0">
            <wp:extent cx="5486400" cy="333375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1" w:id="71"/>
      <w:r>
        <w:rPr>
          <w:rFonts w:ascii="Times New Roman" w:cs="Times New Roman" w:eastAsia="Times New Roman" w:hAnsi="Times New Roman"/>
          <w:b/>
          <w:bCs/>
          <w:sz w:val="24"/>
          <w:szCs w:val="24"/>
        </w:rPr>
        <w:t xml:space="preserve">Figure 4.7: Learner Engagement item-response distribution</w:t>
      </w:r>
      <w:bookmarkEnd w:id="71"/>
    </w:p>
    <w:p>
      <w:pPr>
        <w:spacing w:after="160" w:before="60"/>
        <w:jc w:val="center"/>
      </w:pPr>
      <w:r>
        <w:drawing>
          <wp:inline distT="0" distB="0" distL="0" distR="0">
            <wp:extent cx="5486400" cy="333375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2" w:id="72"/>
      <w:r>
        <w:rPr>
          <w:rFonts w:ascii="Times New Roman" w:cs="Times New Roman" w:eastAsia="Times New Roman" w:hAnsi="Times New Roman"/>
          <w:b/>
          <w:bCs/>
          <w:sz w:val="24"/>
          <w:szCs w:val="24"/>
        </w:rPr>
        <w:t xml:space="preserve">Figure 4.8: Training Effectiveness item-response distribution</w:t>
      </w:r>
      <w:bookmarkEnd w:id="72"/>
    </w:p>
    <w:p>
      <w:pPr>
        <w:spacing w:after="160" w:before="60"/>
        <w:jc w:val="center"/>
      </w:pPr>
      <w:r>
        <w:drawing>
          <wp:inline distT="0" distB="0" distL="0" distR="0">
            <wp:extent cx="5486400" cy="369570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69570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i w:val="false"/>
          <w:iCs w:val="false"/>
        </w:rPr>
        <w:t xml:space="preserve">Trainer Competence responses</w:t>
      </w:r>
      <w:bookmarkEnd w:id="73"/>
    </w:p>
    <w:p>
      <w:pPr>
        <w:spacing w:after="32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32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i w:val="false"/>
          <w:iCs w:val="false"/>
        </w:rPr>
        <w:t xml:space="preserve">Learner Engagement responses</w:t>
      </w:r>
      <w:bookmarkEnd w:id="74"/>
    </w:p>
    <w:p>
      <w:pPr>
        <w:spacing w:after="32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32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32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i w:val="false"/>
          <w:iCs w:val="false"/>
        </w:rPr>
        <w:t xml:space="preserve">Training Effectiveness responses</w:t>
      </w:r>
      <w:bookmarkEnd w:id="75"/>
    </w:p>
    <w:p>
      <w:pPr>
        <w:spacing w:after="32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320" w:line="360" w:lineRule="auto"/>
        <w:jc w:val="both"/>
      </w:pPr>
      <w:r>
        <w:rPr>
          <w:rFonts w:ascii="Times New Roman" w:cs="Times New Roman" w:eastAsia="Times New Roman" w:hAnsi="Times New Roman"/>
          <w:sz w:val="24"/>
          <w:szCs w:val="24"/>
        </w:rPr>
        <w:t xml:space="preserve">In Q29, 88 people said that training had enabled them to deal with relevant tasks or problems more effectively—that being five less than the number of favourable responses given in Q24 regarding understanding the content. Although this difference was not subject to a significance test, it does explain why questions about understanding and about the application of that understanding are asked separately. With respect to Q30, 87 respondents gave favourable answers and ten gave neutral ones regarding their confidence in carrying out their responsibilities; confidence is still a matter of perception and not a measured improvement in job performance.</w:t>
      </w:r>
    </w:p>
    <w:p>
      <w:pPr>
        <w:spacing w:after="320" w:line="360" w:lineRule="auto"/>
        <w:jc w:val="both"/>
      </w:pPr>
      <w:r>
        <w:rPr>
          <w:rFonts w:ascii="Times New Roman" w:cs="Times New Roman" w:eastAsia="Times New Roman" w:hAnsi="Times New Roman"/>
          <w:sz w:val="24"/>
          <w:szCs w:val="24"/>
        </w:rPr>
        <w:t xml:space="preserve">In Figures 4.5 through 4.8, agreement is frequent but not universal. It is important to take into account neutral and negative responses since a high average score may mask a different experience for certain employees. The item counts show which options the respondents chose, not the reasons for their choices; therefore any actions suggested on the basis of them require further examination.</w:t>
      </w:r>
    </w:p>
    <w:p>
      <w:pPr>
        <w:pStyle w:val="Heading3"/>
        <w:keepNext/>
        <w:spacing w:after="160" w:before="240"/>
      </w:pPr>
      <w:bookmarkStart w:name="h_76" w:id="76"/>
      <w:r>
        <w:rPr>
          <w:rFonts w:ascii="Times New Roman" w:cs="Times New Roman" w:eastAsia="Times New Roman" w:hAnsi="Times New Roman"/>
          <w:b/>
          <w:bCs/>
          <w:i/>
          <w:iCs/>
        </w:rPr>
        <w:t xml:space="preserve">4.1.3 Distribution Diagnostics</w:t>
      </w:r>
      <w:bookmarkEnd w:id="76"/>
    </w:p>
    <w:p>
      <w:pPr>
        <w:spacing w:after="320" w:line="360" w:lineRule="auto"/>
        <w:jc w:val="both"/>
      </w:pPr>
      <w:r>
        <w:rPr>
          <w:rFonts w:ascii="Times New Roman" w:cs="Times New Roman" w:eastAsia="Times New Roman" w:hAnsi="Times New Roman"/>
          <w:sz w:val="24"/>
          <w:szCs w:val="24"/>
        </w:rPr>
        <w:t xml:space="preserve">Histograms, normal Q–Q plots and boxplots produced by SPSS display the distributions of the four constructs; alongside the regression are the residual plots. The negative skewness mentioned in Table 4.2 is due to the fact that the ratings are concentrated at the higher end of the scale.</w:t>
      </w:r>
    </w:p>
    <w:p>
      <w:pPr>
        <w:spacing w:after="320" w:line="360" w:lineRule="auto"/>
        <w:jc w:val="both"/>
      </w:pPr>
      <w:r>
        <w:rPr>
          <w:rFonts w:ascii="Times New Roman" w:cs="Times New Roman" w:eastAsia="Times New Roman" w:hAnsi="Times New Roman"/>
          <w:sz w:val="24"/>
          <w:szCs w:val="24"/>
        </w:rPr>
        <w:t xml:space="preserve">For all four construct means the normality tests are significant, an outcome that is in keeping with the skewed distributions. The five-point scale has fixed limits and a large number of respondents selected the positive categories; this is important when interpreting the regression.</w:t>
      </w:r>
    </w:p>
    <w:p>
      <w:pPr>
        <w:pStyle w:val="Heading3"/>
        <w:keepNext/>
        <w:spacing w:after="160" w:before="240"/>
      </w:pPr>
      <w:bookmarkStart w:name="h_77" w:id="77"/>
      <w:r>
        <w:rPr>
          <w:rFonts w:ascii="Times New Roman" w:cs="Times New Roman" w:eastAsia="Times New Roman" w:hAnsi="Times New Roman"/>
          <w:b/>
          <w:bCs/>
          <w:i/>
          <w:iCs/>
        </w:rPr>
        <w:t xml:space="preserve">4.1.4 Overall Questionnaire Consistency and Exploratory Structure Check</w:t>
      </w:r>
      <w:bookmarkEnd w:id="77"/>
    </w:p>
    <w:p>
      <w:pPr>
        <w:spacing w:after="320" w:line="360" w:lineRule="auto"/>
        <w:jc w:val="both"/>
      </w:pPr>
      <w:r>
        <w:rPr>
          <w:rFonts w:ascii="Times New Roman" w:cs="Times New Roman" w:eastAsia="Times New Roman" w:hAnsi="Times New Roman"/>
          <w:sz w:val="24"/>
          <w:szCs w:val="24"/>
        </w:rPr>
        <w:t xml:space="preserve">A single SPSS reliability analysis includes all 26 scored questions and makes use of 102 valid cases while excluding one case.</w:t>
      </w:r>
    </w:p>
    <w:p>
      <w:pPr>
        <w:keepNext/>
        <w:spacing w:after="120" w:before="200" w:line="276" w:lineRule="auto"/>
        <w:jc w:val="left"/>
      </w:pPr>
      <w:bookmarkStart w:name="tbl_78" w:id="78"/>
      <w:r>
        <w:rPr>
          <w:rFonts w:ascii="Times New Roman" w:cs="Times New Roman" w:eastAsia="Times New Roman" w:hAnsi="Times New Roman"/>
          <w:b/>
          <w:bCs/>
          <w:sz w:val="24"/>
          <w:szCs w:val="24"/>
        </w:rPr>
        <w:t xml:space="preserve">Table 4.5: 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6"/>
        <w:gridCol w:w="1614"/>
        <w:gridCol w:w="1279"/>
        <w:gridCol w:w="1533"/>
        <w:gridCol w:w="1694"/>
      </w:tblGrid>
      <w:tr>
        <w:trPr>
          <w:cantSplit/>
          <w:tblHeader/>
        </w:trPr>
        <w:tc>
          <w:tcPr>
            <w:tcW w:type="dxa" w:w="290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set</w:t>
            </w:r>
          </w:p>
        </w:tc>
        <w:tc>
          <w:tcPr>
            <w:tcW w:type="dxa" w:w="161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127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cases</w:t>
            </w:r>
          </w:p>
        </w:tc>
        <w:tc>
          <w:tcPr>
            <w:tcW w:type="dxa" w:w="15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Excluded cases</w:t>
            </w:r>
          </w:p>
        </w:tc>
        <w:tc>
          <w:tcPr>
            <w:tcW w:type="dxa" w:w="169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Cronbach’s alpha</w:t>
            </w:r>
          </w:p>
        </w:tc>
      </w:tr>
      <w:tr>
        <w:trPr>
          <w:cantSplit/>
        </w:trPr>
        <w:tc>
          <w:tcPr>
            <w:tcW w:type="dxa" w:w="290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All scored questionnaire items</w:t>
            </w:r>
          </w:p>
        </w:tc>
        <w:tc>
          <w:tcPr>
            <w:tcW w:type="dxa" w:w="161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27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5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169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.980 alpha shows a very high degree of consistency throughout the combined item set; it is not possible to obtain four construct-specific values since only the combined version is available. Moreover, questions that are closely related may also be responsible for this high figure and for the associations between the constructs measured on the same form.</w:t>
      </w:r>
    </w:p>
    <w:p>
      <w:pPr>
        <w:spacing w:after="32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p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i w:val="false"/>
          <w:iCs w:val="false"/>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i/>
          <w:iCs/>
        </w:rPr>
        <w:t xml:space="preserve">4.2.1 Correlation Analysis</w:t>
      </w:r>
      <w:bookmarkEnd w:id="80"/>
    </w:p>
    <w:p>
      <w:pPr>
        <w:spacing w:after="320" w:line="360" w:lineRule="auto"/>
        <w:jc w:val="both"/>
      </w:pPr>
      <w:r>
        <w:rPr>
          <w:rFonts w:ascii="Times New Roman" w:cs="Times New Roman" w:eastAsia="Times New Roman" w:hAnsi="Times New Roman"/>
          <w:sz w:val="24"/>
          <w:szCs w:val="24"/>
        </w:rPr>
        <w:t xml:space="preserve">Pearson’s r shows the direction and strength of each pairwise relationship. Every correlation in Table 4.6 is positive and statistically significant.</w:t>
      </w:r>
    </w:p>
    <w:p>
      <w:pPr>
        <w:keepNext/>
        <w:spacing w:after="120" w:before="200" w:line="276" w:lineRule="auto"/>
        <w:jc w:val="left"/>
      </w:pPr>
      <w:bookmarkStart w:name="tbl_81" w:id="81"/>
      <w:r>
        <w:rPr>
          <w:rFonts w:ascii="Times New Roman" w:cs="Times New Roman" w:eastAsia="Times New Roman" w:hAnsi="Times New Roman"/>
          <w:b/>
          <w:bCs/>
          <w:sz w:val="24"/>
          <w:szCs w:val="24"/>
        </w:rPr>
        <w:t xml:space="preserve">Table 4.6: 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6"/>
        <w:gridCol w:w="1899"/>
        <w:gridCol w:w="1193"/>
        <w:gridCol w:w="1788"/>
      </w:tblGrid>
      <w:tr>
        <w:trPr>
          <w:cantSplit/>
          <w:tblHeader/>
        </w:trPr>
        <w:tc>
          <w:tcPr>
            <w:tcW w:type="dxa" w:w="414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 of constructs</w:t>
            </w:r>
          </w:p>
        </w:tc>
        <w:tc>
          <w:tcPr>
            <w:tcW w:type="dxa" w:w="189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Pearson’s </w:t>
            </w:r>
            <w:r>
              <w:rPr>
                <w:rFonts w:ascii="Times New Roman" w:cs="Times New Roman" w:eastAsia="Times New Roman" w:hAnsi="Times New Roman"/>
                <w:b/>
                <w:bCs/>
                <w:i/>
                <w:iCs/>
                <w:sz w:val="24"/>
                <w:szCs w:val="24"/>
              </w:rPr>
              <w:t xml:space="preserve">r</w:t>
            </w:r>
          </w:p>
        </w:tc>
        <w:tc>
          <w:tcPr>
            <w:tcW w:type="dxa" w:w="119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Trainer Competence</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.818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.713</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.659</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.746</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.668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.765</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Learner Engagement has the strongest pairwise relationship with Training Effectiveness (r = .765): respondents who rated their participation more highly also tended to rate effectiveness more highly. Hybrid Learning and Trainer Competence are strongly related to each other (r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i/>
          <w:iCs/>
        </w:rPr>
        <w:t xml:space="preserve">4.2.2 Multiple Regression Analysis</w:t>
      </w:r>
      <w:bookmarkEnd w:id="82"/>
    </w:p>
    <w:p>
      <w:pPr>
        <w:spacing w:after="32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200" w:line="276" w:lineRule="auto"/>
        <w:jc w:val="left"/>
      </w:pPr>
      <w:bookmarkStart w:name="tbl_83" w:id="83"/>
      <w:r>
        <w:rPr>
          <w:rFonts w:ascii="Times New Roman" w:cs="Times New Roman" w:eastAsia="Times New Roman" w:hAnsi="Times New Roman"/>
          <w:b/>
          <w:bCs/>
          <w:sz w:val="24"/>
          <w:szCs w:val="24"/>
        </w:rPr>
        <w:t xml:space="preserve">Table 4.7: 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1255"/>
        <w:gridCol w:w="2213"/>
        <w:gridCol w:w="1340"/>
        <w:gridCol w:w="900"/>
        <w:gridCol w:w="1340"/>
      </w:tblGrid>
      <w:tr>
        <w:trPr>
          <w:cantSplit/>
          <w:tblHeader/>
        </w:trPr>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w:t>
            </w:r>
          </w:p>
        </w:tc>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R²</w:t>
            </w:r>
          </w:p>
        </w:tc>
        <w:tc>
          <w:tcPr>
            <w:tcW w:type="dxa" w:w="1255"/>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Adjusted R²</w:t>
            </w:r>
          </w:p>
        </w:tc>
        <w:tc>
          <w:tcPr>
            <w:tcW w:type="dxa" w:w="221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 of estimate</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df</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.780</w:t>
            </w:r>
          </w:p>
        </w:tc>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.608</w:t>
            </w:r>
          </w:p>
        </w:tc>
        <w:tc>
          <w:tcPr>
            <w:tcW w:type="dxa" w:w="1255"/>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.596</w:t>
            </w:r>
          </w:p>
        </w:tc>
        <w:tc>
          <w:tcPr>
            <w:tcW w:type="dxa" w:w="221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.531</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50.652</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3, 98</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model is significant, F(3, 98) = 50.652, p &lt; .001. Its three predictors together account for 60.8 per cent of the variation in reported Training Effectiveness among the 102 cases. This supports the overall alternative hypothesis.</w:t>
      </w:r>
    </w:p>
    <w:p>
      <w:pPr>
        <w:keepNext/>
        <w:spacing w:after="120" w:before="200" w:line="276" w:lineRule="auto"/>
        <w:jc w:val="left"/>
      </w:pPr>
      <w:bookmarkStart w:name="tbl_84" w:id="84"/>
      <w:r>
        <w:rPr>
          <w:rFonts w:ascii="Times New Roman" w:cs="Times New Roman" w:eastAsia="Times New Roman" w:hAnsi="Times New Roman"/>
          <w:b/>
          <w:bCs/>
          <w:sz w:val="24"/>
          <w:szCs w:val="24"/>
        </w:rPr>
        <w:t xml:space="preserve">Table 4.8: 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5"/>
        <w:gridCol w:w="1561"/>
        <w:gridCol w:w="1412"/>
        <w:gridCol w:w="1633"/>
        <w:gridCol w:w="1097"/>
        <w:gridCol w:w="1258"/>
      </w:tblGrid>
      <w:tr>
        <w:trPr>
          <w:cantSplit/>
          <w:tblHeader/>
        </w:trPr>
        <w:tc>
          <w:tcPr>
            <w:tcW w:type="dxa" w:w="206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56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Unstandardised B</w:t>
            </w:r>
          </w:p>
        </w:tc>
        <w:tc>
          <w:tcPr>
            <w:tcW w:type="dxa" w:w="141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w:t>
            </w:r>
          </w:p>
        </w:tc>
        <w:tc>
          <w:tcPr>
            <w:tcW w:type="dxa" w:w="16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09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p>
        </w:tc>
        <w:tc>
          <w:tcPr>
            <w:tcW w:type="dxa" w:w="125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Constant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.301</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1.991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.049</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.188</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1.681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.947</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.560</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5.346</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When all three predictors are included in the model, the only one that has a significantly different coefficient is Learner Engagement (β = .532, p &lt; .001). Once the overlap with Hybrid Learning and Trainer Competence is taken into account, higher engagement ratings are associated with higher effectiveness ratings.</w:t>
      </w:r>
    </w:p>
    <w:p>
      <w:pPr>
        <w:spacing w:after="320" w:line="360" w:lineRule="auto"/>
        <w:jc w:val="both"/>
      </w:pPr>
      <w:r>
        <w:rPr>
          <w:rFonts w:ascii="Times New Roman" w:cs="Times New Roman" w:eastAsia="Times New Roman" w:hAnsi="Times New Roman"/>
          <w:sz w:val="24"/>
          <w:szCs w:val="24"/>
        </w:rPr>
        <w:t xml:space="preserve">In this combined model, both Hybrid Learning and Trainer Competence have positive but not significant individual coefficients; the pairwise correlations between them remain positive, including a strong correlation between the two variables. Among the respondents, Learner Engagement displays the most distinct statistical association when all three variables are included, and therefore the other two should not be considered unimportant on that ground.</w:t>
      </w:r>
    </w:p>
    <w:p>
      <w:pPr>
        <w:spacing w:after="32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i/>
          <w:iCs/>
        </w:rPr>
        <w:t xml:space="preserve">4.2.3 Supplementary Comparisons and Test Suitability</w:t>
      </w:r>
      <w:bookmarkEnd w:id="85"/>
    </w:p>
    <w:p>
      <w:pPr>
        <w:spacing w:after="320" w:line="360" w:lineRule="auto"/>
        <w:jc w:val="both"/>
      </w:pPr>
      <w:r>
        <w:rPr>
          <w:rFonts w:ascii="Times New Roman" w:cs="Times New Roman" w:eastAsia="Times New Roman" w:hAnsi="Times New Roman"/>
          <w:sz w:val="24"/>
          <w:szCs w:val="24"/>
        </w:rPr>
        <w:t xml:space="preserve">The following supplementary tests make use of the 102-case scored CSV and address questions other than those in the main regression; they are exploratory in nature and do not allow for any causal interpretation. Although the saved SPSS viewer usually employed 103 cases for its additional tests, the data file could not be obtained for a cell-by-cell comparison. For this reason, the supplementary figures still need to be verified by SPSS before they are finally submitted.</w:t>
      </w:r>
    </w:p>
    <w:p>
      <w:pPr>
        <w:spacing w:after="320" w:line="360" w:lineRule="auto"/>
        <w:jc w:val="both"/>
      </w:pPr>
      <w:r>
        <w:rPr>
          <w:rFonts w:ascii="Times New Roman" w:cs="Times New Roman" w:eastAsia="Times New Roman" w:hAnsi="Times New Roman"/>
          <w:sz w:val="24"/>
          <w:szCs w:val="24"/>
        </w:rPr>
        <w:t xml:space="preserve">The one-sample t-tests compare each construct mean with the neutral value of 3; all of the means are found to be higher, thus restating the positive descriptive pattern rather than testing the relationship hypothesis.</w:t>
      </w:r>
    </w:p>
    <w:p>
      <w:pPr>
        <w:keepNext/>
        <w:spacing w:after="120" w:before="200" w:line="276" w:lineRule="auto"/>
        <w:jc w:val="left"/>
      </w:pPr>
      <w:bookmarkStart w:name="tbl_86" w:id="86"/>
      <w:r>
        <w:rPr>
          <w:rFonts w:ascii="Times New Roman" w:cs="Times New Roman" w:eastAsia="Times New Roman" w:hAnsi="Times New Roman"/>
          <w:b/>
          <w:bCs/>
          <w:sz w:val="24"/>
          <w:szCs w:val="24"/>
        </w:rPr>
        <w:t xml:space="preserve">Table 4.9: 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1"/>
        <w:gridCol w:w="987"/>
        <w:gridCol w:w="1448"/>
        <w:gridCol w:w="1660"/>
        <w:gridCol w:w="1660"/>
      </w:tblGrid>
      <w:tr>
        <w:trPr>
          <w:cantSplit/>
          <w:tblHeader/>
        </w:trPr>
        <w:tc>
          <w:tcPr>
            <w:tcW w:type="dxa" w:w="327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8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w:t>
            </w:r>
          </w:p>
        </w:tc>
        <w:tc>
          <w:tcPr>
            <w:tcW w:type="dxa" w:w="144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13.484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13.551</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16.778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15.159</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320" w:line="360" w:lineRule="auto"/>
        <w:jc w:val="both"/>
      </w:pPr>
      <w:r>
        <w:rPr>
          <w:rFonts w:ascii="Times New Roman" w:cs="Times New Roman" w:eastAsia="Times New Roman" w:hAnsi="Times New Roman"/>
          <w:sz w:val="24"/>
          <w:szCs w:val="24"/>
        </w:rPr>
        <w:t xml:space="preserve">Hybrid Learning averages 4.144 in this CSV subset and 4.148 in the supplied SPSS Explore table. The difference means the two sources have not been shown to contain identical item values. Tables 4.2–4.7 and the hypothesis decision continue to follow the saved SPSS figures.</w:t>
      </w:r>
    </w:p>
    <w:p>
      <w:pPr>
        <w:spacing w:after="320" w:line="360" w:lineRule="auto"/>
        <w:jc w:val="both"/>
      </w:pPr>
      <w:r>
        <w:rPr>
          <w:rFonts w:ascii="Times New Roman" w:cs="Times New Roman" w:eastAsia="Times New Roman" w:hAnsi="Times New Roman"/>
          <w:sz w:val="24"/>
          <w:szCs w:val="24"/>
        </w:rPr>
        <w:t xml:space="preserve">The comparison carried out by Welch involved 56 officers (mean = 4.163) and 26 managers (mean = 4.220); the values for Training Effectiveness did not differ significantly, t(52.261) = −0.270, p = .788; clerical staff were not included in this test of the two groups.</w:t>
      </w:r>
    </w:p>
    <w:p>
      <w:pPr>
        <w:spacing w:after="320" w:line="360" w:lineRule="auto"/>
        <w:jc w:val="both"/>
      </w:pPr>
      <w:r>
        <w:rPr>
          <w:rFonts w:ascii="Times New Roman" w:cs="Times New Roman" w:eastAsia="Times New Roman" w:hAnsi="Times New Roman"/>
          <w:sz w:val="24"/>
          <w:szCs w:val="24"/>
        </w:rPr>
        <w:t xml:space="preserve">The paired t-tests involve comparing each respondent's effectiveness score with their scores on the other constructs. None of the three mean differences reaches the .05 level, and the comparisons are between different concepts on the same survey rather than involving changes over time.</w:t>
      </w:r>
    </w:p>
    <w:p>
      <w:pPr>
        <w:keepNext/>
        <w:spacing w:after="120" w:before="200" w:line="276" w:lineRule="auto"/>
        <w:jc w:val="left"/>
      </w:pPr>
      <w:bookmarkStart w:name="tbl_87" w:id="87"/>
      <w:r>
        <w:rPr>
          <w:rFonts w:ascii="Times New Roman" w:cs="Times New Roman" w:eastAsia="Times New Roman" w:hAnsi="Times New Roman"/>
          <w:b/>
          <w:bCs/>
          <w:sz w:val="24"/>
          <w:szCs w:val="24"/>
        </w:rPr>
        <w:t xml:space="preserve">Table 4.10: 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4"/>
        <w:gridCol w:w="1940"/>
        <w:gridCol w:w="1641"/>
        <w:gridCol w:w="1641"/>
      </w:tblGrid>
      <w:tr>
        <w:trPr>
          <w:cantSplit/>
          <w:tblHeader/>
        </w:trPr>
        <w:tc>
          <w:tcPr>
            <w:tcW w:type="dxa" w:w="380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Paired scores</w:t>
            </w:r>
          </w:p>
        </w:tc>
        <w:tc>
          <w:tcPr>
            <w:tcW w:type="dxa" w:w="19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 difference</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−0.109</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−1.611</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.110</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−0.095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−1.385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.169</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0.063</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1.126</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.263</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one-way ANOVA involves the clerical (M = 4.550, n = 20), officer (M = 4.163, n = 56), and managerial (M = 4.220, n = 26) respondents; the differences found are not significant, F(2, 99) = 1.629, p = .201, and as a result a Duncan post-hoc comparison is not carried out in order to assert the presence of distinct groups in the analysis of the 102 cases.</w:t>
      </w:r>
    </w:p>
    <w:p>
      <w:pPr>
        <w:spacing w:after="320" w:line="360" w:lineRule="auto"/>
        <w:jc w:val="both"/>
      </w:pPr>
      <w:r>
        <w:rPr>
          <w:rFonts w:ascii="Times New Roman" w:cs="Times New Roman" w:eastAsia="Times New Roman" w:hAnsi="Times New Roman"/>
          <w:sz w:val="24"/>
          <w:szCs w:val="24"/>
        </w:rPr>
        <w:t xml:space="preserve">The Pearson chi-square test cannot be relied upon since the raw-cross-tabulations are too sparse. In all three of the tables showing the predictors against effectiveness, 98.8 to 99.3 per cent of the expected cells are below five, the lowest expected frequency being near .010. The pairwise relationships between the constructs are therefore assessed by means of the correlations given in Table 4.6.</w:t>
      </w:r>
    </w:p>
    <w:p>
      <w:pPr>
        <w:keepNext/>
        <w:spacing w:after="120" w:before="200" w:line="276" w:lineRule="auto"/>
        <w:jc w:val="left"/>
      </w:pPr>
      <w:bookmarkStart w:name="tbl_88" w:id="88"/>
      <w:r>
        <w:rPr>
          <w:rFonts w:ascii="Times New Roman" w:cs="Times New Roman" w:eastAsia="Times New Roman" w:hAnsi="Times New Roman"/>
          <w:b/>
          <w:bCs/>
          <w:sz w:val="24"/>
          <w:szCs w:val="24"/>
        </w:rPr>
        <w:t xml:space="preserve">Table 4.11: 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2"/>
        <w:gridCol w:w="1321"/>
        <w:gridCol w:w="900"/>
        <w:gridCol w:w="1854"/>
        <w:gridCol w:w="1979"/>
      </w:tblGrid>
      <w:tr>
        <w:trPr>
          <w:cantSplit/>
          <w:tblHeader/>
        </w:trPr>
        <w:tc>
          <w:tcPr>
            <w:tcW w:type="dxa" w:w="29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 crossed with Training Effectiveness</w:t>
            </w:r>
          </w:p>
        </w:tc>
        <w:tc>
          <w:tcPr>
            <w:tcW w:type="dxa" w:w="13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 χ²</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df</w:t>
            </w:r>
          </w:p>
        </w:tc>
        <w:tc>
          <w:tcPr>
            <w:tcW w:type="dxa" w:w="185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Expected cells below 5</w:t>
            </w:r>
          </w:p>
        </w:tc>
        <w:tc>
          <w:tcPr>
            <w:tcW w:type="dxa" w:w="197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Interpretation</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433.554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99.3%</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369.492</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99.1%</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481.111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98.8%</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possible values of the construct are numerous and result in extremely small expected frequencies. Decisions about any hypothesis are not based on these chi-square statistics.</w:t>
      </w:r>
    </w:p>
    <w:p>
      <w:pPr>
        <w:pStyle w:val="Heading2"/>
        <w:keepNext/>
        <w:spacing w:after="160" w:before="240"/>
      </w:pPr>
      <w:bookmarkStart w:name="h_89" w:id="89"/>
      <w:r>
        <w:rPr>
          <w:rFonts w:ascii="Times New Roman" w:cs="Times New Roman" w:eastAsia="Times New Roman" w:hAnsi="Times New Roman"/>
          <w:b/>
          <w:bCs/>
          <w:i w:val="false"/>
          <w:iCs w:val="false"/>
        </w:rPr>
        <w:t xml:space="preserve">4.3 Interpretation of Results</w:t>
      </w:r>
      <w:bookmarkEnd w:id="89"/>
    </w:p>
    <w:p>
      <w:pPr>
        <w:spacing w:after="320" w:line="360" w:lineRule="auto"/>
        <w:jc w:val="both"/>
      </w:pPr>
      <w:r>
        <w:rPr>
          <w:rFonts w:ascii="Times New Roman" w:cs="Times New Roman" w:eastAsia="Times New Roman" w:hAnsi="Times New Roman"/>
          <w:sz w:val="24"/>
          <w:szCs w:val="24"/>
        </w:rPr>
        <w:t xml:space="preserve">Employees who said that they had taken a more active part in the programme also gave higher ratings to the relevance, their confidence, and the way the material could be applied to their work. For bank employees, being involved could involve attending the session in a close manner, asking questions, carrying out a procedure, or going back to the material when a task came up.</w:t>
      </w:r>
    </w:p>
    <w:p>
      <w:pPr>
        <w:spacing w:after="320" w:line="360" w:lineRule="auto"/>
        <w:jc w:val="both"/>
      </w:pPr>
      <w:r>
        <w:rPr>
          <w:rFonts w:ascii="Times New Roman" w:cs="Times New Roman" w:eastAsia="Times New Roman" w:hAnsi="Times New Roman"/>
          <w:sz w:val="24"/>
          <w:szCs w:val="24"/>
        </w:rPr>
        <w:t xml:space="preserve">Hybrid Learning received a positive rating and was linked with Training Effectiveness, but question six indicates a somewhat weaker aspect in that the digital activities did not prepare the respondents for the subsequent face-to-face session to the same extent as the other items within Hybrid Learning had been rated. Although time or guidance may have been the cause, the survey is unable to determine it and thus highlights preparation as an area that should be reviewed.</w:t>
      </w:r>
    </w:p>
    <w:p>
      <w:pPr>
        <w:spacing w:after="320" w:line="360" w:lineRule="auto"/>
        <w:jc w:val="both"/>
      </w:pPr>
      <w:r>
        <w:rPr>
          <w:rFonts w:ascii="Times New Roman" w:cs="Times New Roman" w:eastAsia="Times New Roman" w:hAnsi="Times New Roman"/>
          <w:sz w:val="24"/>
          <w:szCs w:val="24"/>
        </w:rPr>
        <w:t xml:space="preserve">Correlation indicates that each of the predictors is positively related to Training Effectiveness. Regression then investigates whether the association remains clear when the other predictors are included in the model; by this more specific test, Learner Engagement emerges as the standout factor.</w:t>
      </w:r>
    </w:p>
    <w:p>
      <w:pPr>
        <w:pStyle w:val="Heading2"/>
        <w:keepNext/>
        <w:spacing w:after="160" w:before="240"/>
      </w:pPr>
      <w:bookmarkStart w:name="h_90" w:id="90"/>
      <w:r>
        <w:rPr>
          <w:rFonts w:ascii="Times New Roman" w:cs="Times New Roman" w:eastAsia="Times New Roman" w:hAnsi="Times New Roman"/>
          <w:b/>
          <w:bCs/>
          <w:i w:val="false"/>
          <w:iCs w:val="false"/>
        </w:rPr>
        <w:t xml:space="preserve">4.4 Comparison with Previous Studies</w:t>
      </w:r>
      <w:bookmarkEnd w:id="90"/>
    </w:p>
    <w:p>
      <w:pPr>
        <w:spacing w:after="32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32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32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32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320" w:line="360" w:lineRule="auto"/>
        <w:jc w:val="both"/>
      </w:pPr>
      <w:r>
        <w:rPr>
          <w:rFonts w:ascii="Times New Roman" w:cs="Times New Roman" w:eastAsia="Times New Roman" w:hAnsi="Times New Roman"/>
          <w:sz w:val="24"/>
          <w:szCs w:val="24"/>
        </w:rPr>
        <w:t xml:space="preserve">Han and Ellis (2020) look at the way learners experience a blended environment; question six provides an example from the workplace showing why this is important, since, although Hybrid Learning as a whole was rated positively, the preparation given before the face-to-face session obtained the lowest item mean within that section. Yet the question is relevant to training in banks without considering the student instrument to have been validated for use with bank employees.</w:t>
      </w:r>
    </w:p>
    <w:p>
      <w:pPr>
        <w:pStyle w:val="Heading2"/>
        <w:keepNext/>
        <w:spacing w:after="160" w:before="240"/>
      </w:pPr>
      <w:bookmarkStart w:name="h_91" w:id="91"/>
      <w:r>
        <w:rPr>
          <w:rFonts w:ascii="Times New Roman" w:cs="Times New Roman" w:eastAsia="Times New Roman" w:hAnsi="Times New Roman"/>
          <w:b/>
          <w:bCs/>
          <w:i w:val="false"/>
          <w:iCs w:val="false"/>
        </w:rPr>
        <w:t xml:space="preserve">4.5 Theoretical and Practical Implications</w:t>
      </w:r>
      <w:bookmarkEnd w:id="91"/>
    </w:p>
    <w:p>
      <w:pPr>
        <w:spacing w:after="320" w:line="360" w:lineRule="auto"/>
        <w:jc w:val="both"/>
      </w:pPr>
      <w:r>
        <w:rPr>
          <w:rFonts w:ascii="Times New Roman" w:cs="Times New Roman" w:eastAsia="Times New Roman" w:hAnsi="Times New Roman"/>
          <w:sz w:val="24"/>
          <w:szCs w:val="24"/>
        </w:rPr>
        <w:t xml:space="preserve">Programme design, support provided by trainers, and employee involvement each have a significant pairwise relationship with perceived Training Effectiveness. These correlations should not be read as separate adjusted effects. The cross-sectional results also give no evidence of a causal order among the factors.</w:t>
      </w:r>
    </w:p>
    <w:p>
      <w:pPr>
        <w:spacing w:after="320" w:line="360" w:lineRule="auto"/>
        <w:jc w:val="both"/>
      </w:pPr>
      <w:r>
        <w:rPr>
          <w:rFonts w:ascii="Times New Roman" w:cs="Times New Roman" w:eastAsia="Times New Roman" w:hAnsi="Times New Roman"/>
          <w:sz w:val="24"/>
          <w:szCs w:val="24"/>
        </w:rPr>
        <w:t xml:space="preserve">The most clear-cut practical suggestion concerns the transition from digital preparation to the actual session. The coordinators should be able to find out when the material reaches the employees, whether the work schedules provide them with enough time to make use of it, and how the trainers build on it. It should be possible to ask questions and carry out practice during the session. Although questions in Q6 and the engagement association support these proposals, the survey did not test the proposed changes.</w:t>
      </w:r>
    </w:p>
    <w:p>
      <w:pPr>
        <w:spacing w:after="320" w:line="360" w:lineRule="auto"/>
        <w:jc w:val="both"/>
      </w:pPr>
      <w:r>
        <w:rPr>
          <w:rFonts w:ascii="Times New Roman" w:cs="Times New Roman" w:eastAsia="Times New Roman" w:hAnsi="Times New Roman"/>
          <w:sz w:val="24"/>
          <w:szCs w:val="24"/>
        </w:rPr>
        <w:t xml:space="preserve">The preparation, the session, and the subsequent revision can be regarded as a single sequence. Employees should be given a well-defined digital task along with the necessary time to carry it out. The trainer should link this task to an example from the banking sector and then invite questions. After the session, readily available material should be provided so that the staff can go over the topic whenever it is needed in their work. The questionnaire includes all these stages; however, a further evaluation would be required to determine if modifying them has a positive effect on the outcomes.</w:t>
      </w:r>
    </w:p>
    <w:p>
      <w:r>
        <w:br w:type="page"/>
      </w:r>
    </w:p>
    <w:p>
      <w:pPr>
        <w:pStyle w:val="Heading1"/>
        <w:keepNext/>
        <w:spacing w:after="160" w:before="0"/>
      </w:pPr>
      <w:bookmarkStart w:name="h_92" w:id="92"/>
      <w:r>
        <w:rPr>
          <w:rFonts w:ascii="Times New Roman" w:cs="Times New Roman" w:eastAsia="Times New Roman" w:hAnsi="Times New Roman"/>
          <w:b/>
          <w:bCs/>
          <w:i w:val="false"/>
          <w:iCs w:val="false"/>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i w:val="false"/>
          <w:iCs w:val="false"/>
        </w:rPr>
        <w:t xml:space="preserve">5.1 Introduction</w:t>
      </w:r>
      <w:bookmarkEnd w:id="93"/>
    </w:p>
    <w:p>
      <w:pPr>
        <w:spacing w:after="320" w:line="360" w:lineRule="auto"/>
        <w:jc w:val="both"/>
      </w:pPr>
      <w:r>
        <w:rPr>
          <w:rFonts w:ascii="Times New Roman" w:cs="Times New Roman" w:eastAsia="Times New Roman" w:hAnsi="Times New Roman"/>
          <w:sz w:val="24"/>
          <w:szCs w:val="24"/>
        </w:rPr>
        <w:t xml:space="preserve">The chapter sets out the implications of the findings for the group of respondents from Union Bank. The independent variables are Hybrid Learning, Trainer Competence, and Learner Engagement, while Training Effectiveness is the dependent variable. The regression is based on 102 valid cases.</w:t>
      </w:r>
    </w:p>
    <w:p>
      <w:pPr>
        <w:pStyle w:val="Heading2"/>
        <w:keepNext/>
        <w:spacing w:after="160" w:before="240"/>
      </w:pPr>
      <w:bookmarkStart w:name="h_94" w:id="94"/>
      <w:r>
        <w:rPr>
          <w:rFonts w:ascii="Times New Roman" w:cs="Times New Roman" w:eastAsia="Times New Roman" w:hAnsi="Times New Roman"/>
          <w:b/>
          <w:bCs/>
          <w:i w:val="false"/>
          <w:iCs w:val="false"/>
        </w:rPr>
        <w:t xml:space="preserve">5.2 Summary of the Study</w:t>
      </w:r>
      <w:bookmarkEnd w:id="94"/>
    </w:p>
    <w:p>
      <w:pPr>
        <w:spacing w:after="320" w:line="360" w:lineRule="auto"/>
        <w:jc w:val="both"/>
      </w:pPr>
      <w:r>
        <w:rPr>
          <w:rFonts w:ascii="Times New Roman" w:cs="Times New Roman" w:eastAsia="Times New Roman" w:hAnsi="Times New Roman"/>
          <w:sz w:val="24"/>
          <w:szCs w:val="24"/>
        </w:rPr>
        <w:t xml:space="preserve">Union Bank gives its employees training via physical facilities and with the help of digital support, such as Union Vidya and virtual delivery; a programme can therefore include online material, trainer-led discussions, practical exercises, questions, and resources for later use.</w:t>
      </w:r>
    </w:p>
    <w:p>
      <w:pPr>
        <w:spacing w:after="32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320" w:line="360" w:lineRule="auto"/>
        <w:jc w:val="both"/>
      </w:pPr>
      <w:r>
        <w:rPr>
          <w:rFonts w:ascii="Times New Roman" w:cs="Times New Roman" w:eastAsia="Times New Roman" w:hAnsi="Times New Roman"/>
          <w:sz w:val="24"/>
          <w:szCs w:val="24"/>
        </w:rPr>
        <w:t xml:space="preserve">Respondents considered one hybrid programme attended in the previous 12 months. The questionnaire contained four eligibility and profile questions and 26 five-point agreement items. A separate online pilot ran from 15 to 16 September 2026 while main collection began on 15 September. It checked clarity, relevance, repetition, completion burden, and Union Vidya wording; pilot responses were excluded from the main analysis.</w:t>
      </w:r>
    </w:p>
    <w:p>
      <w:pPr>
        <w:spacing w:after="320" w:line="360" w:lineRule="auto"/>
        <w:jc w:val="both"/>
      </w:pPr>
      <w:r>
        <w:rPr>
          <w:rFonts w:ascii="Times New Roman" w:cs="Times New Roman" w:eastAsia="Times New Roman" w:hAnsi="Times New Roman"/>
          <w:sz w:val="24"/>
          <w:szCs w:val="24"/>
        </w:rPr>
        <w:t xml:space="preserve">The paper forms and the Google Forms resulted in 132 main submissions from employees who were associated with the Regional Office Chennai South and with certain branches. After screening, 103 profile-completed records remained. SPSS reported 102 valid cases for use at the construct level and for the regression analysis since one of the Trainer Competence means was missing from its file.</w:t>
      </w:r>
    </w:p>
    <w:p>
      <w:pPr>
        <w:spacing w:after="320" w:line="360" w:lineRule="auto"/>
        <w:jc w:val="both"/>
      </w:pPr>
      <w:r>
        <w:rPr>
          <w:rFonts w:ascii="Times New Roman" w:cs="Times New Roman" w:eastAsia="Times New Roman" w:hAnsi="Times New Roman"/>
          <w:sz w:val="24"/>
          <w:szCs w:val="24"/>
        </w:rPr>
        <w:t xml:space="preserve">The hypothesis in question is whether the three independent variables together have the ability to predict Training Effectiveness. The SPSS output that has been saved contains the descriptive statistics, one overall reliability analysis, an exploratory factor analysis, the correlation coefficients, and the results of the multiple regression. It is the regression analysis that determines the decision regarding the hypothesis.</w:t>
      </w:r>
    </w:p>
    <w:p>
      <w:pPr>
        <w:pStyle w:val="Heading2"/>
        <w:keepNext/>
        <w:spacing w:after="160" w:before="240"/>
      </w:pPr>
      <w:bookmarkStart w:name="h_95" w:id="95"/>
      <w:r>
        <w:rPr>
          <w:rFonts w:ascii="Times New Roman" w:cs="Times New Roman" w:eastAsia="Times New Roman" w:hAnsi="Times New Roman"/>
          <w:b/>
          <w:bCs/>
          <w:i w:val="false"/>
          <w:iCs w:val="false"/>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i/>
          <w:iCs/>
        </w:rPr>
        <w:t xml:space="preserve">5.3.1 Respondents rated all four areas positively</w:t>
      </w:r>
      <w:bookmarkEnd w:id="96"/>
    </w:p>
    <w:p>
      <w:pPr>
        <w:spacing w:after="320" w:line="360" w:lineRule="auto"/>
        <w:jc w:val="both"/>
      </w:pPr>
      <w:r>
        <w:rPr>
          <w:rFonts w:ascii="Times New Roman" w:cs="Times New Roman" w:eastAsia="Times New Roman" w:hAnsi="Times New Roman"/>
          <w:sz w:val="24"/>
          <w:szCs w:val="24"/>
        </w:rPr>
        <w:t xml:space="preserve">All the scores were above the midpoint of the scale. The highest score was for Learner Engagement (4.317), then came Training Effectiveness (4.254), followed by Trainer Competence (4.158), and last of all Hybrid Learning (4.148). Therefore, the majority of the respondents offered positive evaluations of the programme in question.</w:t>
      </w:r>
    </w:p>
    <w:p>
      <w:pPr>
        <w:spacing w:after="320" w:line="360" w:lineRule="auto"/>
        <w:jc w:val="both"/>
      </w:pPr>
      <w:r>
        <w:rPr>
          <w:rFonts w:ascii="Times New Roman" w:cs="Times New Roman" w:eastAsia="Times New Roman" w:hAnsi="Times New Roman"/>
          <w:sz w:val="24"/>
          <w:szCs w:val="24"/>
        </w:rPr>
        <w:t xml:space="preserve">Hybrid Learning stayed positive but placed at the bottom. Mixing use of a platform with face-to-face sessions might leave employees wishing for more thorough preparation or for the material to be more closely linked to the trainer-led activities.</w:t>
      </w:r>
    </w:p>
    <w:p>
      <w:pPr>
        <w:pStyle w:val="Heading3"/>
        <w:keepNext/>
        <w:spacing w:after="160" w:before="240"/>
      </w:pPr>
      <w:bookmarkStart w:name="h_97" w:id="97"/>
      <w:r>
        <w:rPr>
          <w:rFonts w:ascii="Times New Roman" w:cs="Times New Roman" w:eastAsia="Times New Roman" w:hAnsi="Times New Roman"/>
          <w:b/>
          <w:bCs/>
          <w:i/>
          <w:iCs/>
        </w:rPr>
        <w:t xml:space="preserve">5.3.2 The four constructs were positively associated</w:t>
      </w:r>
      <w:bookmarkEnd w:id="97"/>
    </w:p>
    <w:p>
      <w:pPr>
        <w:spacing w:after="320" w:line="360" w:lineRule="auto"/>
        <w:jc w:val="both"/>
      </w:pPr>
      <w:r>
        <w:rPr>
          <w:rFonts w:ascii="Times New Roman" w:cs="Times New Roman" w:eastAsia="Times New Roman" w:hAnsi="Times New Roman"/>
          <w:sz w:val="24"/>
          <w:szCs w:val="24"/>
        </w:rPr>
        <w:t xml:space="preserve">All the pairwise Pearson correlations were positive and significant; Learner Engagement showed the strongest relationship with Training Effectiveness (r = .765), and Hybrid Learning was also strongly related to Trainer Competence (r = .818). Often, the respondents gave similar ratings to the various parts of the training.</w:t>
      </w:r>
    </w:p>
    <w:p>
      <w:pPr>
        <w:pStyle w:val="Heading3"/>
        <w:keepNext/>
        <w:spacing w:after="160" w:before="240"/>
      </w:pPr>
      <w:bookmarkStart w:name="h_98" w:id="98"/>
      <w:r>
        <w:rPr>
          <w:rFonts w:ascii="Times New Roman" w:cs="Times New Roman" w:eastAsia="Times New Roman" w:hAnsi="Times New Roman"/>
          <w:b/>
          <w:bCs/>
          <w:i/>
          <w:iCs/>
        </w:rPr>
        <w:t xml:space="preserve">5.3.3 Decision on the study hypothesis</w:t>
      </w:r>
      <w:bookmarkEnd w:id="98"/>
    </w:p>
    <w:p>
      <w:pPr>
        <w:spacing w:after="320" w:line="360" w:lineRule="auto"/>
        <w:jc w:val="both"/>
      </w:pPr>
      <w:r>
        <w:rPr>
          <w:rFonts w:ascii="Times New Roman" w:cs="Times New Roman" w:eastAsia="Times New Roman" w:hAnsi="Times New Roman"/>
          <w:sz w:val="24"/>
          <w:szCs w:val="24"/>
        </w:rPr>
        <w:t xml:space="preserve">There is a single general hypothesis concerning the three predictors considered together. The regression reaches significance at the 5 per cent level. The null hypothesis (H₀) is rejected and the alternative hypothesis (H₁) is supported in the case of the combined model.</w:t>
      </w:r>
    </w:p>
    <w:p>
      <w:pPr>
        <w:keepNext/>
        <w:spacing w:after="120" w:before="200" w:line="276" w:lineRule="auto"/>
        <w:jc w:val="left"/>
      </w:pPr>
      <w:bookmarkStart w:name="tbl_99" w:id="99"/>
      <w:r>
        <w:rPr>
          <w:rFonts w:ascii="Times New Roman" w:cs="Times New Roman" w:eastAsia="Times New Roman" w:hAnsi="Times New Roman"/>
          <w:b/>
          <w:bCs/>
          <w:sz w:val="24"/>
          <w:szCs w:val="24"/>
        </w:rPr>
        <w:t xml:space="preserve">Table 5.1: 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4"/>
        <w:gridCol w:w="2736"/>
        <w:gridCol w:w="2856"/>
      </w:tblGrid>
      <w:tr>
        <w:trPr>
          <w:cantSplit/>
          <w:tblHeader/>
        </w:trPr>
        <w:tc>
          <w:tcPr>
            <w:tcW w:type="dxa" w:w="34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Test</w:t>
            </w:r>
          </w:p>
        </w:tc>
        <w:tc>
          <w:tcPr>
            <w:tcW w:type="dxa" w:w="273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w:t>
            </w:r>
          </w:p>
        </w:tc>
        <w:tc>
          <w:tcPr>
            <w:tcW w:type="dxa" w:w="285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Decision</w:t>
            </w:r>
          </w:p>
        </w:tc>
      </w:tr>
      <w:tr>
        <w:trPr>
          <w:cantSplit/>
        </w:trPr>
        <w:tc>
          <w:tcPr>
            <w:tcW w:type="dxa" w:w="34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predicting Training Effectiveness</w:t>
            </w:r>
          </w:p>
        </w:tc>
        <w:tc>
          <w:tcPr>
            <w:tcW w:type="dxa" w:w="273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valid N = 102</w:t>
            </w:r>
          </w:p>
        </w:tc>
        <w:tc>
          <w:tcPr>
            <w:tcW w:type="dxa" w:w="285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Reject H₀; support H₁ for the combined model.</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fact that the R² value is .608 shows that the predictors account for 60.8 per cent of the variation in the effectiveness ratings among these cases; it does not represent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i/>
          <w:iCs/>
        </w:rPr>
        <w:t xml:space="preserve">5.3.4 Individual predictor results</w:t>
      </w:r>
      <w:bookmarkEnd w:id="100"/>
    </w:p>
    <w:p>
      <w:pPr>
        <w:spacing w:after="320" w:line="360" w:lineRule="auto"/>
        <w:jc w:val="both"/>
      </w:pPr>
      <w:r>
        <w:rPr>
          <w:rFonts w:ascii="Times New Roman" w:cs="Times New Roman" w:eastAsia="Times New Roman" w:hAnsi="Times New Roman"/>
          <w:sz w:val="24"/>
          <w:szCs w:val="24"/>
        </w:rPr>
        <w:t xml:space="preserve">The overall model need not have three significant individual coefficients, as Table 5.2 indicates which predictor maintains a clear association when the other two have been included in the regression.</w:t>
      </w:r>
    </w:p>
    <w:p>
      <w:pPr>
        <w:keepNext/>
        <w:spacing w:after="120" w:before="200" w:line="276" w:lineRule="auto"/>
        <w:jc w:val="left"/>
      </w:pPr>
      <w:bookmarkStart w:name="tbl_101" w:id="101"/>
      <w:r>
        <w:rPr>
          <w:rFonts w:ascii="Times New Roman" w:cs="Times New Roman" w:eastAsia="Times New Roman" w:hAnsi="Times New Roman"/>
          <w:b/>
          <w:bCs/>
          <w:sz w:val="24"/>
          <w:szCs w:val="24"/>
        </w:rPr>
        <w:t xml:space="preserve">Table 5.2: 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8"/>
        <w:gridCol w:w="1971"/>
        <w:gridCol w:w="1517"/>
        <w:gridCol w:w="3050"/>
      </w:tblGrid>
      <w:tr>
        <w:trPr>
          <w:cantSplit/>
          <w:tblHeader/>
        </w:trPr>
        <w:tc>
          <w:tcPr>
            <w:tcW w:type="dxa" w:w="248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97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51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c>
          <w:tcPr>
            <w:tcW w:type="dxa" w:w="305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 at the 5 per cent level</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Individually significant</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aspect of learner engagement showed the most distinct unique relationship. Although the coefficients for hybrid learning and trainer competence were positive, neither of them was statistically significant when all three variables were included. Nonetheless, both of them still had a positive correlation with training effectiveness and were also strongly linked to one another. One cannot ignore their practical significance merely on the basis of these coefficients.</w:t>
      </w:r>
    </w:p>
    <w:p>
      <w:pPr>
        <w:spacing w:after="320" w:line="360" w:lineRule="auto"/>
        <w:jc w:val="both"/>
      </w:pPr>
      <w:r>
        <w:rPr>
          <w:rFonts w:ascii="Times New Roman" w:cs="Times New Roman" w:eastAsia="Times New Roman" w:hAnsi="Times New Roman"/>
          <w:sz w:val="24"/>
          <w:szCs w:val="24"/>
        </w:rPr>
        <w:t xml:space="preserve">It is the combined model that makes the H₀/H₁ decision, not the three coefficient results, since the latter only explain it rather than present separate hypotheses.</w:t>
      </w:r>
    </w:p>
    <w:p>
      <w:pPr>
        <w:pStyle w:val="Heading2"/>
        <w:keepNext/>
        <w:spacing w:after="160" w:before="240"/>
      </w:pPr>
      <w:bookmarkStart w:name="h_102" w:id="102"/>
      <w:r>
        <w:rPr>
          <w:rFonts w:ascii="Times New Roman" w:cs="Times New Roman" w:eastAsia="Times New Roman" w:hAnsi="Times New Roman"/>
          <w:b/>
          <w:bCs/>
          <w:i w:val="false"/>
          <w:iCs w:val="false"/>
        </w:rPr>
        <w:t xml:space="preserve">5.4 Contribution of the Study</w:t>
      </w:r>
      <w:bookmarkEnd w:id="102"/>
    </w:p>
    <w:p>
      <w:pPr>
        <w:spacing w:after="320" w:line="360" w:lineRule="auto"/>
        <w:jc w:val="both"/>
      </w:pPr>
      <w:r>
        <w:rPr>
          <w:rFonts w:ascii="Times New Roman" w:cs="Times New Roman" w:eastAsia="Times New Roman" w:hAnsi="Times New Roman"/>
          <w:sz w:val="24"/>
          <w:szCs w:val="24"/>
        </w:rPr>
        <w:t xml:space="preserve">The study provides an account of the hybrid programme at Union Bank at the level of the employee; Union Vidya forms part of the delivery setup, whereas the model individually assesses programme experience, trainer support, participation, and perceived effectiveness. The fact that a platform exists is not regarded as an outcome.</w:t>
      </w:r>
    </w:p>
    <w:p>
      <w:pPr>
        <w:spacing w:after="320" w:line="360" w:lineRule="auto"/>
        <w:jc w:val="both"/>
      </w:pPr>
      <w:r>
        <w:rPr>
          <w:rFonts w:ascii="Times New Roman" w:cs="Times New Roman" w:eastAsia="Times New Roman" w:hAnsi="Times New Roman"/>
          <w:sz w:val="24"/>
          <w:szCs w:val="24"/>
        </w:rPr>
        <w:t xml:space="preserve">A great deal of the literature on hybrid learning focuses on education, while the present survey puts the issue in the context of banking. Branch and office employees might have to carry out their training around deadlines, customer requirements, compliance obligations, and digital changes. Just as much attention should be paid to their own level of involvement as to the design of the training since this can show conditions that go beyond those of the platform or the trainer.</w:t>
      </w:r>
    </w:p>
    <w:p>
      <w:pPr>
        <w:spacing w:after="320" w:line="360" w:lineRule="auto"/>
        <w:jc w:val="both"/>
      </w:pPr>
      <w:r>
        <w:rPr>
          <w:rFonts w:ascii="Times New Roman" w:cs="Times New Roman" w:eastAsia="Times New Roman" w:hAnsi="Times New Roman"/>
          <w:sz w:val="24"/>
          <w:szCs w:val="24"/>
        </w:rPr>
        <w:t xml:space="preserve">The fact that the four experiences are separated means that the findings become more specific than a general assessment of whether or not employees liked the training. Although all three predictors have a positive correlation with Training Effectiveness, only Learner Engagement has a significant individual coefficient in the overall model. This distinction should cause people to focus on preparation and participation when the programme is being reviewed.</w:t>
      </w:r>
    </w:p>
    <w:p>
      <w:pPr>
        <w:pStyle w:val="Heading2"/>
        <w:keepNext/>
        <w:spacing w:after="160" w:before="240"/>
      </w:pPr>
      <w:bookmarkStart w:name="h_103" w:id="103"/>
      <w:r>
        <w:rPr>
          <w:rFonts w:ascii="Times New Roman" w:cs="Times New Roman" w:eastAsia="Times New Roman" w:hAnsi="Times New Roman"/>
          <w:b/>
          <w:bCs/>
          <w:i w:val="false"/>
          <w:iCs w:val="false"/>
        </w:rPr>
        <w:t xml:space="preserve">5.5 Suggestions for Training Review</w:t>
      </w:r>
      <w:bookmarkEnd w:id="103"/>
    </w:p>
    <w:p>
      <w:pPr>
        <w:spacing w:after="320" w:line="360" w:lineRule="auto"/>
        <w:jc w:val="both"/>
      </w:pPr>
      <w:r>
        <w:rPr>
          <w:rFonts w:ascii="Times New Roman" w:cs="Times New Roman" w:eastAsia="Times New Roman" w:hAnsi="Times New Roman"/>
          <w:sz w:val="24"/>
          <w:szCs w:val="24"/>
        </w:rPr>
        <w:t xml:space="preserve">The two findings determine the priorities: in the combined regression Learner Engagement is the only factor that is individually significant, and digital preparation before face-to-face sessions is the lowest-rated item in the Hybrid Learning section (Q6, mean = 3.990; Table 4.3). The suggestions listed below are proposals for review and are not interventions that have been tested.</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200" w:line="276" w:lineRule="auto"/>
        <w:jc w:val="left"/>
      </w:pPr>
      <w:bookmarkStart w:name="tbl_104" w:id="104"/>
      <w:r>
        <w:rPr>
          <w:rFonts w:ascii="Times New Roman" w:cs="Times New Roman" w:eastAsia="Times New Roman" w:hAnsi="Times New Roman"/>
          <w:b/>
          <w:bCs/>
          <w:sz w:val="24"/>
          <w:szCs w:val="24"/>
        </w:rPr>
        <w:t xml:space="preserve">Table 5.3: 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1"/>
        <w:gridCol w:w="2824"/>
        <w:gridCol w:w="3151"/>
      </w:tblGrid>
      <w:tr>
        <w:trPr>
          <w:cantSplit/>
          <w:tblHeader/>
        </w:trPr>
        <w:tc>
          <w:tcPr>
            <w:tcW w:type="dxa" w:w="30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Evidence from this study</w:t>
            </w:r>
          </w:p>
        </w:tc>
        <w:tc>
          <w:tcPr>
            <w:tcW w:type="dxa" w:w="28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Area to review</w:t>
            </w:r>
          </w:p>
        </w:tc>
        <w:tc>
          <w:tcPr>
            <w:tcW w:type="dxa" w:w="31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Practical check</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is the only individually significant predictor in the combined model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N = 102).</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Participation during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employees have a realistic opportunity to ask, practise, and take part, rather than only attend or complete a module.</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preparation before the face-to-face session has the lowest Hybrid Learning item mean (Q6, 3.990; SPSS item N = 103).</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Preparation before trainer-led learning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the timing, clarity, and work relevance of the material sent before a session.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Ten respondents were neutral about the trainer explaining the connection between modes (Q14;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Connection between activities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trainers to show explicitly how the earlier digital task relates to the live discussion or demonstration.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Eleven respondents were neutral about seeking clarification (Q22;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Opportunities for questions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the programme gives employees a suitable way to ask questions in person or through the digital channel.</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Eighty-eight respondents reported that training helped with relevant work tasks or problems (Q29;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Application after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for specific examples of use and identify any support employees still need when they return to work.</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table connects reported patterns with areas worth examining. It does not show that the suggested changes have been tested or would improve training outcomes.</w:t>
      </w:r>
    </w:p>
    <w:p>
      <w:pPr>
        <w:spacing w:after="32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i w:val="false"/>
          <w:iCs w:val="false"/>
        </w:rPr>
        <w:t xml:space="preserve">5.6 Limitations of the Study</w:t>
      </w:r>
      <w:bookmarkEnd w:id="105"/>
    </w:p>
    <w:p>
      <w:pPr>
        <w:spacing w:after="32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32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32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i w:val="false"/>
          <w:iCs w:val="false"/>
        </w:rPr>
        <w:t xml:space="preserve">5.7 Directions for Future Research</w:t>
      </w:r>
      <w:bookmarkEnd w:id="106"/>
    </w:p>
    <w:p>
      <w:pPr>
        <w:spacing w:after="32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32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32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i w:val="false"/>
          <w:iCs w:val="false"/>
        </w:rPr>
        <w:t xml:space="preserve">5.8 Conclusion</w:t>
      </w:r>
      <w:bookmarkEnd w:id="107"/>
    </w:p>
    <w:p>
      <w:pPr>
        <w:spacing w:after="32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R² = .608. The alternative hypothesis is supported for the combined model. Learner Engagement alone has a significant individual coefficient after the other predictors are included.</w:t>
      </w:r>
    </w:p>
    <w:p>
      <w:pPr>
        <w:spacing w:after="32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i w:val="false"/>
          <w:iCs w:val="false"/>
        </w:rPr>
        <w:t xml:space="preserve">REFERENCES</w:t>
      </w:r>
      <w:bookmarkEnd w:id="108"/>
    </w:p>
    <w:p>
      <w:pPr>
        <w:spacing w:after="120" w:line="360" w:lineRule="auto"/>
        <w:ind w:left="720" w:hanging="720"/>
        <w:jc w:val="left"/>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20" w:line="360" w:lineRule="auto"/>
        <w:ind w:left="720" w:hanging="720"/>
        <w:jc w:val="left"/>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20" w:line="360" w:lineRule="auto"/>
        <w:ind w:left="720" w:hanging="720"/>
        <w:jc w:val="left"/>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20" w:line="360" w:lineRule="auto"/>
        <w:ind w:left="720" w:hanging="720"/>
        <w:jc w:val="left"/>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20" w:line="360" w:lineRule="auto"/>
        <w:ind w:left="720" w:hanging="720"/>
        <w:jc w:val="left"/>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20" w:line="360" w:lineRule="auto"/>
        <w:ind w:left="720" w:hanging="720"/>
        <w:jc w:val="left"/>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20" w:line="360" w:lineRule="auto"/>
        <w:ind w:left="720" w:hanging="720"/>
        <w:jc w:val="left"/>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20" w:line="360" w:lineRule="auto"/>
        <w:ind w:left="720" w:hanging="720"/>
        <w:jc w:val="left"/>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20" w:line="360" w:lineRule="auto"/>
        <w:ind w:left="720" w:hanging="720"/>
        <w:jc w:val="left"/>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20" w:line="360" w:lineRule="auto"/>
        <w:ind w:left="720" w:hanging="720"/>
        <w:jc w:val="left"/>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20" w:line="360" w:lineRule="auto"/>
        <w:ind w:left="720" w:hanging="720"/>
        <w:jc w:val="left"/>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20" w:line="360" w:lineRule="auto"/>
        <w:ind w:left="720" w:hanging="720"/>
        <w:jc w:val="left"/>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20" w:line="360" w:lineRule="auto"/>
        <w:ind w:left="720" w:hanging="720"/>
        <w:jc w:val="left"/>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20" w:line="360" w:lineRule="auto"/>
        <w:ind w:left="720" w:hanging="720"/>
        <w:jc w:val="left"/>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20" w:line="360" w:lineRule="auto"/>
        <w:ind w:left="720" w:hanging="720"/>
        <w:jc w:val="left"/>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20" w:line="360" w:lineRule="auto"/>
        <w:ind w:left="720" w:hanging="720"/>
        <w:jc w:val="left"/>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20" w:line="360" w:lineRule="auto"/>
        <w:ind w:left="720" w:hanging="720"/>
        <w:jc w:val="left"/>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20" w:line="360" w:lineRule="auto"/>
        <w:ind w:left="720" w:hanging="720"/>
        <w:jc w:val="left"/>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20" w:line="360" w:lineRule="auto"/>
        <w:ind w:left="720" w:hanging="720"/>
        <w:jc w:val="left"/>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20" w:line="360" w:lineRule="auto"/>
        <w:ind w:left="720" w:hanging="720"/>
        <w:jc w:val="left"/>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20" w:line="360" w:lineRule="auto"/>
        <w:ind w:left="720" w:hanging="720"/>
        <w:jc w:val="left"/>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9" w:id="109"/>
      <w:r>
        <w:rPr>
          <w:rFonts w:ascii="Times New Roman" w:cs="Times New Roman" w:eastAsia="Times New Roman" w:hAnsi="Times New Roman"/>
          <w:b/>
          <w:bCs/>
          <w:i w:val="false"/>
          <w:iCs w:val="false"/>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i w:val="false"/>
          <w:iCs w:val="false"/>
        </w:rPr>
        <w:t xml:space="preserve">Hybrid Learning and Training Effectiveness at Union Bank of India</w:t>
      </w:r>
      <w:bookmarkEnd w:id="110"/>
    </w:p>
    <w:p>
      <w:pPr>
        <w:spacing w:after="32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32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32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i w:val="false"/>
          <w:iCs w:val="false"/>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i w:val="false"/>
          <w:iCs w:val="false"/>
        </w:rPr>
        <w:t xml:space="preserve">Response Scale for Questions 5–30</w:t>
      </w:r>
      <w:bookmarkEnd w:id="112"/>
    </w:p>
    <w:p>
      <w:pPr>
        <w:spacing w:after="32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i w:val="false"/>
          <w:iCs w:val="false"/>
        </w:rPr>
        <w:t xml:space="preserve">Section B — Hybrid Learning</w:t>
      </w:r>
      <w:bookmarkEnd w:id="113"/>
    </w:p>
    <w:p>
      <w:pPr>
        <w:spacing w:after="32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i w:val="false"/>
          <w:iCs w:val="false"/>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i w:val="false"/>
          <w:iCs w:val="false"/>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i w:val="false"/>
          <w:iCs w:val="false"/>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i w:val="false"/>
          <w:iCs w:val="false"/>
        </w:rPr>
        <w:t xml:space="preserve">APPENDIX B — QUESTIONNAIRE DEVELOPMENT AND LITERATURE BASIS</w:t>
      </w:r>
      <w:bookmarkEnd w:id="117"/>
    </w:p>
    <w:p>
      <w:pPr>
        <w:spacing w:after="32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32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200" w:line="276" w:lineRule="auto"/>
        <w:jc w:val="left"/>
      </w:pPr>
      <w:bookmarkStart w:name="tbl_118" w:id="118"/>
      <w:r>
        <w:rPr>
          <w:rFonts w:ascii="Times New Roman" w:cs="Times New Roman" w:eastAsia="Times New Roman" w:hAnsi="Times New Roman"/>
          <w:b/>
          <w:bCs/>
          <w:sz w:val="24"/>
          <w:szCs w:val="24"/>
        </w:rPr>
        <w:t xml:space="preserve">Table B.1: 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2715"/>
        <w:gridCol w:w="3047"/>
      </w:tblGrid>
      <w:tr>
        <w:trPr>
          <w:cantSplit/>
          <w:tblHeader/>
        </w:trPr>
        <w:tc>
          <w:tcPr>
            <w:tcW w:type="dxa" w:w="32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71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04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 — connection between digital and face-to-face parts</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Graham (2006);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respondent experienced one connected programme, rather than two unrelated activities.</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 — digital preparation before a face-to-face session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whether the earlier digital work had a clear preparatory role in the selected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 — clarification and application during face-to-face learning</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trainer-led part helped the employee use or understand what was learned digitally.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 — access to the programme’s digital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Kumar and Pande (2017)</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Union Vidya where used, or another authorised platform used for that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 — ease of navigating the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Focuses on the employee’s ability to use the platform for learning; it is not a technical system audit.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 — availability of digital learning material</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required material was available when the employee needed 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 — access to material for later revision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Mulaudzi (2021)</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whether the employee could return to the digital material after an initial activity.</w:t>
            </w:r>
          </w:p>
        </w:tc>
      </w:tr>
    </w:tbl>
    <w:p>
      <w:pPr>
        <w:spacing w:after="120"/>
      </w:pPr>
    </w:p>
    <w:p>
      <w:pPr>
        <w:keepNext/>
        <w:spacing w:after="120" w:before="200" w:line="276" w:lineRule="auto"/>
        <w:jc w:val="left"/>
      </w:pPr>
      <w:bookmarkStart w:name="tbl_119" w:id="119"/>
      <w:r>
        <w:rPr>
          <w:rFonts w:ascii="Times New Roman" w:cs="Times New Roman" w:eastAsia="Times New Roman" w:hAnsi="Times New Roman"/>
          <w:b/>
          <w:bCs/>
          <w:sz w:val="24"/>
          <w:szCs w:val="24"/>
        </w:rPr>
        <w:t xml:space="preserve">Table B.2: 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2"/>
        <w:gridCol w:w="2374"/>
        <w:gridCol w:w="3380"/>
      </w:tblGrid>
      <w:tr>
        <w:trPr>
          <w:cantSplit/>
          <w:tblHeader/>
        </w:trPr>
        <w:tc>
          <w:tcPr>
            <w:tcW w:type="dxa" w:w="32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3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38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 — trainer’s subject knowledge</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trainer’s command of the topic in the selected programme.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 — clarity of explanation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Separates understandable explanation from simply making content available.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 — explanation of the connection between modes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 helped employees see how digital and face-to-face activities fitted together.</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 — effective use of digital tools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Concerns the trainer’s use of tools during learning, not the platform’s technical performance.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 — encouragement of questions and participation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support offered by the trainer, separately from whether the employee participated.</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 — useful feedback</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feedback helped the employee understand or improve learning.</w:t>
            </w:r>
          </w:p>
        </w:tc>
      </w:tr>
    </w:tbl>
    <w:p>
      <w:pPr>
        <w:spacing w:after="120"/>
      </w:pPr>
    </w:p>
    <w:p>
      <w:pPr>
        <w:keepNext/>
        <w:spacing w:after="120" w:before="200" w:line="276" w:lineRule="auto"/>
        <w:jc w:val="left"/>
      </w:pPr>
      <w:bookmarkStart w:name="tbl_120" w:id="120"/>
      <w:r>
        <w:rPr>
          <w:rFonts w:ascii="Times New Roman" w:cs="Times New Roman" w:eastAsia="Times New Roman" w:hAnsi="Times New Roman"/>
          <w:b/>
          <w:bCs/>
          <w:sz w:val="24"/>
          <w:szCs w:val="24"/>
        </w:rPr>
        <w:t xml:space="preserve">Table B.3: 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4"/>
        <w:gridCol w:w="2867"/>
        <w:gridCol w:w="3185"/>
      </w:tblGrid>
      <w:tr>
        <w:trPr>
          <w:cantSplit/>
          <w:tblHeader/>
        </w:trPr>
        <w:tc>
          <w:tcPr>
            <w:tcW w:type="dxa" w:w="29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86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18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 — attention during training</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Applies the general idea of active involvement to one selected training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 — effort to understand</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employee’s own effort rather than trainer behaviour or attendance.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 — active participation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discussions, exercises, or other activities available in the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 — involvement beyond required completion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Distinguishes feeling involved from merely finishing a required activity.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 — seeking clarification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acted when something was not understood.</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 — interest in completing the programme</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Keeps interest tied to the selected programme, not general work engagement.</w:t>
            </w:r>
          </w:p>
        </w:tc>
      </w:tr>
    </w:tbl>
    <w:p>
      <w:pPr>
        <w:spacing w:after="120"/>
      </w:pPr>
    </w:p>
    <w:p>
      <w:pPr>
        <w:keepNext/>
        <w:spacing w:after="120" w:before="200" w:line="276" w:lineRule="auto"/>
        <w:jc w:val="left"/>
      </w:pPr>
      <w:bookmarkStart w:name="tbl_121" w:id="121"/>
      <w:r>
        <w:rPr>
          <w:rFonts w:ascii="Times New Roman" w:cs="Times New Roman" w:eastAsia="Times New Roman" w:hAnsi="Times New Roman"/>
          <w:b/>
          <w:bCs/>
          <w:sz w:val="24"/>
          <w:szCs w:val="24"/>
        </w:rPr>
        <w:t xml:space="preserve">Table B.4: 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3"/>
        <w:gridCol w:w="2669"/>
        <w:gridCol w:w="3224"/>
      </w:tblGrid>
      <w:tr>
        <w:trPr>
          <w:cantSplit/>
          <w:tblHeader/>
        </w:trPr>
        <w:tc>
          <w:tcPr>
            <w:tcW w:type="dxa" w:w="313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66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2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 — understanding the main knowledge or skills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Kirkpatrick (1994); 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employee-reported learning rather than satisfaction with attending.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 — usefulness for the current role</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Connects what was learned to the respondent’s present responsibilities.</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 — relevance of content to Bank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Places perceived training relevance in an employee and banking context; Bahl supports the context, not this exact item.</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 — perceived capability to use learning</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feels capable of using the material, without claiming observed performance.</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 — reported application in day-to-day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Baldwin and Ford (1988); Blume et al. (2010);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the employee’s account of application, not independently verified transfer.</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 — support for work tasks or problems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 Blume et al. (2010)</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Links reported learning to relevant tasks; the banking paper supports evaluation in this setting rather than the exact wording.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 — confidence in relevant responsibilities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perceived confidence after the programme, not a measured change in job performance.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e9321dbcd6ef88ea92b79aeb5bbaacab604cc.png"/><Relationship Id="rId9" Type="http://schemas.openxmlformats.org/officeDocument/2006/relationships/image" Target="media/a507be80390cd96beffe20e690fd58e17ee4b05a.png"/><Relationship Id="rId10" Type="http://schemas.openxmlformats.org/officeDocument/2006/relationships/image" Target="media/355ba6000700e509b973076900b3ae979f0ae3dc.png"/><Relationship Id="rId11" Type="http://schemas.openxmlformats.org/officeDocument/2006/relationships/image" Target="media/1755aada6795acdaddbdf999b1f7b5438003e83a.png"/><Relationship Id="rId12" Type="http://schemas.openxmlformats.org/officeDocument/2006/relationships/image" Target="media/38fa02281a6b318f9dc219cfd1786beb64477806.png"/><Relationship Id="rId13" Type="http://schemas.openxmlformats.org/officeDocument/2006/relationships/image" Target="media/618172bc73c7cefd89743e53a0e7e7347f1e0d09.png"/><Relationship Id="rId14" Type="http://schemas.openxmlformats.org/officeDocument/2006/relationships/image" Target="media/062f4ecf98cf6947bf0ec9fb6854a564a5bb4e0c.png"/><Relationship Id="rId15" Type="http://schemas.openxmlformats.org/officeDocument/2006/relationships/image" Target="media/d37a0876d21ba6fb94c222fa203db0875ad90333.png"/><Relationship Id="rId16" Type="http://schemas.openxmlformats.org/officeDocument/2006/relationships/image" Target="media/6712b9ca8125d571f58bf9177e12e4c6029740a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2026-10-09T16:54:03.811Z</dcterms:created>
  <dcterms:modified xsi:type="dcterms:W3CDTF">2026-10-09T16:54:03.813Z</dcterms:modified>
</cp:coreProperties>
</file>

<file path=docProps/custom.xml><?xml version="1.0" encoding="utf-8"?>
<Properties xmlns="http://schemas.openxmlformats.org/officeDocument/2006/custom-properties" xmlns:vt="http://schemas.openxmlformats.org/officeDocument/2006/docPropsVTypes"/>
</file>