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Effectiveness of Blended Learning in a Public Sector Bank</w:t>
      </w:r>
    </w:p>
    <w:p>
      <w:pPr>
        <w:jc w:val="center"/>
      </w:pPr>
      <w:r>
        <w:rPr>
          <w:b/>
        </w:rPr>
        <w:t>A Study of Employees of Union Bank of India</w:t>
      </w:r>
    </w:p>
    <w:p>
      <w:r>
        <w:br/>
        <w:br/>
      </w:r>
    </w:p>
    <w:p>
      <w:pPr>
        <w:jc w:val="center"/>
      </w:pPr>
      <w:r>
        <w:t>Submitted by  [Student Name]</w:t>
      </w:r>
    </w:p>
    <w:p>
      <w:pPr>
        <w:jc w:val="center"/>
      </w:pPr>
      <w:r>
        <w:t>Enrollment Number  [Number]</w:t>
      </w:r>
    </w:p>
    <w:p>
      <w:pPr>
        <w:jc w:val="center"/>
      </w:pPr>
      <w:r>
        <w:t>Programme  [MBA Programme Name]</w:t>
      </w:r>
    </w:p>
    <w:p>
      <w:pPr>
        <w:jc w:val="center"/>
      </w:pPr>
      <w:r>
        <w:t>Institution  [University or Institute]</w:t>
      </w:r>
    </w:p>
    <w:p>
      <w:pPr>
        <w:jc w:val="center"/>
      </w:pPr>
      <w:r>
        <w:t>Under the Guidance of  [Guide Name]</w:t>
      </w:r>
    </w:p>
    <w:p>
      <w:pPr>
        <w:jc w:val="center"/>
      </w:pPr>
      <w:r>
        <w:t>Academic Year  [Year]</w:t>
      </w:r>
    </w:p>
    <w:p>
      <w:r>
        <w:br/>
      </w:r>
    </w:p>
    <w:p>
      <w:pPr>
        <w:jc w:val="center"/>
      </w:pPr>
      <w:r>
        <w:rPr>
          <w:i/>
        </w:rPr>
        <w:t>Editable academic project report</w:t>
      </w:r>
    </w:p>
    <w:p>
      <w:r>
        <w:br w:type="page"/>
      </w:r>
    </w:p>
    <w:p>
      <w:pPr>
        <w:pStyle w:val="Heading1"/>
      </w:pPr>
      <w:r>
        <w:t>Certificate</w:t>
      </w:r>
    </w:p>
    <w:p>
      <w:r>
        <w:t>This is to certify that the project report titled “Effectiveness of Blended Learning in a Public Sector Bank: A Study of Employees of Union Bank of India” is a bona fide work carried out by [Student Name], Enrollment Number [Number], under my supervision and guidance in partial fulfilment of the requirements of [Programme and University].</w:t>
      </w:r>
    </w:p>
    <w:p>
      <w:r>
        <w:t>To the best of my knowledge, the work presented in this report is original in its organization and has not been submitted elsewhere for the award of any degree or diploma. The empirical analysis chapter is designed as a results template and must be completed only after collection and validation of actual employee responses.</w:t>
      </w:r>
    </w:p>
    <w:p>
      <w:r>
        <w:br/>
        <w:br/>
        <w:t>Guide Signature: ____________________</w:t>
        <w:br/>
        <w:t>Name: [Guide Name]</w:t>
        <w:br/>
        <w:t>Designation: [Designation]</w:t>
        <w:br/>
        <w:t>Date: [Date]</w:t>
        <w:br/>
        <w:t>Place: [Place]</w:t>
      </w:r>
    </w:p>
    <w:p>
      <w:r>
        <w:br w:type="page"/>
      </w:r>
    </w:p>
    <w:p>
      <w:pPr>
        <w:pStyle w:val="Heading1"/>
      </w:pPr>
      <w:r>
        <w:t>Declaration</w:t>
      </w:r>
    </w:p>
    <w:p>
      <w:r>
        <w:t>I declare that this project report has been prepared by me for academic purposes under the guidance of [Guide Name]. The ideas, evidence and published material used in the report have been acknowledged in the references. No survey results, respondent statistics or hypothesis decisions have been fabricated.</w:t>
      </w:r>
    </w:p>
    <w:p>
      <w:r>
        <w:t>The tables in the analysis chapter are intentionally blank templates. They are to be populated from verified primary data collected through the questionnaire included in Appendix A. Any subsequent interpretation must be based on the final dataset and the statistical procedures stated in the methodology chapter.</w:t>
      </w:r>
    </w:p>
    <w:p>
      <w:r>
        <w:br/>
        <w:br/>
        <w:t>Student Signature: ____________________</w:t>
        <w:br/>
        <w:t>Name: [Student Name]</w:t>
        <w:br/>
        <w:t>Enrollment Number: [Number]</w:t>
        <w:br/>
        <w:t>Date: [Date]</w:t>
        <w:br/>
        <w:t>Place: [Place]</w:t>
      </w:r>
    </w:p>
    <w:p>
      <w:r>
        <w:br w:type="page"/>
      </w:r>
    </w:p>
    <w:p>
      <w:pPr>
        <w:pStyle w:val="Heading1"/>
      </w:pPr>
      <w:r>
        <w:t>Acknowledgement</w:t>
      </w:r>
    </w:p>
    <w:p>
      <w:r>
        <w:t>I express my sincere gratitude to [Guide Name] for guidance, critical observations and encouragement throughout this study. I also acknowledge the academic support of [Institution Name] and the conceptual contribution of scholars whose work on blended learning, adult learning, technology acceptance and training evaluation informed this report.</w:t>
      </w:r>
    </w:p>
    <w:p>
      <w:r>
        <w:t>I am grateful to the employees and officials of Union Bank of India who may participate in the survey. Their perspectives are central to understanding whether blended learning is accessible, relevant and transferable to banking work. I also acknowledge the public information made available by Union Bank of India, the Reserve Bank of India, the Department of Financial Services and the University Grants Commission.</w:t>
      </w:r>
    </w:p>
    <w:p>
      <w:r>
        <w:t>Finally, I thank my family, colleagues and well-wishers for their support during the preparation of this project.</w:t>
      </w:r>
    </w:p>
    <w:p>
      <w:r>
        <w:br w:type="page"/>
      </w:r>
    </w:p>
    <w:p>
      <w:pPr>
        <w:pStyle w:val="Heading1"/>
      </w:pPr>
      <w:r>
        <w:t>Executive Summary</w:t>
      </w:r>
    </w:p>
    <w:p>
      <w:r>
        <w:t>This report develops an empirical framework to examine the effectiveness of blended learning among employees of Union Bank of India. Blended learning is treated as the purposeful integration of online and face-to-face learning rather than the mere coexistence of two delivery channels. The study is motivated by the continuous need for regulatory, credit, risk, technology, customer-service and leadership capability in a geographically dispersed public sector bank.</w:t>
      </w:r>
    </w:p>
    <w:p>
      <w:r>
        <w:t>The proposed model contains four independent variables: institutional and technological support, faculty and trainer effectiveness, learner readiness and participation, and pedagogical design and integration. The dependent variable is blended-learning effectiveness, expressed through understanding, job-relevant skill development, workplace application, retention, motivation, satisfaction and flexibility.</w:t>
      </w:r>
    </w:p>
    <w:p>
      <w:r>
        <w:t>A structured 30-item questionnaire is proposed, including five profile questions, 17 predictor items and eight outcome items. The methodology recommends stratified sampling across cadre, function, geography and training exposure. Reliability should be assessed through Cronbach’s alpha; construct validity through exploratory factor analysis where sample size permits; and hypotheses through correlation and multiple regression. No numerical results are asserted in this version.</w:t>
      </w:r>
    </w:p>
    <w:p>
      <w:r>
        <w:t>The report concludes that effectiveness should be judged by transfer to work, not course completion alone. It recommends protected learning time, role-based learning paths, trainer preparation, structured pre- and post-class activities, accessible technology, manager reinforcement and an evidence dashboard connecting learning indicators with workplace outcomes.</w:t>
      </w:r>
    </w:p>
    <w:p>
      <w:r>
        <w:br w:type="page"/>
      </w:r>
    </w:p>
    <w:p>
      <w:pPr>
        <w:pStyle w:val="Heading1"/>
      </w:pPr>
      <w:r>
        <w:t>Abstract</w:t>
      </w:r>
    </w:p>
    <w:p>
      <w:r>
        <w:t>Public sector banks operate in an environment of rapid digitisation, regulatory change, cyber risk, evolving credit practices and rising customer expectations. Their employees therefore require learning that is continuous, scalable and connected to workplace decisions. This study proposes to evaluate the effectiveness of blended learning among employees of Union Bank of India.</w:t>
      </w:r>
    </w:p>
    <w:p>
      <w:r>
        <w:t>A quantitative, cross-sectional design is proposed. The conceptual model draws on adult learning, experiential learning, technology acceptance, social constructivism, communities of inquiry and training-transfer theory. Institutional support, trainer effectiveness, learner readiness and pedagogical integration are specified as independent variables; overall learning effectiveness is the dependent variable. Data will be collected through a five-point Likert questionnaire and analysed using descriptive statistics, reliability analysis, factor analysis, correlation and multiple regression.</w:t>
      </w:r>
    </w:p>
    <w:p>
      <w:r>
        <w:t>The report does not present invented findings. Instead, it supplies a reproducible analysis protocol and blank reporting tables for actual data. The study is expected to help the Bank identify which features of blended learning most strongly support understanding, skill development, knowledge retention, motivation, flexibility and workplace application.</w:t>
      </w:r>
    </w:p>
    <w:p>
      <w:r>
        <w:rPr>
          <w:b/>
        </w:rPr>
        <w:t xml:space="preserve">Keywords: </w:t>
      </w:r>
      <w:r>
        <w:t>blended learning, public sector bank, Union Bank of India, employee training, learning effectiveness, technology-mediated learning, training transfer</w:t>
      </w:r>
    </w:p>
    <w:p>
      <w:r>
        <w:br w:type="page"/>
      </w:r>
    </w:p>
    <w:p>
      <w:pPr>
        <w:pStyle w:val="Heading1"/>
      </w:pPr>
      <w:r>
        <w:t>Table of Contents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0"/>
        <w:gridCol w:w="1440"/>
      </w:tblGrid>
      <w:tr>
        <w:tc>
          <w:tcPr>
            <w:tcW w:type="dxa" w:w="5011"/>
            <w:vAlign w:val="center"/>
            <w:shd w:fill="1F4E78"/>
          </w:tcPr>
          <w:p>
            <w:pPr>
              <w:spacing w:after="40" w:before="40"/>
              <w:jc w:val="center"/>
            </w:pPr>
            <w:r>
              <w:rPr>
                <w:b/>
                <w:color w:val="FFFFFF"/>
                <w:sz w:val="17"/>
              </w:rPr>
              <w:t>Section</w:t>
            </w:r>
          </w:p>
        </w:tc>
        <w:tc>
          <w:tcPr>
            <w:tcW w:type="dxa" w:w="5011"/>
            <w:vAlign w:val="center"/>
            <w:shd w:fill="1F4E78"/>
          </w:tcPr>
          <w:p>
            <w:pPr>
              <w:spacing w:after="40" w:before="40"/>
              <w:jc w:val="center"/>
            </w:pPr>
            <w:r>
              <w:rPr>
                <w:b/>
                <w:color w:val="FFFFFF"/>
                <w:sz w:val="17"/>
              </w:rPr>
              <w:t>Page</w:t>
            </w:r>
          </w:p>
        </w:tc>
      </w:tr>
      <w:tr>
        <w:tc>
          <w:tcPr>
            <w:tcW w:type="dxa" w:w="7920"/>
            <w:vAlign w:val="center"/>
          </w:tcPr>
          <w:p>
            <w:pPr>
              <w:spacing w:after="40" w:before="40"/>
            </w:pPr>
            <w:r>
              <w:t>Preliminary pages</w:t>
            </w:r>
          </w:p>
        </w:tc>
        <w:tc>
          <w:tcPr>
            <w:tcW w:type="dxa" w:w="1440"/>
            <w:vAlign w:val="center"/>
          </w:tcPr>
          <w:p>
            <w:pPr>
              <w:spacing w:after="40" w:before="40"/>
            </w:pPr>
            <w:r>
              <w:t>1-10</w:t>
            </w:r>
          </w:p>
        </w:tc>
      </w:tr>
      <w:tr>
        <w:tc>
          <w:tcPr>
            <w:tcW w:type="dxa" w:w="7920"/>
            <w:vAlign w:val="center"/>
            <w:shd w:fill="F2F6FA"/>
          </w:tcPr>
          <w:p>
            <w:pPr>
              <w:spacing w:after="40" w:before="40"/>
            </w:pPr>
            <w:r>
              <w:t>Chapter 1  Introduction</w:t>
            </w:r>
          </w:p>
        </w:tc>
        <w:tc>
          <w:tcPr>
            <w:tcW w:type="dxa" w:w="1440"/>
            <w:vAlign w:val="center"/>
            <w:shd w:fill="F2F6FA"/>
          </w:tcPr>
          <w:p>
            <w:pPr>
              <w:spacing w:after="40" w:before="40"/>
            </w:pPr>
            <w:r>
              <w:t>11-22</w:t>
            </w:r>
          </w:p>
        </w:tc>
      </w:tr>
      <w:tr>
        <w:tc>
          <w:tcPr>
            <w:tcW w:type="dxa" w:w="7920"/>
            <w:vAlign w:val="center"/>
          </w:tcPr>
          <w:p>
            <w:pPr>
              <w:spacing w:after="40" w:before="40"/>
            </w:pPr>
            <w:r>
              <w:t>Chapter 2  Review of Literature</w:t>
            </w:r>
          </w:p>
        </w:tc>
        <w:tc>
          <w:tcPr>
            <w:tcW w:type="dxa" w:w="1440"/>
            <w:vAlign w:val="center"/>
          </w:tcPr>
          <w:p>
            <w:pPr>
              <w:spacing w:after="40" w:before="40"/>
            </w:pPr>
            <w:r>
              <w:t>23-45</w:t>
            </w:r>
          </w:p>
        </w:tc>
      </w:tr>
      <w:tr>
        <w:tc>
          <w:tcPr>
            <w:tcW w:type="dxa" w:w="7920"/>
            <w:vAlign w:val="center"/>
            <w:shd w:fill="F2F6FA"/>
          </w:tcPr>
          <w:p>
            <w:pPr>
              <w:spacing w:after="40" w:before="40"/>
            </w:pPr>
            <w:r>
              <w:t>Chapter 3  Organisation and Study Context</w:t>
            </w:r>
          </w:p>
        </w:tc>
        <w:tc>
          <w:tcPr>
            <w:tcW w:type="dxa" w:w="1440"/>
            <w:vAlign w:val="center"/>
            <w:shd w:fill="F2F6FA"/>
          </w:tcPr>
          <w:p>
            <w:pPr>
              <w:spacing w:after="40" w:before="40"/>
            </w:pPr>
            <w:r>
              <w:t>46-55</w:t>
            </w:r>
          </w:p>
        </w:tc>
      </w:tr>
      <w:tr>
        <w:tc>
          <w:tcPr>
            <w:tcW w:type="dxa" w:w="7920"/>
            <w:vAlign w:val="center"/>
          </w:tcPr>
          <w:p>
            <w:pPr>
              <w:spacing w:after="40" w:before="40"/>
            </w:pPr>
            <w:r>
              <w:t>Chapter 4  Research Methodology</w:t>
            </w:r>
          </w:p>
        </w:tc>
        <w:tc>
          <w:tcPr>
            <w:tcW w:type="dxa" w:w="1440"/>
            <w:vAlign w:val="center"/>
          </w:tcPr>
          <w:p>
            <w:pPr>
              <w:spacing w:after="40" w:before="40"/>
            </w:pPr>
            <w:r>
              <w:t>56-70</w:t>
            </w:r>
          </w:p>
        </w:tc>
      </w:tr>
      <w:tr>
        <w:tc>
          <w:tcPr>
            <w:tcW w:type="dxa" w:w="7920"/>
            <w:vAlign w:val="center"/>
            <w:shd w:fill="F2F6FA"/>
          </w:tcPr>
          <w:p>
            <w:pPr>
              <w:spacing w:after="40" w:before="40"/>
            </w:pPr>
            <w:r>
              <w:t>Chapter 5  Analysis and Interpretation Templates</w:t>
            </w:r>
          </w:p>
        </w:tc>
        <w:tc>
          <w:tcPr>
            <w:tcW w:type="dxa" w:w="1440"/>
            <w:vAlign w:val="center"/>
            <w:shd w:fill="F2F6FA"/>
          </w:tcPr>
          <w:p>
            <w:pPr>
              <w:spacing w:after="40" w:before="40"/>
            </w:pPr>
            <w:r>
              <w:t>71-84</w:t>
            </w:r>
          </w:p>
        </w:tc>
      </w:tr>
      <w:tr>
        <w:tc>
          <w:tcPr>
            <w:tcW w:type="dxa" w:w="7920"/>
            <w:vAlign w:val="center"/>
          </w:tcPr>
          <w:p>
            <w:pPr>
              <w:spacing w:after="40" w:before="40"/>
            </w:pPr>
            <w:r>
              <w:t>Chapter 6  Recommendations and Implementation</w:t>
            </w:r>
          </w:p>
        </w:tc>
        <w:tc>
          <w:tcPr>
            <w:tcW w:type="dxa" w:w="1440"/>
            <w:vAlign w:val="center"/>
          </w:tcPr>
          <w:p>
            <w:pPr>
              <w:spacing w:after="40" w:before="40"/>
            </w:pPr>
            <w:r>
              <w:t>85-91</w:t>
            </w:r>
          </w:p>
        </w:tc>
      </w:tr>
      <w:tr>
        <w:tc>
          <w:tcPr>
            <w:tcW w:type="dxa" w:w="7920"/>
            <w:vAlign w:val="center"/>
            <w:shd w:fill="F2F6FA"/>
          </w:tcPr>
          <w:p>
            <w:pPr>
              <w:spacing w:after="40" w:before="40"/>
            </w:pPr>
            <w:r>
              <w:t>Chapter 7  Conclusion</w:t>
            </w:r>
          </w:p>
        </w:tc>
        <w:tc>
          <w:tcPr>
            <w:tcW w:type="dxa" w:w="1440"/>
            <w:vAlign w:val="center"/>
            <w:shd w:fill="F2F6FA"/>
          </w:tcPr>
          <w:p>
            <w:pPr>
              <w:spacing w:after="40" w:before="40"/>
            </w:pPr>
            <w:r>
              <w:t>92-94</w:t>
            </w:r>
          </w:p>
        </w:tc>
      </w:tr>
      <w:tr>
        <w:tc>
          <w:tcPr>
            <w:tcW w:type="dxa" w:w="7920"/>
            <w:vAlign w:val="center"/>
          </w:tcPr>
          <w:p>
            <w:pPr>
              <w:spacing w:after="40" w:before="40"/>
            </w:pPr>
            <w:r>
              <w:t>References</w:t>
            </w:r>
          </w:p>
        </w:tc>
        <w:tc>
          <w:tcPr>
            <w:tcW w:type="dxa" w:w="1440"/>
            <w:vAlign w:val="center"/>
          </w:tcPr>
          <w:p>
            <w:pPr>
              <w:spacing w:after="40" w:before="40"/>
            </w:pPr>
            <w:r>
              <w:t>95-97</w:t>
            </w:r>
          </w:p>
        </w:tc>
      </w:tr>
      <w:tr>
        <w:tc>
          <w:tcPr>
            <w:tcW w:type="dxa" w:w="7920"/>
            <w:vAlign w:val="center"/>
            <w:shd w:fill="F2F6FA"/>
          </w:tcPr>
          <w:p>
            <w:pPr>
              <w:spacing w:after="40" w:before="40"/>
            </w:pPr>
            <w:r>
              <w:t>Appendices</w:t>
            </w:r>
          </w:p>
        </w:tc>
        <w:tc>
          <w:tcPr>
            <w:tcW w:type="dxa" w:w="1440"/>
            <w:vAlign w:val="center"/>
            <w:shd w:fill="F2F6FA"/>
          </w:tcPr>
          <w:p>
            <w:pPr>
              <w:spacing w:after="40" w:before="40"/>
            </w:pPr>
            <w:r>
              <w:t>98-100</w:t>
            </w:r>
          </w:p>
        </w:tc>
      </w:tr>
    </w:tbl>
    <w:p>
      <w:r>
        <w:t>Page numbers are fixed for this prepared 100-page version. If the report is materially edited, update this page to reflect any pagination changes.</w:t>
      </w:r>
    </w:p>
    <w:p>
      <w:r>
        <w:br w:type="page"/>
      </w:r>
    </w:p>
    <w:p>
      <w:pPr>
        <w:pStyle w:val="Heading1"/>
      </w:pPr>
      <w:r>
        <w:t>List of Tables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7632"/>
      </w:tblGrid>
      <w:tr>
        <w:tc>
          <w:tcPr>
            <w:tcW w:type="dxa" w:w="5011"/>
            <w:vAlign w:val="center"/>
            <w:shd w:fill="1F4E78"/>
          </w:tcPr>
          <w:p>
            <w:pPr>
              <w:spacing w:after="40" w:before="40"/>
              <w:jc w:val="center"/>
            </w:pPr>
            <w:r>
              <w:rPr>
                <w:b/>
                <w:color w:val="FFFFFF"/>
                <w:sz w:val="17"/>
              </w:rPr>
              <w:t>Table</w:t>
            </w:r>
          </w:p>
        </w:tc>
        <w:tc>
          <w:tcPr>
            <w:tcW w:type="dxa" w:w="5011"/>
            <w:vAlign w:val="center"/>
            <w:shd w:fill="1F4E78"/>
          </w:tcPr>
          <w:p>
            <w:pPr>
              <w:spacing w:after="40" w:before="40"/>
              <w:jc w:val="center"/>
            </w:pPr>
            <w:r>
              <w:rPr>
                <w:b/>
                <w:color w:val="FFFFFF"/>
                <w:sz w:val="17"/>
              </w:rPr>
              <w:t>Description</w:t>
            </w:r>
          </w:p>
        </w:tc>
      </w:tr>
      <w:tr>
        <w:tc>
          <w:tcPr>
            <w:tcW w:type="dxa" w:w="1728"/>
            <w:vAlign w:val="center"/>
          </w:tcPr>
          <w:p>
            <w:pPr>
              <w:spacing w:after="40" w:before="40"/>
            </w:pPr>
            <w:r>
              <w:t>1.1</w:t>
            </w:r>
          </w:p>
        </w:tc>
        <w:tc>
          <w:tcPr>
            <w:tcW w:type="dxa" w:w="7632"/>
            <w:vAlign w:val="center"/>
          </w:tcPr>
          <w:p>
            <w:pPr>
              <w:spacing w:after="40" w:before="40"/>
            </w:pPr>
            <w:r>
              <w:t>Study variables and operational meaning</w:t>
            </w:r>
          </w:p>
        </w:tc>
      </w:tr>
      <w:tr>
        <w:tc>
          <w:tcPr>
            <w:tcW w:type="dxa" w:w="1728"/>
            <w:vAlign w:val="center"/>
            <w:shd w:fill="F2F6FA"/>
          </w:tcPr>
          <w:p>
            <w:pPr>
              <w:spacing w:after="40" w:before="40"/>
            </w:pPr>
            <w:r>
              <w:t>2.1</w:t>
            </w:r>
          </w:p>
        </w:tc>
        <w:tc>
          <w:tcPr>
            <w:tcW w:type="dxa" w:w="7632"/>
            <w:vAlign w:val="center"/>
            <w:shd w:fill="F2F6FA"/>
          </w:tcPr>
          <w:p>
            <w:pPr>
              <w:spacing w:after="40" w:before="40"/>
            </w:pPr>
            <w:r>
              <w:t>Theoretical foundations</w:t>
            </w:r>
          </w:p>
        </w:tc>
      </w:tr>
      <w:tr>
        <w:tc>
          <w:tcPr>
            <w:tcW w:type="dxa" w:w="1728"/>
            <w:vAlign w:val="center"/>
          </w:tcPr>
          <w:p>
            <w:pPr>
              <w:spacing w:after="40" w:before="40"/>
            </w:pPr>
            <w:r>
              <w:t>2.2</w:t>
            </w:r>
          </w:p>
        </w:tc>
        <w:tc>
          <w:tcPr>
            <w:tcW w:type="dxa" w:w="7632"/>
            <w:vAlign w:val="center"/>
          </w:tcPr>
          <w:p>
            <w:pPr>
              <w:spacing w:after="40" w:before="40"/>
            </w:pPr>
            <w:r>
              <w:t>Selected literature and implications</w:t>
            </w:r>
          </w:p>
        </w:tc>
      </w:tr>
      <w:tr>
        <w:tc>
          <w:tcPr>
            <w:tcW w:type="dxa" w:w="1728"/>
            <w:vAlign w:val="center"/>
            <w:shd w:fill="F2F6FA"/>
          </w:tcPr>
          <w:p>
            <w:pPr>
              <w:spacing w:after="40" w:before="40"/>
            </w:pPr>
            <w:r>
              <w:t>3.1</w:t>
            </w:r>
          </w:p>
        </w:tc>
        <w:tc>
          <w:tcPr>
            <w:tcW w:type="dxa" w:w="7632"/>
            <w:vAlign w:val="center"/>
            <w:shd w:fill="F2F6FA"/>
          </w:tcPr>
          <w:p>
            <w:pPr>
              <w:spacing w:after="40" w:before="40"/>
            </w:pPr>
            <w:r>
              <w:t>Banking learning needs by domain</w:t>
            </w:r>
          </w:p>
        </w:tc>
      </w:tr>
      <w:tr>
        <w:tc>
          <w:tcPr>
            <w:tcW w:type="dxa" w:w="1728"/>
            <w:vAlign w:val="center"/>
          </w:tcPr>
          <w:p>
            <w:pPr>
              <w:spacing w:after="40" w:before="40"/>
            </w:pPr>
            <w:r>
              <w:t>4.1</w:t>
            </w:r>
          </w:p>
        </w:tc>
        <w:tc>
          <w:tcPr>
            <w:tcW w:type="dxa" w:w="7632"/>
            <w:vAlign w:val="center"/>
          </w:tcPr>
          <w:p>
            <w:pPr>
              <w:spacing w:after="40" w:before="40"/>
            </w:pPr>
            <w:r>
              <w:t>Questionnaire structure</w:t>
            </w:r>
          </w:p>
        </w:tc>
      </w:tr>
      <w:tr>
        <w:tc>
          <w:tcPr>
            <w:tcW w:type="dxa" w:w="1728"/>
            <w:vAlign w:val="center"/>
            <w:shd w:fill="F2F6FA"/>
          </w:tcPr>
          <w:p>
            <w:pPr>
              <w:spacing w:after="40" w:before="40"/>
            </w:pPr>
            <w:r>
              <w:t>4.2</w:t>
            </w:r>
          </w:p>
        </w:tc>
        <w:tc>
          <w:tcPr>
            <w:tcW w:type="dxa" w:w="7632"/>
            <w:vAlign w:val="center"/>
            <w:shd w:fill="F2F6FA"/>
          </w:tcPr>
          <w:p>
            <w:pPr>
              <w:spacing w:after="40" w:before="40"/>
            </w:pPr>
            <w:r>
              <w:t>Hypotheses and proposed tests</w:t>
            </w:r>
          </w:p>
        </w:tc>
      </w:tr>
      <w:tr>
        <w:tc>
          <w:tcPr>
            <w:tcW w:type="dxa" w:w="1728"/>
            <w:vAlign w:val="center"/>
          </w:tcPr>
          <w:p>
            <w:pPr>
              <w:spacing w:after="40" w:before="40"/>
            </w:pPr>
            <w:r>
              <w:t>5.1-5.14</w:t>
            </w:r>
          </w:p>
        </w:tc>
        <w:tc>
          <w:tcPr>
            <w:tcW w:type="dxa" w:w="7632"/>
            <w:vAlign w:val="center"/>
          </w:tcPr>
          <w:p>
            <w:pPr>
              <w:spacing w:after="40" w:before="40"/>
            </w:pPr>
            <w:r>
              <w:t>Blank analysis and interpretation templates</w:t>
            </w:r>
          </w:p>
        </w:tc>
      </w:tr>
      <w:tr>
        <w:tc>
          <w:tcPr>
            <w:tcW w:type="dxa" w:w="1728"/>
            <w:vAlign w:val="center"/>
            <w:shd w:fill="F2F6FA"/>
          </w:tcPr>
          <w:p>
            <w:pPr>
              <w:spacing w:after="40" w:before="40"/>
            </w:pPr>
            <w:r>
              <w:t>6.1</w:t>
            </w:r>
          </w:p>
        </w:tc>
        <w:tc>
          <w:tcPr>
            <w:tcW w:type="dxa" w:w="7632"/>
            <w:vAlign w:val="center"/>
            <w:shd w:fill="F2F6FA"/>
          </w:tcPr>
          <w:p>
            <w:pPr>
              <w:spacing w:after="40" w:before="40"/>
            </w:pPr>
            <w:r>
              <w:t>Implementation roadmap</w:t>
            </w:r>
          </w:p>
        </w:tc>
      </w:tr>
      <w:tr>
        <w:tc>
          <w:tcPr>
            <w:tcW w:type="dxa" w:w="1728"/>
            <w:vAlign w:val="center"/>
          </w:tcPr>
          <w:p>
            <w:pPr>
              <w:spacing w:after="40" w:before="40"/>
            </w:pPr>
            <w:r>
              <w:t>A.1</w:t>
            </w:r>
          </w:p>
        </w:tc>
        <w:tc>
          <w:tcPr>
            <w:tcW w:type="dxa" w:w="7632"/>
            <w:vAlign w:val="center"/>
          </w:tcPr>
          <w:p>
            <w:pPr>
              <w:spacing w:after="40" w:before="40"/>
            </w:pPr>
            <w:r>
              <w:t>Questionnaire items and scale</w:t>
            </w:r>
          </w:p>
        </w:tc>
      </w:tr>
    </w:tbl>
    <w:p>
      <w:r>
        <w:t>All tables in Chapter 5 are templates. Values and interpretations must be inserted only after the final dataset has been cleaned and analysed.</w:t>
      </w:r>
    </w:p>
    <w:p>
      <w:r>
        <w:br w:type="page"/>
      </w:r>
    </w:p>
    <w:p>
      <w:pPr>
        <w:pStyle w:val="Heading1"/>
      </w:pPr>
      <w:r>
        <w:t>List of Abbreviations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7488"/>
      </w:tblGrid>
      <w:tr>
        <w:tc>
          <w:tcPr>
            <w:tcW w:type="dxa" w:w="5011"/>
            <w:vAlign w:val="center"/>
            <w:shd w:fill="1F4E78"/>
          </w:tcPr>
          <w:p>
            <w:pPr>
              <w:spacing w:after="40" w:before="40"/>
              <w:jc w:val="center"/>
            </w:pPr>
            <w:r>
              <w:rPr>
                <w:b/>
                <w:color w:val="FFFFFF"/>
                <w:sz w:val="17"/>
              </w:rPr>
              <w:t>Abbreviation</w:t>
            </w:r>
          </w:p>
        </w:tc>
        <w:tc>
          <w:tcPr>
            <w:tcW w:type="dxa" w:w="5011"/>
            <w:vAlign w:val="center"/>
            <w:shd w:fill="1F4E78"/>
          </w:tcPr>
          <w:p>
            <w:pPr>
              <w:spacing w:after="40" w:before="40"/>
              <w:jc w:val="center"/>
            </w:pPr>
            <w:r>
              <w:rPr>
                <w:b/>
                <w:color w:val="FFFFFF"/>
                <w:sz w:val="17"/>
              </w:rPr>
              <w:t>Meaning</w:t>
            </w:r>
          </w:p>
        </w:tc>
      </w:tr>
      <w:tr>
        <w:tc>
          <w:tcPr>
            <w:tcW w:type="dxa" w:w="1872"/>
            <w:vAlign w:val="center"/>
          </w:tcPr>
          <w:p>
            <w:pPr>
              <w:spacing w:after="40" w:before="40"/>
            </w:pPr>
            <w:r>
              <w:t>ATM</w:t>
            </w:r>
          </w:p>
        </w:tc>
        <w:tc>
          <w:tcPr>
            <w:tcW w:type="dxa" w:w="7488"/>
            <w:vAlign w:val="center"/>
          </w:tcPr>
          <w:p>
            <w:pPr>
              <w:spacing w:after="40" w:before="40"/>
            </w:pPr>
            <w:r>
              <w:t>Automated Teller Machine</w:t>
            </w:r>
          </w:p>
        </w:tc>
      </w:tr>
      <w:tr>
        <w:tc>
          <w:tcPr>
            <w:tcW w:type="dxa" w:w="1872"/>
            <w:vAlign w:val="center"/>
            <w:shd w:fill="F2F6FA"/>
          </w:tcPr>
          <w:p>
            <w:pPr>
              <w:spacing w:after="40" w:before="40"/>
            </w:pPr>
            <w:r>
              <w:t>EFA</w:t>
            </w:r>
          </w:p>
        </w:tc>
        <w:tc>
          <w:tcPr>
            <w:tcW w:type="dxa" w:w="7488"/>
            <w:vAlign w:val="center"/>
            <w:shd w:fill="F2F6FA"/>
          </w:tcPr>
          <w:p>
            <w:pPr>
              <w:spacing w:after="40" w:before="40"/>
            </w:pPr>
            <w:r>
              <w:t>Exploratory Factor Analysis</w:t>
            </w:r>
          </w:p>
        </w:tc>
      </w:tr>
      <w:tr>
        <w:tc>
          <w:tcPr>
            <w:tcW w:type="dxa" w:w="1872"/>
            <w:vAlign w:val="center"/>
          </w:tcPr>
          <w:p>
            <w:pPr>
              <w:spacing w:after="40" w:before="40"/>
            </w:pPr>
            <w:r>
              <w:t>HR</w:t>
            </w:r>
          </w:p>
        </w:tc>
        <w:tc>
          <w:tcPr>
            <w:tcW w:type="dxa" w:w="7488"/>
            <w:vAlign w:val="center"/>
          </w:tcPr>
          <w:p>
            <w:pPr>
              <w:spacing w:after="40" w:before="40"/>
            </w:pPr>
            <w:r>
              <w:t>Human Resources</w:t>
            </w:r>
          </w:p>
        </w:tc>
      </w:tr>
      <w:tr>
        <w:tc>
          <w:tcPr>
            <w:tcW w:type="dxa" w:w="1872"/>
            <w:vAlign w:val="center"/>
            <w:shd w:fill="F2F6FA"/>
          </w:tcPr>
          <w:p>
            <w:pPr>
              <w:spacing w:after="40" w:before="40"/>
            </w:pPr>
            <w:r>
              <w:t>HRD</w:t>
            </w:r>
          </w:p>
        </w:tc>
        <w:tc>
          <w:tcPr>
            <w:tcW w:type="dxa" w:w="7488"/>
            <w:vAlign w:val="center"/>
            <w:shd w:fill="F2F6FA"/>
          </w:tcPr>
          <w:p>
            <w:pPr>
              <w:spacing w:after="40" w:before="40"/>
            </w:pPr>
            <w:r>
              <w:t>Human Resource Development</w:t>
            </w:r>
          </w:p>
        </w:tc>
      </w:tr>
      <w:tr>
        <w:tc>
          <w:tcPr>
            <w:tcW w:type="dxa" w:w="1872"/>
            <w:vAlign w:val="center"/>
          </w:tcPr>
          <w:p>
            <w:pPr>
              <w:spacing w:after="40" w:before="40"/>
            </w:pPr>
            <w:r>
              <w:t>IV</w:t>
            </w:r>
          </w:p>
        </w:tc>
        <w:tc>
          <w:tcPr>
            <w:tcW w:type="dxa" w:w="7488"/>
            <w:vAlign w:val="center"/>
          </w:tcPr>
          <w:p>
            <w:pPr>
              <w:spacing w:after="40" w:before="40"/>
            </w:pPr>
            <w:r>
              <w:t>Independent Variable</w:t>
            </w:r>
          </w:p>
        </w:tc>
      </w:tr>
      <w:tr>
        <w:tc>
          <w:tcPr>
            <w:tcW w:type="dxa" w:w="1872"/>
            <w:vAlign w:val="center"/>
            <w:shd w:fill="F2F6FA"/>
          </w:tcPr>
          <w:p>
            <w:pPr>
              <w:spacing w:after="40" w:before="40"/>
            </w:pPr>
            <w:r>
              <w:t>DV</w:t>
            </w:r>
          </w:p>
        </w:tc>
        <w:tc>
          <w:tcPr>
            <w:tcW w:type="dxa" w:w="7488"/>
            <w:vAlign w:val="center"/>
            <w:shd w:fill="F2F6FA"/>
          </w:tcPr>
          <w:p>
            <w:pPr>
              <w:spacing w:after="40" w:before="40"/>
            </w:pPr>
            <w:r>
              <w:t>Dependent Variable</w:t>
            </w:r>
          </w:p>
        </w:tc>
      </w:tr>
      <w:tr>
        <w:tc>
          <w:tcPr>
            <w:tcW w:type="dxa" w:w="1872"/>
            <w:vAlign w:val="center"/>
          </w:tcPr>
          <w:p>
            <w:pPr>
              <w:spacing w:after="40" w:before="40"/>
            </w:pPr>
            <w:r>
              <w:t>LMS</w:t>
            </w:r>
          </w:p>
        </w:tc>
        <w:tc>
          <w:tcPr>
            <w:tcW w:type="dxa" w:w="7488"/>
            <w:vAlign w:val="center"/>
          </w:tcPr>
          <w:p>
            <w:pPr>
              <w:spacing w:after="40" w:before="40"/>
            </w:pPr>
            <w:r>
              <w:t>Learning Management System</w:t>
            </w:r>
          </w:p>
        </w:tc>
      </w:tr>
      <w:tr>
        <w:tc>
          <w:tcPr>
            <w:tcW w:type="dxa" w:w="1872"/>
            <w:vAlign w:val="center"/>
            <w:shd w:fill="F2F6FA"/>
          </w:tcPr>
          <w:p>
            <w:pPr>
              <w:spacing w:after="40" w:before="40"/>
            </w:pPr>
            <w:r>
              <w:t>PSB</w:t>
            </w:r>
          </w:p>
        </w:tc>
        <w:tc>
          <w:tcPr>
            <w:tcW w:type="dxa" w:w="7488"/>
            <w:vAlign w:val="center"/>
            <w:shd w:fill="F2F6FA"/>
          </w:tcPr>
          <w:p>
            <w:pPr>
              <w:spacing w:after="40" w:before="40"/>
            </w:pPr>
            <w:r>
              <w:t>Public Sector Bank</w:t>
            </w:r>
          </w:p>
        </w:tc>
      </w:tr>
      <w:tr>
        <w:tc>
          <w:tcPr>
            <w:tcW w:type="dxa" w:w="1872"/>
            <w:vAlign w:val="center"/>
          </w:tcPr>
          <w:p>
            <w:pPr>
              <w:spacing w:after="40" w:before="40"/>
            </w:pPr>
            <w:r>
              <w:t>RBI</w:t>
            </w:r>
          </w:p>
        </w:tc>
        <w:tc>
          <w:tcPr>
            <w:tcW w:type="dxa" w:w="7488"/>
            <w:vAlign w:val="center"/>
          </w:tcPr>
          <w:p>
            <w:pPr>
              <w:spacing w:after="40" w:before="40"/>
            </w:pPr>
            <w:r>
              <w:t>Reserve Bank of India</w:t>
            </w:r>
          </w:p>
        </w:tc>
      </w:tr>
      <w:tr>
        <w:tc>
          <w:tcPr>
            <w:tcW w:type="dxa" w:w="1872"/>
            <w:vAlign w:val="center"/>
            <w:shd w:fill="F2F6FA"/>
          </w:tcPr>
          <w:p>
            <w:pPr>
              <w:spacing w:after="40" w:before="40"/>
            </w:pPr>
            <w:r>
              <w:t>SPSS</w:t>
            </w:r>
          </w:p>
        </w:tc>
        <w:tc>
          <w:tcPr>
            <w:tcW w:type="dxa" w:w="7488"/>
            <w:vAlign w:val="center"/>
            <w:shd w:fill="F2F6FA"/>
          </w:tcPr>
          <w:p>
            <w:pPr>
              <w:spacing w:after="40" w:before="40"/>
            </w:pPr>
            <w:r>
              <w:t>Statistical Package for the Social Sciences</w:t>
            </w:r>
          </w:p>
        </w:tc>
      </w:tr>
      <w:tr>
        <w:tc>
          <w:tcPr>
            <w:tcW w:type="dxa" w:w="1872"/>
            <w:vAlign w:val="center"/>
          </w:tcPr>
          <w:p>
            <w:pPr>
              <w:spacing w:after="40" w:before="40"/>
            </w:pPr>
            <w:r>
              <w:t>UBI</w:t>
            </w:r>
          </w:p>
        </w:tc>
        <w:tc>
          <w:tcPr>
            <w:tcW w:type="dxa" w:w="7488"/>
            <w:vAlign w:val="center"/>
          </w:tcPr>
          <w:p>
            <w:pPr>
              <w:spacing w:after="40" w:before="40"/>
            </w:pPr>
            <w:r>
              <w:t>Union Bank of India</w:t>
            </w:r>
          </w:p>
        </w:tc>
      </w:tr>
      <w:tr>
        <w:tc>
          <w:tcPr>
            <w:tcW w:type="dxa" w:w="1872"/>
            <w:vAlign w:val="center"/>
            <w:shd w:fill="F2F6FA"/>
          </w:tcPr>
          <w:p>
            <w:pPr>
              <w:spacing w:after="40" w:before="40"/>
            </w:pPr>
            <w:r>
              <w:t>UGC</w:t>
            </w:r>
          </w:p>
        </w:tc>
        <w:tc>
          <w:tcPr>
            <w:tcW w:type="dxa" w:w="7488"/>
            <w:vAlign w:val="center"/>
            <w:shd w:fill="F2F6FA"/>
          </w:tcPr>
          <w:p>
            <w:pPr>
              <w:spacing w:after="40" w:before="40"/>
            </w:pPr>
            <w:r>
              <w:t>University Grants Commission</w:t>
            </w:r>
          </w:p>
        </w:tc>
      </w:tr>
      <w:tr>
        <w:tc>
          <w:tcPr>
            <w:tcW w:type="dxa" w:w="1872"/>
            <w:vAlign w:val="center"/>
          </w:tcPr>
          <w:p>
            <w:pPr>
              <w:spacing w:after="40" w:before="40"/>
            </w:pPr>
            <w:r>
              <w:t>VIF</w:t>
            </w:r>
          </w:p>
        </w:tc>
        <w:tc>
          <w:tcPr>
            <w:tcW w:type="dxa" w:w="7488"/>
            <w:vAlign w:val="center"/>
          </w:tcPr>
          <w:p>
            <w:pPr>
              <w:spacing w:after="40" w:before="40"/>
            </w:pPr>
            <w:r>
              <w:t>Variance Inflation Factor</w:t>
            </w:r>
          </w:p>
        </w:tc>
      </w:tr>
    </w:tbl>
    <w:p>
      <w:r>
        <w:br w:type="page"/>
      </w:r>
    </w:p>
    <w:p>
      <w:pPr>
        <w:pStyle w:val="Heading1"/>
      </w:pPr>
      <w:r>
        <w:t>Structure of the Report</w:t>
      </w:r>
    </w:p>
    <w:p>
      <w:r>
        <w:t>The report moves from the banking problem to theory, context, research design, analysis protocol and managerial action. Chapter 1 defines the problem and research objectives. Chapter 2 synthesises literature on blended learning and related theories. Chapter 3 explains why Union Bank of India is an appropriate organisational setting. Chapter 4 establishes the research method and safeguards. Chapter 5 provides analysis templates without fictional data. Chapter 6 converts likely decision areas into an implementation roadmap. Chapter 7 states the conclusion, limitations and future research agenda.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6480"/>
      </w:tblGrid>
      <w:tr>
        <w:tc>
          <w:tcPr>
            <w:tcW w:type="dxa" w:w="5011"/>
            <w:vAlign w:val="center"/>
            <w:shd w:fill="1F4E78"/>
          </w:tcPr>
          <w:p>
            <w:pPr>
              <w:spacing w:after="40" w:before="40"/>
              <w:jc w:val="center"/>
            </w:pPr>
            <w:r>
              <w:rPr>
                <w:b/>
                <w:color w:val="FFFFFF"/>
                <w:sz w:val="17"/>
              </w:rPr>
              <w:t>Logic stage</w:t>
            </w:r>
          </w:p>
        </w:tc>
        <w:tc>
          <w:tcPr>
            <w:tcW w:type="dxa" w:w="5011"/>
            <w:vAlign w:val="center"/>
            <w:shd w:fill="1F4E78"/>
          </w:tcPr>
          <w:p>
            <w:pPr>
              <w:spacing w:after="40" w:before="40"/>
              <w:jc w:val="center"/>
            </w:pPr>
            <w:r>
              <w:rPr>
                <w:b/>
                <w:color w:val="FFFFFF"/>
                <w:sz w:val="17"/>
              </w:rPr>
              <w:t>Core question</w:t>
            </w:r>
          </w:p>
        </w:tc>
      </w:tr>
      <w:tr>
        <w:tc>
          <w:tcPr>
            <w:tcW w:type="dxa" w:w="2880"/>
            <w:vAlign w:val="center"/>
          </w:tcPr>
          <w:p>
            <w:pPr>
              <w:spacing w:after="40" w:before="40"/>
            </w:pPr>
            <w:r>
              <w:t>Need</w:t>
            </w:r>
          </w:p>
        </w:tc>
        <w:tc>
          <w:tcPr>
            <w:tcW w:type="dxa" w:w="6480"/>
            <w:vAlign w:val="center"/>
          </w:tcPr>
          <w:p>
            <w:pPr>
              <w:spacing w:after="40" w:before="40"/>
            </w:pPr>
            <w:r>
              <w:t>Why does a public sector bank require blended learning?</w:t>
            </w:r>
          </w:p>
        </w:tc>
      </w:tr>
      <w:tr>
        <w:tc>
          <w:tcPr>
            <w:tcW w:type="dxa" w:w="2880"/>
            <w:vAlign w:val="center"/>
            <w:shd w:fill="F2F6FA"/>
          </w:tcPr>
          <w:p>
            <w:pPr>
              <w:spacing w:after="40" w:before="40"/>
            </w:pPr>
            <w:r>
              <w:t>Drivers</w:t>
            </w:r>
          </w:p>
        </w:tc>
        <w:tc>
          <w:tcPr>
            <w:tcW w:type="dxa" w:w="6480"/>
            <w:vAlign w:val="center"/>
            <w:shd w:fill="F2F6FA"/>
          </w:tcPr>
          <w:p>
            <w:pPr>
              <w:spacing w:after="40" w:before="40"/>
            </w:pPr>
            <w:r>
              <w:t>Which institutional, trainer, learner and design factors matter?</w:t>
            </w:r>
          </w:p>
        </w:tc>
      </w:tr>
      <w:tr>
        <w:tc>
          <w:tcPr>
            <w:tcW w:type="dxa" w:w="2880"/>
            <w:vAlign w:val="center"/>
          </w:tcPr>
          <w:p>
            <w:pPr>
              <w:spacing w:after="40" w:before="40"/>
            </w:pPr>
            <w:r>
              <w:t>Evidence</w:t>
            </w:r>
          </w:p>
        </w:tc>
        <w:tc>
          <w:tcPr>
            <w:tcW w:type="dxa" w:w="6480"/>
            <w:vAlign w:val="center"/>
          </w:tcPr>
          <w:p>
            <w:pPr>
              <w:spacing w:after="40" w:before="40"/>
            </w:pPr>
            <w:r>
              <w:t>How will employee perceptions be measured and tested?</w:t>
            </w:r>
          </w:p>
        </w:tc>
      </w:tr>
      <w:tr>
        <w:tc>
          <w:tcPr>
            <w:tcW w:type="dxa" w:w="2880"/>
            <w:vAlign w:val="center"/>
            <w:shd w:fill="F2F6FA"/>
          </w:tcPr>
          <w:p>
            <w:pPr>
              <w:spacing w:after="40" w:before="40"/>
            </w:pPr>
            <w:r>
              <w:t>Decision</w:t>
            </w:r>
          </w:p>
        </w:tc>
        <w:tc>
          <w:tcPr>
            <w:tcW w:type="dxa" w:w="6480"/>
            <w:vAlign w:val="center"/>
            <w:shd w:fill="F2F6FA"/>
          </w:tcPr>
          <w:p>
            <w:pPr>
              <w:spacing w:after="40" w:before="40"/>
            </w:pPr>
            <w:r>
              <w:t>How should verified results guide learning policy and practice?</w:t>
            </w:r>
          </w:p>
        </w:tc>
      </w:tr>
    </w:tbl>
    <w:p>
      <w:r>
        <w:br w:type="page"/>
      </w:r>
    </w:p>
    <w:p>
      <w:pPr>
        <w:spacing w:after="40"/>
      </w:pPr>
      <w:r>
        <w:rPr>
          <w:b/>
          <w:color w:val="1F4E78"/>
          <w:sz w:val="16"/>
        </w:rPr>
        <w:t>CHAPTER 1  INTRODUCTION</w:t>
      </w:r>
    </w:p>
    <w:p>
      <w:pPr>
        <w:pStyle w:val="Heading1"/>
      </w:pPr>
      <w:r>
        <w:t>Background of the Study</w:t>
      </w:r>
    </w:p>
    <w:p>
      <w:r>
        <w:t>Banking knowledge changes continuously because regulation, technology, products, risks and customer behaviour evolve. A classroom-only model can provide depth and social interaction, but it is difficult to scale rapidly across locations. A fully online model offers reach and flexibility, but it can become passive or disconnected from workplace practice. Blended learning seeks to integrate these strengths through a deliberate sequence of self-paced content, facilitated interaction, application and feedback.</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Meaning of Blended Learning</w:t>
      </w:r>
    </w:p>
    <w:p>
      <w:r>
        <w:t>For this study, blended learning means a planned combination of face-to-face and technology-mediated learning activities designed as one learning journey. The definition excludes arrangements where unrelated online material is merely added to a classroom programme. Integration is visible when pre-work prepares participants, classroom time addresses complex decisions, and post-work reinforces transfer.</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Public Sector Banking Context</w:t>
      </w:r>
    </w:p>
    <w:p>
      <w:r>
        <w:t>A public sector bank combines commercial responsibilities with financial inclusion, government-business delivery and extensive regulatory obligations. Employees work across branches, administrative offices, specialised verticals and training establishments. A learning system must therefore handle scale, diversity of roles, variable connectivity, language needs and limited release time while preserving control standards.</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Why Union Bank of India</w:t>
      </w:r>
    </w:p>
    <w:p>
      <w:r>
        <w:t>Union Bank of India offers a relevant setting because it is a large public sector bank with geographically dispersed employees and a broad portfolio of retail, agriculture, MSME, corporate, treasury and digital services. Its learning requirements span induction, compliance, functional capability, technology adoption, leadership and behavioural skills. The study evaluates employee perceptions and does not claim access to confidential internal systems.</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Statement of the Problem</w:t>
      </w:r>
    </w:p>
    <w:p>
      <w:r>
        <w:t>Organisations may count enrolment, completion and attendance without knowing whether learning improved capability or changed workplace behaviour. Employees may face technical barriers, weak integration, work pressure, limited trainer feedback or low relevance. The central problem is to identify which features of the blended-learning ecosystem explain perceived effectiveness among employees of Union Bank of India.</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Research Gap</w:t>
      </w:r>
    </w:p>
    <w:p>
      <w:r>
        <w:t>Much blended-learning research focuses on universities and students. Working professionals differ because learning competes with job responsibilities and is judged by immediate application. Banking adds regulatory urgency, operational risk and a distributed workforce. An organisation-specific employee study can therefore extend educational evidence into professional learning and public sector banking.</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Aim of the Study</w:t>
      </w:r>
    </w:p>
    <w:p>
      <w:r>
        <w:t>The aim is to assess the effectiveness of blended learning among employees of Union Bank of India and determine how institutional support, trainer effectiveness, learner readiness and pedagogical integration relate to perceived outcomes.</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Research Objectives</w:t>
      </w:r>
    </w:p>
    <w:p>
      <w:r>
        <w:t>The study converts the aim into measurable objectives: describe employee exposure; assess each predictor; measure perceived effectiveness; test relationships; compare selected profile groups; and recommend improvements based on verified evidence.</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Research Questions</w:t>
      </w:r>
    </w:p>
    <w:p>
      <w:r>
        <w:t>The principal question is whether blended learning is perceived as effective by employees. Supporting questions examine access and support, trainer facilitation, learner self-management, integration of modes, differences between employee groups and the predictors of overall effectiveness.</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Scope of the Study</w:t>
      </w:r>
    </w:p>
    <w:p>
      <w:r>
        <w:t>The unit of analysis is an individual employee of Union Bank of India who has sufficient exposure to blended learning to form an opinion. The scope covers employee perceptions of programme design and outcomes. It does not independently measure customer outcomes, financial performance or regulatory compliance, although future research may connect those indicators.</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Significance of the Study</w:t>
      </w:r>
    </w:p>
    <w:p>
      <w:r>
        <w:t>The study can support learning investment decisions, programme redesign, trainer development and equitable access. For employees, it can identify barriers to participation and application. For researchers, it offers a model adapted to working professionals. For management, it shifts attention from delivery volume to capability and transfer.</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1  INTRODUCTION</w:t>
      </w:r>
    </w:p>
    <w:p>
      <w:pPr>
        <w:pStyle w:val="Heading1"/>
      </w:pPr>
      <w:r>
        <w:t>Chapter Summary</w:t>
      </w:r>
    </w:p>
    <w:p>
      <w:r>
        <w:t>Chapter 1 established the need to evaluate blended learning as an integrated system. It defined the problem, aim, objectives, questions, scope and significance. The next chapter examines the theoretical and empirical literature that supports the study variables.</w:t>
      </w:r>
    </w:p>
    <w:p>
      <w:r>
        <w:t>In operational terms, the study treats effectiveness as a multidimensional employee judgment rather than a single satisfaction rating. Understanding, skill development, retention, motivation, flexibility and workplace application are related but distinct outcomes. This approach avoids assuming that convenience alone proves learning value.</w:t>
      </w:r>
    </w:p>
    <w:p>
      <w:pPr>
        <w:pStyle w:val="ListBullet"/>
        <w:spacing w:after="60"/>
      </w:pPr>
      <w:r>
        <w:t>Focus on employee experience and work relevance.</w:t>
      </w:r>
    </w:p>
    <w:p>
      <w:pPr>
        <w:pStyle w:val="ListBullet"/>
        <w:spacing w:after="60"/>
      </w:pPr>
      <w:r>
        <w:t>Distinguish delivery activity from learning outcomes.</w:t>
      </w:r>
    </w:p>
    <w:p>
      <w:pPr>
        <w:pStyle w:val="ListBullet"/>
        <w:spacing w:after="60"/>
      </w:pPr>
      <w:r>
        <w:t>Use a testable model and transparent analysis plan.</w:t>
      </w:r>
    </w:p>
    <w:p>
      <w:r>
        <w:br w:type="page"/>
      </w:r>
    </w:p>
    <w:p>
      <w:pPr>
        <w:spacing w:after="40"/>
      </w:pPr>
      <w:r>
        <w:rPr>
          <w:b/>
          <w:color w:val="1F4E78"/>
          <w:sz w:val="16"/>
        </w:rPr>
        <w:t>CHAPTER 2  REVIEW OF LITERATURE</w:t>
      </w:r>
    </w:p>
    <w:p>
      <w:pPr>
        <w:pStyle w:val="Heading1"/>
      </w:pPr>
      <w:r>
        <w:t>Evolution of Blended Learning</w:t>
      </w:r>
    </w:p>
    <w:p>
      <w:r>
        <w:t>Blended learning developed from efforts to combine the reach of digital delivery with the interaction and immediacy of face-to-face teaching. Early definitions often emphasised mixture; later work emphasised purposeful integration and redesign.</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048"/>
      </w:tblGrid>
      <w:tr>
        <w:tc>
          <w:tcPr>
            <w:tcW w:type="dxa" w:w="5011"/>
            <w:vAlign w:val="center"/>
            <w:shd w:fill="1F4E78"/>
          </w:tcPr>
          <w:p>
            <w:pPr>
              <w:spacing w:after="40" w:before="40"/>
              <w:jc w:val="center"/>
            </w:pPr>
            <w:r>
              <w:rPr>
                <w:b/>
                <w:color w:val="FFFFFF"/>
                <w:sz w:val="17"/>
              </w:rPr>
              <w:t>Literature lens</w:t>
            </w:r>
          </w:p>
        </w:tc>
        <w:tc>
          <w:tcPr>
            <w:tcW w:type="dxa" w:w="5011"/>
            <w:vAlign w:val="center"/>
            <w:shd w:fill="1F4E78"/>
          </w:tcPr>
          <w:p>
            <w:pPr>
              <w:spacing w:after="40" w:before="40"/>
              <w:jc w:val="center"/>
            </w:pPr>
            <w:r>
              <w:rPr>
                <w:b/>
                <w:color w:val="FFFFFF"/>
                <w:sz w:val="17"/>
              </w:rPr>
              <w:t>Implication for measurement</w:t>
            </w:r>
          </w:p>
        </w:tc>
      </w:tr>
      <w:tr>
        <w:tc>
          <w:tcPr>
            <w:tcW w:type="dxa" w:w="3168"/>
            <w:vAlign w:val="center"/>
          </w:tcPr>
          <w:p>
            <w:pPr>
              <w:spacing w:after="40" w:before="40"/>
            </w:pPr>
            <w:r>
              <w:t>Access and support</w:t>
            </w:r>
          </w:p>
        </w:tc>
        <w:tc>
          <w:tcPr>
            <w:tcW w:type="dxa" w:w="6048"/>
            <w:vAlign w:val="center"/>
          </w:tcPr>
          <w:p>
            <w:pPr>
              <w:spacing w:after="40" w:before="40"/>
            </w:pPr>
            <w:r>
              <w:t>Infrastructure, convenience and technical help</w:t>
            </w:r>
          </w:p>
        </w:tc>
      </w:tr>
      <w:tr>
        <w:tc>
          <w:tcPr>
            <w:tcW w:type="dxa" w:w="3168"/>
            <w:vAlign w:val="center"/>
            <w:shd w:fill="F2F6FA"/>
          </w:tcPr>
          <w:p>
            <w:pPr>
              <w:spacing w:after="40" w:before="40"/>
            </w:pPr>
            <w:r>
              <w:t>Facilitation</w:t>
            </w:r>
          </w:p>
        </w:tc>
        <w:tc>
          <w:tcPr>
            <w:tcW w:type="dxa" w:w="6048"/>
            <w:vAlign w:val="center"/>
            <w:shd w:fill="F2F6FA"/>
          </w:tcPr>
          <w:p>
            <w:pPr>
              <w:spacing w:after="40" w:before="40"/>
            </w:pPr>
            <w:r>
              <w:t>Guidance, feedback and interaction</w:t>
            </w:r>
          </w:p>
        </w:tc>
      </w:tr>
      <w:tr>
        <w:tc>
          <w:tcPr>
            <w:tcW w:type="dxa" w:w="3168"/>
            <w:vAlign w:val="center"/>
          </w:tcPr>
          <w:p>
            <w:pPr>
              <w:spacing w:after="40" w:before="40"/>
            </w:pPr>
            <w:r>
              <w:t>Learner agency</w:t>
            </w:r>
          </w:p>
        </w:tc>
        <w:tc>
          <w:tcPr>
            <w:tcW w:type="dxa" w:w="6048"/>
            <w:vAlign w:val="center"/>
          </w:tcPr>
          <w:p>
            <w:pPr>
              <w:spacing w:after="40" w:before="40"/>
            </w:pPr>
            <w:r>
              <w:t>Independent learning, time management and participation</w:t>
            </w:r>
          </w:p>
        </w:tc>
      </w:tr>
      <w:tr>
        <w:tc>
          <w:tcPr>
            <w:tcW w:type="dxa" w:w="3168"/>
            <w:vAlign w:val="center"/>
            <w:shd w:fill="F2F6FA"/>
          </w:tcPr>
          <w:p>
            <w:pPr>
              <w:spacing w:after="40" w:before="40"/>
            </w:pPr>
            <w:r>
              <w:t>Integration</w:t>
            </w:r>
          </w:p>
        </w:tc>
        <w:tc>
          <w:tcPr>
            <w:tcW w:type="dxa" w:w="6048"/>
            <w:vAlign w:val="center"/>
            <w:shd w:fill="F2F6FA"/>
          </w:tcPr>
          <w:p>
            <w:pPr>
              <w:spacing w:after="40" w:before="40"/>
            </w:pPr>
            <w:r>
              <w:t>Continuity and balance across modes</w:t>
            </w:r>
          </w:p>
        </w:tc>
      </w:tr>
      <w:tr>
        <w:tc>
          <w:tcPr>
            <w:tcW w:type="dxa" w:w="3168"/>
            <w:vAlign w:val="center"/>
          </w:tcPr>
          <w:p>
            <w:pPr>
              <w:spacing w:after="40" w:before="40"/>
            </w:pPr>
            <w:r>
              <w:t>Outcome</w:t>
            </w:r>
          </w:p>
        </w:tc>
        <w:tc>
          <w:tcPr>
            <w:tcW w:type="dxa" w:w="6048"/>
            <w:vAlign w:val="center"/>
          </w:tcPr>
          <w:p>
            <w:pPr>
              <w:spacing w:after="40" w:before="40"/>
            </w:pPr>
            <w:r>
              <w:t>Understanding, skill, retention and application</w:t>
            </w:r>
          </w:p>
        </w:tc>
      </w:tr>
    </w:tbl>
    <w:p>
      <w:r>
        <w:br w:type="page"/>
      </w:r>
    </w:p>
    <w:p>
      <w:pPr>
        <w:spacing w:after="40"/>
      </w:pPr>
      <w:r>
        <w:rPr>
          <w:b/>
          <w:color w:val="1F4E78"/>
          <w:sz w:val="16"/>
        </w:rPr>
        <w:t>CHAPTER 2  REVIEW OF LITERATURE</w:t>
      </w:r>
    </w:p>
    <w:p>
      <w:pPr>
        <w:pStyle w:val="Heading1"/>
      </w:pPr>
      <w:r>
        <w:t>The Working Professional as Learner</w:t>
      </w:r>
    </w:p>
    <w:p>
      <w:r>
        <w:t>Working professionals bring prior experience, role identity and immediate performance problems. Time scarcity and workplace interruptions make flexibility valuable, but also make self-regulation and managerial support essential.</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Adult Learning Theory</w:t>
      </w:r>
    </w:p>
    <w:p>
      <w:r>
        <w:t>Andragogical thinking suggests that adults value autonomy, relevance, problem orientation and the use of experience. Blended design can support these principles when online modules permit choice and classroom activities address authentic banking cases.</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Experiential Learning</w:t>
      </w:r>
    </w:p>
    <w:p>
      <w:r>
        <w:t>Experiential learning explains capability development as a cycle of concrete experience, reflection, conceptualisation and experimentation. Banking simulations, credit cases, role plays and workplace assignments can connect these stages.</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Social Constructivism</w:t>
      </w:r>
    </w:p>
    <w:p>
      <w:r>
        <w:t>Learning is strengthened when participants articulate reasoning, compare interpretations and construct meaning with others. Facilitated discussions and peer feedback are therefore central rather than optional features.</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Community of Inquiry</w:t>
      </w:r>
    </w:p>
    <w:p>
      <w:r>
        <w:t>The community-of-inquiry perspective highlights teaching presence, social presence and cognitive presence. In employee programmes, these translate into visible trainer guidance, safe professional interaction and tasks that require analysis and application.</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048"/>
      </w:tblGrid>
      <w:tr>
        <w:tc>
          <w:tcPr>
            <w:tcW w:type="dxa" w:w="5011"/>
            <w:vAlign w:val="center"/>
            <w:shd w:fill="1F4E78"/>
          </w:tcPr>
          <w:p>
            <w:pPr>
              <w:spacing w:after="40" w:before="40"/>
              <w:jc w:val="center"/>
            </w:pPr>
            <w:r>
              <w:rPr>
                <w:b/>
                <w:color w:val="FFFFFF"/>
                <w:sz w:val="17"/>
              </w:rPr>
              <w:t>Literature lens</w:t>
            </w:r>
          </w:p>
        </w:tc>
        <w:tc>
          <w:tcPr>
            <w:tcW w:type="dxa" w:w="5011"/>
            <w:vAlign w:val="center"/>
            <w:shd w:fill="1F4E78"/>
          </w:tcPr>
          <w:p>
            <w:pPr>
              <w:spacing w:after="40" w:before="40"/>
              <w:jc w:val="center"/>
            </w:pPr>
            <w:r>
              <w:rPr>
                <w:b/>
                <w:color w:val="FFFFFF"/>
                <w:sz w:val="17"/>
              </w:rPr>
              <w:t>Implication for measurement</w:t>
            </w:r>
          </w:p>
        </w:tc>
      </w:tr>
      <w:tr>
        <w:tc>
          <w:tcPr>
            <w:tcW w:type="dxa" w:w="3168"/>
            <w:vAlign w:val="center"/>
          </w:tcPr>
          <w:p>
            <w:pPr>
              <w:spacing w:after="40" w:before="40"/>
            </w:pPr>
            <w:r>
              <w:t>Access and support</w:t>
            </w:r>
          </w:p>
        </w:tc>
        <w:tc>
          <w:tcPr>
            <w:tcW w:type="dxa" w:w="6048"/>
            <w:vAlign w:val="center"/>
          </w:tcPr>
          <w:p>
            <w:pPr>
              <w:spacing w:after="40" w:before="40"/>
            </w:pPr>
            <w:r>
              <w:t>Infrastructure, convenience and technical help</w:t>
            </w:r>
          </w:p>
        </w:tc>
      </w:tr>
      <w:tr>
        <w:tc>
          <w:tcPr>
            <w:tcW w:type="dxa" w:w="3168"/>
            <w:vAlign w:val="center"/>
            <w:shd w:fill="F2F6FA"/>
          </w:tcPr>
          <w:p>
            <w:pPr>
              <w:spacing w:after="40" w:before="40"/>
            </w:pPr>
            <w:r>
              <w:t>Facilitation</w:t>
            </w:r>
          </w:p>
        </w:tc>
        <w:tc>
          <w:tcPr>
            <w:tcW w:type="dxa" w:w="6048"/>
            <w:vAlign w:val="center"/>
            <w:shd w:fill="F2F6FA"/>
          </w:tcPr>
          <w:p>
            <w:pPr>
              <w:spacing w:after="40" w:before="40"/>
            </w:pPr>
            <w:r>
              <w:t>Guidance, feedback and interaction</w:t>
            </w:r>
          </w:p>
        </w:tc>
      </w:tr>
      <w:tr>
        <w:tc>
          <w:tcPr>
            <w:tcW w:type="dxa" w:w="3168"/>
            <w:vAlign w:val="center"/>
          </w:tcPr>
          <w:p>
            <w:pPr>
              <w:spacing w:after="40" w:before="40"/>
            </w:pPr>
            <w:r>
              <w:t>Learner agency</w:t>
            </w:r>
          </w:p>
        </w:tc>
        <w:tc>
          <w:tcPr>
            <w:tcW w:type="dxa" w:w="6048"/>
            <w:vAlign w:val="center"/>
          </w:tcPr>
          <w:p>
            <w:pPr>
              <w:spacing w:after="40" w:before="40"/>
            </w:pPr>
            <w:r>
              <w:t>Independent learning, time management and participation</w:t>
            </w:r>
          </w:p>
        </w:tc>
      </w:tr>
      <w:tr>
        <w:tc>
          <w:tcPr>
            <w:tcW w:type="dxa" w:w="3168"/>
            <w:vAlign w:val="center"/>
            <w:shd w:fill="F2F6FA"/>
          </w:tcPr>
          <w:p>
            <w:pPr>
              <w:spacing w:after="40" w:before="40"/>
            </w:pPr>
            <w:r>
              <w:t>Integration</w:t>
            </w:r>
          </w:p>
        </w:tc>
        <w:tc>
          <w:tcPr>
            <w:tcW w:type="dxa" w:w="6048"/>
            <w:vAlign w:val="center"/>
            <w:shd w:fill="F2F6FA"/>
          </w:tcPr>
          <w:p>
            <w:pPr>
              <w:spacing w:after="40" w:before="40"/>
            </w:pPr>
            <w:r>
              <w:t>Continuity and balance across modes</w:t>
            </w:r>
          </w:p>
        </w:tc>
      </w:tr>
      <w:tr>
        <w:tc>
          <w:tcPr>
            <w:tcW w:type="dxa" w:w="3168"/>
            <w:vAlign w:val="center"/>
          </w:tcPr>
          <w:p>
            <w:pPr>
              <w:spacing w:after="40" w:before="40"/>
            </w:pPr>
            <w:r>
              <w:t>Outcome</w:t>
            </w:r>
          </w:p>
        </w:tc>
        <w:tc>
          <w:tcPr>
            <w:tcW w:type="dxa" w:w="6048"/>
            <w:vAlign w:val="center"/>
          </w:tcPr>
          <w:p>
            <w:pPr>
              <w:spacing w:after="40" w:before="40"/>
            </w:pPr>
            <w:r>
              <w:t>Understanding, skill, retention and application</w:t>
            </w:r>
          </w:p>
        </w:tc>
      </w:tr>
    </w:tbl>
    <w:p>
      <w:r>
        <w:br w:type="page"/>
      </w:r>
    </w:p>
    <w:p>
      <w:pPr>
        <w:spacing w:after="40"/>
      </w:pPr>
      <w:r>
        <w:rPr>
          <w:b/>
          <w:color w:val="1F4E78"/>
          <w:sz w:val="16"/>
        </w:rPr>
        <w:t>CHAPTER 2  REVIEW OF LITERATURE</w:t>
      </w:r>
    </w:p>
    <w:p>
      <w:pPr>
        <w:pStyle w:val="Heading1"/>
      </w:pPr>
      <w:r>
        <w:t>Technology Acceptance</w:t>
      </w:r>
    </w:p>
    <w:p>
      <w:r>
        <w:t>Perceived usefulness and ease of use influence willingness to use learning technology. In this study, access, convenience and technical support are examined without reducing learning to platform usability.</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Self Directed Learning</w:t>
      </w:r>
    </w:p>
    <w:p>
      <w:r>
        <w:t>Online components require employees to plan, monitor and complete learning with less immediate supervision. Readiness depends on confidence, time management, digital familiarity and clarity of expectations.</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Cognitive Load and Multimedia Design</w:t>
      </w:r>
    </w:p>
    <w:p>
      <w:r>
        <w:t>Digital learning can overwhelm employees when screens are dense, navigation is confusing or media is decorative. Segmenting, signalling and practice opportunities help manage cognitive demand.</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Microlearning in Banking</w:t>
      </w:r>
    </w:p>
    <w:p>
      <w:r>
        <w:t>Short modules can support regulatory updates, product knowledge and procedural refreshers. Their value depends on sequencing and retrieval practice; fragmentation without a coherent pathway can weaken understanding.</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Synchronous Online Learning</w:t>
      </w:r>
    </w:p>
    <w:p>
      <w:r>
        <w:t>Live virtual sessions can provide reach and interaction but require facilitation suited to the medium. Polls, breakout cases, questions and structured reflection are more effective than long one-way presentations.</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Face to Face Learning</w:t>
      </w:r>
    </w:p>
    <w:p>
      <w:r>
        <w:t>Classroom learning remains useful for complex judgment, sensitive discussion, practice and relationship building. Blended design should reserve classroom time for activities that gain materially from co-presence.</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Institutional Support</w:t>
      </w:r>
    </w:p>
    <w:p>
      <w:r>
        <w:t>Institutional support includes reliable infrastructure, accessible platforms, help services, protected learning time, governance and alignment with capability priorities. Technology availability alone is insufficient when workload prevents participation.</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048"/>
      </w:tblGrid>
      <w:tr>
        <w:tc>
          <w:tcPr>
            <w:tcW w:type="dxa" w:w="5011"/>
            <w:vAlign w:val="center"/>
            <w:shd w:fill="1F4E78"/>
          </w:tcPr>
          <w:p>
            <w:pPr>
              <w:spacing w:after="40" w:before="40"/>
              <w:jc w:val="center"/>
            </w:pPr>
            <w:r>
              <w:rPr>
                <w:b/>
                <w:color w:val="FFFFFF"/>
                <w:sz w:val="17"/>
              </w:rPr>
              <w:t>Literature lens</w:t>
            </w:r>
          </w:p>
        </w:tc>
        <w:tc>
          <w:tcPr>
            <w:tcW w:type="dxa" w:w="5011"/>
            <w:vAlign w:val="center"/>
            <w:shd w:fill="1F4E78"/>
          </w:tcPr>
          <w:p>
            <w:pPr>
              <w:spacing w:after="40" w:before="40"/>
              <w:jc w:val="center"/>
            </w:pPr>
            <w:r>
              <w:rPr>
                <w:b/>
                <w:color w:val="FFFFFF"/>
                <w:sz w:val="17"/>
              </w:rPr>
              <w:t>Implication for measurement</w:t>
            </w:r>
          </w:p>
        </w:tc>
      </w:tr>
      <w:tr>
        <w:tc>
          <w:tcPr>
            <w:tcW w:type="dxa" w:w="3168"/>
            <w:vAlign w:val="center"/>
          </w:tcPr>
          <w:p>
            <w:pPr>
              <w:spacing w:after="40" w:before="40"/>
            </w:pPr>
            <w:r>
              <w:t>Access and support</w:t>
            </w:r>
          </w:p>
        </w:tc>
        <w:tc>
          <w:tcPr>
            <w:tcW w:type="dxa" w:w="6048"/>
            <w:vAlign w:val="center"/>
          </w:tcPr>
          <w:p>
            <w:pPr>
              <w:spacing w:after="40" w:before="40"/>
            </w:pPr>
            <w:r>
              <w:t>Infrastructure, convenience and technical help</w:t>
            </w:r>
          </w:p>
        </w:tc>
      </w:tr>
      <w:tr>
        <w:tc>
          <w:tcPr>
            <w:tcW w:type="dxa" w:w="3168"/>
            <w:vAlign w:val="center"/>
            <w:shd w:fill="F2F6FA"/>
          </w:tcPr>
          <w:p>
            <w:pPr>
              <w:spacing w:after="40" w:before="40"/>
            </w:pPr>
            <w:r>
              <w:t>Facilitation</w:t>
            </w:r>
          </w:p>
        </w:tc>
        <w:tc>
          <w:tcPr>
            <w:tcW w:type="dxa" w:w="6048"/>
            <w:vAlign w:val="center"/>
            <w:shd w:fill="F2F6FA"/>
          </w:tcPr>
          <w:p>
            <w:pPr>
              <w:spacing w:after="40" w:before="40"/>
            </w:pPr>
            <w:r>
              <w:t>Guidance, feedback and interaction</w:t>
            </w:r>
          </w:p>
        </w:tc>
      </w:tr>
      <w:tr>
        <w:tc>
          <w:tcPr>
            <w:tcW w:type="dxa" w:w="3168"/>
            <w:vAlign w:val="center"/>
          </w:tcPr>
          <w:p>
            <w:pPr>
              <w:spacing w:after="40" w:before="40"/>
            </w:pPr>
            <w:r>
              <w:t>Learner agency</w:t>
            </w:r>
          </w:p>
        </w:tc>
        <w:tc>
          <w:tcPr>
            <w:tcW w:type="dxa" w:w="6048"/>
            <w:vAlign w:val="center"/>
          </w:tcPr>
          <w:p>
            <w:pPr>
              <w:spacing w:after="40" w:before="40"/>
            </w:pPr>
            <w:r>
              <w:t>Independent learning, time management and participation</w:t>
            </w:r>
          </w:p>
        </w:tc>
      </w:tr>
      <w:tr>
        <w:tc>
          <w:tcPr>
            <w:tcW w:type="dxa" w:w="3168"/>
            <w:vAlign w:val="center"/>
            <w:shd w:fill="F2F6FA"/>
          </w:tcPr>
          <w:p>
            <w:pPr>
              <w:spacing w:after="40" w:before="40"/>
            </w:pPr>
            <w:r>
              <w:t>Integration</w:t>
            </w:r>
          </w:p>
        </w:tc>
        <w:tc>
          <w:tcPr>
            <w:tcW w:type="dxa" w:w="6048"/>
            <w:vAlign w:val="center"/>
            <w:shd w:fill="F2F6FA"/>
          </w:tcPr>
          <w:p>
            <w:pPr>
              <w:spacing w:after="40" w:before="40"/>
            </w:pPr>
            <w:r>
              <w:t>Continuity and balance across modes</w:t>
            </w:r>
          </w:p>
        </w:tc>
      </w:tr>
      <w:tr>
        <w:tc>
          <w:tcPr>
            <w:tcW w:type="dxa" w:w="3168"/>
            <w:vAlign w:val="center"/>
          </w:tcPr>
          <w:p>
            <w:pPr>
              <w:spacing w:after="40" w:before="40"/>
            </w:pPr>
            <w:r>
              <w:t>Outcome</w:t>
            </w:r>
          </w:p>
        </w:tc>
        <w:tc>
          <w:tcPr>
            <w:tcW w:type="dxa" w:w="6048"/>
            <w:vAlign w:val="center"/>
          </w:tcPr>
          <w:p>
            <w:pPr>
              <w:spacing w:after="40" w:before="40"/>
            </w:pPr>
            <w:r>
              <w:t>Understanding, skill, retention and application</w:t>
            </w:r>
          </w:p>
        </w:tc>
      </w:tr>
    </w:tbl>
    <w:p>
      <w:r>
        <w:br w:type="page"/>
      </w:r>
    </w:p>
    <w:p>
      <w:pPr>
        <w:spacing w:after="40"/>
      </w:pPr>
      <w:r>
        <w:rPr>
          <w:b/>
          <w:color w:val="1F4E78"/>
          <w:sz w:val="16"/>
        </w:rPr>
        <w:t>CHAPTER 2  REVIEW OF LITERATURE</w:t>
      </w:r>
    </w:p>
    <w:p>
      <w:pPr>
        <w:pStyle w:val="Heading1"/>
      </w:pPr>
      <w:r>
        <w:t>Trainer Effectiveness</w:t>
      </w:r>
    </w:p>
    <w:p>
      <w:r>
        <w:t>Trainers in blended programmes act as designers, facilitators and feedback providers. They require subject expertise, digital facilitation capability and the ability to connect content with real banking decisions.</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Learner Readiness</w:t>
      </w:r>
    </w:p>
    <w:p>
      <w:r>
        <w:t>Learner readiness combines confidence, motivation, autonomy, time management and participation. It should not be treated solely as an employee trait because programme clarity and manager support influence readiness.</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Pedagogical Integration</w:t>
      </w:r>
    </w:p>
    <w:p>
      <w:r>
        <w:t>Integration is achieved when online and classroom components have complementary purposes, common outcomes and explicit links. Pre-work, facilitated practice and post-programme application should form a single pathway.</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Engagement and Motivation</w:t>
      </w:r>
    </w:p>
    <w:p>
      <w:r>
        <w:t>Engagement includes behavioural participation, emotional investment and cognitive effort. Completion metrics capture only one part. Relevant problems, choice, feedback and peer interaction support sustained motivation.</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Knowledge Retention</w:t>
      </w:r>
    </w:p>
    <w:p>
      <w:r>
        <w:t>Retention improves through spacing, retrieval practice, feedback and repeated application. A blended sequence can distribute learning over time rather than concentrate it in one event.</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Training Transfer</w:t>
      </w:r>
    </w:p>
    <w:p>
      <w:r>
        <w:t>Transfer is the application and maintenance of learned capability on the job. Opportunity to perform, manager reinforcement, job aids and feedback influence transfer beyond the formal programme.</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Evaluation Models</w:t>
      </w:r>
    </w:p>
    <w:p>
      <w:r>
        <w:t>Kirkpatrick’s levels distinguish reaction, learning, behaviour and results. The present study concentrates on employee perceptions of learning and transfer, while recommending future linkage to verified behavioural and business indicators.</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Evidence from Working Professionals</w:t>
      </w:r>
    </w:p>
    <w:p>
      <w:r>
        <w:t>Kumar and Pande (2017) conceptualise a blended-learning ecosystem for working professionals and identify institutional, faculty-related, learner-related and pedagogical factors. Their framework directly informs this study.</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048"/>
      </w:tblGrid>
      <w:tr>
        <w:tc>
          <w:tcPr>
            <w:tcW w:type="dxa" w:w="5011"/>
            <w:vAlign w:val="center"/>
            <w:shd w:fill="1F4E78"/>
          </w:tcPr>
          <w:p>
            <w:pPr>
              <w:spacing w:after="40" w:before="40"/>
              <w:jc w:val="center"/>
            </w:pPr>
            <w:r>
              <w:rPr>
                <w:b/>
                <w:color w:val="FFFFFF"/>
                <w:sz w:val="17"/>
              </w:rPr>
              <w:t>Literature lens</w:t>
            </w:r>
          </w:p>
        </w:tc>
        <w:tc>
          <w:tcPr>
            <w:tcW w:type="dxa" w:w="5011"/>
            <w:vAlign w:val="center"/>
            <w:shd w:fill="1F4E78"/>
          </w:tcPr>
          <w:p>
            <w:pPr>
              <w:spacing w:after="40" w:before="40"/>
              <w:jc w:val="center"/>
            </w:pPr>
            <w:r>
              <w:rPr>
                <w:b/>
                <w:color w:val="FFFFFF"/>
                <w:sz w:val="17"/>
              </w:rPr>
              <w:t>Implication for measurement</w:t>
            </w:r>
          </w:p>
        </w:tc>
      </w:tr>
      <w:tr>
        <w:tc>
          <w:tcPr>
            <w:tcW w:type="dxa" w:w="3168"/>
            <w:vAlign w:val="center"/>
          </w:tcPr>
          <w:p>
            <w:pPr>
              <w:spacing w:after="40" w:before="40"/>
            </w:pPr>
            <w:r>
              <w:t>Access and support</w:t>
            </w:r>
          </w:p>
        </w:tc>
        <w:tc>
          <w:tcPr>
            <w:tcW w:type="dxa" w:w="6048"/>
            <w:vAlign w:val="center"/>
          </w:tcPr>
          <w:p>
            <w:pPr>
              <w:spacing w:after="40" w:before="40"/>
            </w:pPr>
            <w:r>
              <w:t>Infrastructure, convenience and technical help</w:t>
            </w:r>
          </w:p>
        </w:tc>
      </w:tr>
      <w:tr>
        <w:tc>
          <w:tcPr>
            <w:tcW w:type="dxa" w:w="3168"/>
            <w:vAlign w:val="center"/>
            <w:shd w:fill="F2F6FA"/>
          </w:tcPr>
          <w:p>
            <w:pPr>
              <w:spacing w:after="40" w:before="40"/>
            </w:pPr>
            <w:r>
              <w:t>Facilitation</w:t>
            </w:r>
          </w:p>
        </w:tc>
        <w:tc>
          <w:tcPr>
            <w:tcW w:type="dxa" w:w="6048"/>
            <w:vAlign w:val="center"/>
            <w:shd w:fill="F2F6FA"/>
          </w:tcPr>
          <w:p>
            <w:pPr>
              <w:spacing w:after="40" w:before="40"/>
            </w:pPr>
            <w:r>
              <w:t>Guidance, feedback and interaction</w:t>
            </w:r>
          </w:p>
        </w:tc>
      </w:tr>
      <w:tr>
        <w:tc>
          <w:tcPr>
            <w:tcW w:type="dxa" w:w="3168"/>
            <w:vAlign w:val="center"/>
          </w:tcPr>
          <w:p>
            <w:pPr>
              <w:spacing w:after="40" w:before="40"/>
            </w:pPr>
            <w:r>
              <w:t>Learner agency</w:t>
            </w:r>
          </w:p>
        </w:tc>
        <w:tc>
          <w:tcPr>
            <w:tcW w:type="dxa" w:w="6048"/>
            <w:vAlign w:val="center"/>
          </w:tcPr>
          <w:p>
            <w:pPr>
              <w:spacing w:after="40" w:before="40"/>
            </w:pPr>
            <w:r>
              <w:t>Independent learning, time management and participation</w:t>
            </w:r>
          </w:p>
        </w:tc>
      </w:tr>
      <w:tr>
        <w:tc>
          <w:tcPr>
            <w:tcW w:type="dxa" w:w="3168"/>
            <w:vAlign w:val="center"/>
            <w:shd w:fill="F2F6FA"/>
          </w:tcPr>
          <w:p>
            <w:pPr>
              <w:spacing w:after="40" w:before="40"/>
            </w:pPr>
            <w:r>
              <w:t>Integration</w:t>
            </w:r>
          </w:p>
        </w:tc>
        <w:tc>
          <w:tcPr>
            <w:tcW w:type="dxa" w:w="6048"/>
            <w:vAlign w:val="center"/>
            <w:shd w:fill="F2F6FA"/>
          </w:tcPr>
          <w:p>
            <w:pPr>
              <w:spacing w:after="40" w:before="40"/>
            </w:pPr>
            <w:r>
              <w:t>Continuity and balance across modes</w:t>
            </w:r>
          </w:p>
        </w:tc>
      </w:tr>
      <w:tr>
        <w:tc>
          <w:tcPr>
            <w:tcW w:type="dxa" w:w="3168"/>
            <w:vAlign w:val="center"/>
          </w:tcPr>
          <w:p>
            <w:pPr>
              <w:spacing w:after="40" w:before="40"/>
            </w:pPr>
            <w:r>
              <w:t>Outcome</w:t>
            </w:r>
          </w:p>
        </w:tc>
        <w:tc>
          <w:tcPr>
            <w:tcW w:type="dxa" w:w="6048"/>
            <w:vAlign w:val="center"/>
          </w:tcPr>
          <w:p>
            <w:pPr>
              <w:spacing w:after="40" w:before="40"/>
            </w:pPr>
            <w:r>
              <w:t>Understanding, skill, retention and application</w:t>
            </w:r>
          </w:p>
        </w:tc>
      </w:tr>
    </w:tbl>
    <w:p>
      <w:r>
        <w:br w:type="page"/>
      </w:r>
    </w:p>
    <w:p>
      <w:pPr>
        <w:spacing w:after="40"/>
      </w:pPr>
      <w:r>
        <w:rPr>
          <w:b/>
          <w:color w:val="1F4E78"/>
          <w:sz w:val="16"/>
        </w:rPr>
        <w:t>CHAPTER 2  REVIEW OF LITERATURE</w:t>
      </w:r>
    </w:p>
    <w:p>
      <w:pPr>
        <w:pStyle w:val="Heading1"/>
      </w:pPr>
      <w:r>
        <w:t>Synthesis and Conceptual Model</w:t>
      </w:r>
    </w:p>
    <w:p>
      <w:r>
        <w:t>The literature supports a systems model: support enables access, trainers guide interaction, learners regulate participation, and pedagogy integrates the modes. These predictors are expected to explain perceived effectiveness.</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2  REVIEW OF LITERATURE</w:t>
      </w:r>
    </w:p>
    <w:p>
      <w:pPr>
        <w:pStyle w:val="Heading1"/>
      </w:pPr>
      <w:r>
        <w:t>Chapter Summary and Research Direction</w:t>
      </w:r>
    </w:p>
    <w:p>
      <w:r>
        <w:t>The literature shows that blended learning succeeds through coordinated design rather than technology alone. The study therefore tests four predictor constructs and a multidimensional outcome construct in a public sector banking setting.</w:t>
      </w:r>
    </w:p>
    <w:p>
      <w:r>
        <w:t>For Union Bank of India, the practical implication is that learning must fit both adult-learning principles and the control-intensive character of banking. Employees need opportunities to interpret rules, practise judgment, discuss exceptions and apply knowledge while maintaining service responsibilities.</w:t>
      </w:r>
    </w:p>
    <w:p>
      <w:r>
        <w:t>The questionnaire operationalises this theme through concise employee statements. The proposed analysis first checks internal consistency and construct structure, then examines association with the dependent variable. Causality will not be claimed from cross-sectional perception data.</w:t>
      </w:r>
    </w:p>
    <w:p>
      <w:r>
        <w:br w:type="page"/>
      </w:r>
    </w:p>
    <w:p>
      <w:pPr>
        <w:spacing w:after="40"/>
      </w:pPr>
      <w:r>
        <w:rPr>
          <w:b/>
          <w:color w:val="1F4E78"/>
          <w:sz w:val="16"/>
        </w:rPr>
        <w:t>CHAPTER 3  ORGANISATION AND STUDY CONTEXT</w:t>
      </w:r>
    </w:p>
    <w:p>
      <w:pPr>
        <w:pStyle w:val="Heading1"/>
      </w:pPr>
      <w:r>
        <w:t>Profile of Union Bank of India</w:t>
      </w:r>
    </w:p>
    <w:p>
      <w:r>
        <w:t>Union Bank of India is a public sector bank serving diverse customer and business segments through physical and digital channels. Public information indicates a broad organisational footprint and extensive range of banking services. This scale makes consistent capability development both important and difficult.</w:t>
      </w:r>
    </w:p>
    <w:p>
      <w:r>
        <w:t>This report relies on publicly available organisational context and does not disclose internal learning architecture, employee data or confidential operational information. Bank-specific statements should be updated against the latest approved annual report before final university submission.</w:t>
      </w:r>
    </w:p>
    <w:p>
      <w:pPr>
        <w:pStyle w:val="ListBullet"/>
        <w:spacing w:after="60"/>
      </w:pPr>
      <w:r>
        <w:t>Define role-specific outcomes.</w:t>
      </w:r>
    </w:p>
    <w:p>
      <w:pPr>
        <w:pStyle w:val="ListBullet"/>
        <w:spacing w:after="60"/>
      </w:pPr>
      <w:r>
        <w:t>Choose modes by learning purpose.</w:t>
      </w:r>
    </w:p>
    <w:p>
      <w:pPr>
        <w:pStyle w:val="ListBullet"/>
        <w:spacing w:after="60"/>
      </w:pPr>
      <w:r>
        <w:t>Measure access, experience and transfer.</w:t>
      </w:r>
    </w:p>
    <w:p>
      <w:r>
        <w:br w:type="page"/>
      </w:r>
    </w:p>
    <w:p>
      <w:pPr>
        <w:spacing w:after="40"/>
      </w:pPr>
      <w:r>
        <w:rPr>
          <w:b/>
          <w:color w:val="1F4E78"/>
          <w:sz w:val="16"/>
        </w:rPr>
        <w:t>CHAPTER 3  ORGANISATION AND STUDY CONTEXT</w:t>
      </w:r>
    </w:p>
    <w:p>
      <w:pPr>
        <w:pStyle w:val="Heading1"/>
      </w:pPr>
      <w:r>
        <w:t>Learning Needs in Retail Banking</w:t>
      </w:r>
    </w:p>
    <w:p>
      <w:r>
        <w:t>Retail employees require product knowledge, suitability awareness, documentation discipline, service capability, digital-process familiarity and fraud vigilance. Blended pathways can combine policy modules with customer scenarios and branch-level coaching.</w:t>
      </w:r>
    </w:p>
    <w:p>
      <w:r>
        <w:t>A useful design principle is to identify the work decision that should improve after learning, then choose the delivery mode that best supports that decision. Information acquisition may occur online; difficult cases, feedback and collaborative problem-solving may be facilitated; application should occur at work.</w:t>
      </w:r>
    </w:p>
    <w:p>
      <w:pPr>
        <w:pStyle w:val="ListBullet"/>
        <w:spacing w:after="60"/>
      </w:pPr>
      <w:r>
        <w:t>Define role-specific outcomes.</w:t>
      </w:r>
    </w:p>
    <w:p>
      <w:pPr>
        <w:pStyle w:val="ListBullet"/>
        <w:spacing w:after="60"/>
      </w:pPr>
      <w:r>
        <w:t>Choose modes by learning purpose.</w:t>
      </w:r>
    </w:p>
    <w:p>
      <w:pPr>
        <w:pStyle w:val="ListBullet"/>
        <w:spacing w:after="60"/>
      </w:pPr>
      <w:r>
        <w:t>Measure access, experience and transfer.</w:t>
      </w:r>
    </w:p>
    <w:p>
      <w:r>
        <w:br w:type="page"/>
      </w:r>
    </w:p>
    <w:p>
      <w:pPr>
        <w:spacing w:after="40"/>
      </w:pPr>
      <w:r>
        <w:rPr>
          <w:b/>
          <w:color w:val="1F4E78"/>
          <w:sz w:val="16"/>
        </w:rPr>
        <w:t>CHAPTER 3  ORGANISATION AND STUDY CONTEXT</w:t>
      </w:r>
    </w:p>
    <w:p>
      <w:pPr>
        <w:pStyle w:val="Heading1"/>
      </w:pPr>
      <w:r>
        <w:t>Learning Needs in MSME and Corporate Credit</w:t>
      </w:r>
    </w:p>
    <w:p>
      <w:r>
        <w:t>Credit capability requires financial analysis, due diligence, cash-flow assessment, documentation, monitoring and early-warning judgment. Digital pre-work can establish concepts; facilitated cases can test reasoning; workplace assignments can support transfer.</w:t>
      </w:r>
    </w:p>
    <w:p>
      <w:r>
        <w:t>A useful design principle is to identify the work decision that should improve after learning, then choose the delivery mode that best supports that decision. Information acquisition may occur online; difficult cases, feedback and collaborative problem-solving may be facilitated; application should occur at work.</w:t>
      </w:r>
    </w:p>
    <w:p>
      <w:pPr>
        <w:pStyle w:val="ListBullet"/>
        <w:spacing w:after="60"/>
      </w:pPr>
      <w:r>
        <w:t>Define role-specific outcomes.</w:t>
      </w:r>
    </w:p>
    <w:p>
      <w:pPr>
        <w:pStyle w:val="ListBullet"/>
        <w:spacing w:after="60"/>
      </w:pPr>
      <w:r>
        <w:t>Choose modes by learning purpose.</w:t>
      </w:r>
    </w:p>
    <w:p>
      <w:pPr>
        <w:pStyle w:val="ListBullet"/>
        <w:spacing w:after="60"/>
      </w:pPr>
      <w:r>
        <w:t>Measure access, experience and transfer.</w:t>
      </w:r>
    </w:p>
    <w:p>
      <w:r>
        <w:br w:type="page"/>
      </w:r>
    </w:p>
    <w:p>
      <w:pPr>
        <w:spacing w:after="40"/>
      </w:pPr>
      <w:r>
        <w:rPr>
          <w:b/>
          <w:color w:val="1F4E78"/>
          <w:sz w:val="16"/>
        </w:rPr>
        <w:t>CHAPTER 3  ORGANISATION AND STUDY CONTEXT</w:t>
      </w:r>
    </w:p>
    <w:p>
      <w:pPr>
        <w:pStyle w:val="Heading1"/>
      </w:pPr>
      <w:r>
        <w:t>Risk Compliance and Fraud Learning</w:t>
      </w:r>
    </w:p>
    <w:p>
      <w:r>
        <w:t>Risk and compliance content changes frequently and has consequences beyond examination performance. Scenario-based discussion, periodic digital refreshers and manager-led reinforcement can improve recognition and escalation of red flags.</w:t>
      </w:r>
    </w:p>
    <w:p>
      <w:r>
        <w:t>A useful design principle is to identify the work decision that should improve after learning, then choose the delivery mode that best supports that decision. Information acquisition may occur online; difficult cases, feedback and collaborative problem-solving may be facilitated; application should occur at work.</w:t>
      </w:r>
    </w:p>
    <w:p>
      <w:pPr>
        <w:pStyle w:val="ListBullet"/>
        <w:spacing w:after="60"/>
      </w:pPr>
      <w:r>
        <w:t>Define role-specific outcomes.</w:t>
      </w:r>
    </w:p>
    <w:p>
      <w:pPr>
        <w:pStyle w:val="ListBullet"/>
        <w:spacing w:after="60"/>
      </w:pPr>
      <w:r>
        <w:t>Choose modes by learning purpose.</w:t>
      </w:r>
    </w:p>
    <w:p>
      <w:pPr>
        <w:pStyle w:val="ListBullet"/>
        <w:spacing w:after="60"/>
      </w:pPr>
      <w:r>
        <w:t>Measure access, experience and transfer.</w:t>
      </w:r>
    </w:p>
    <w:p>
      <w:r>
        <w:br w:type="page"/>
      </w:r>
    </w:p>
    <w:p>
      <w:pPr>
        <w:spacing w:after="40"/>
      </w:pPr>
      <w:r>
        <w:rPr>
          <w:b/>
          <w:color w:val="1F4E78"/>
          <w:sz w:val="16"/>
        </w:rPr>
        <w:t>CHAPTER 3  ORGANISATION AND STUDY CONTEXT</w:t>
      </w:r>
    </w:p>
    <w:p>
      <w:pPr>
        <w:pStyle w:val="Heading1"/>
      </w:pPr>
      <w:r>
        <w:t>Digital Banking and Cybersecurity</w:t>
      </w:r>
    </w:p>
    <w:p>
      <w:r>
        <w:t>Employees must understand both customer-facing digital services and related operational risks. Effective programmes should use demonstrations, simulations, short updates and practice in explaining safe behaviour to customers.</w:t>
      </w:r>
    </w:p>
    <w:p>
      <w:r>
        <w:t>A useful design principle is to identify the work decision that should improve after learning, then choose the delivery mode that best supports that decision. Information acquisition may occur online; difficult cases, feedback and collaborative problem-solving may be facilitated; application should occur at work.</w:t>
      </w:r>
    </w:p>
    <w:p>
      <w:pPr>
        <w:pStyle w:val="ListBullet"/>
        <w:spacing w:after="60"/>
      </w:pPr>
      <w:r>
        <w:t>Define role-specific outcomes.</w:t>
      </w:r>
    </w:p>
    <w:p>
      <w:pPr>
        <w:pStyle w:val="ListBullet"/>
        <w:spacing w:after="60"/>
      </w:pPr>
      <w:r>
        <w:t>Choose modes by learning purpose.</w:t>
      </w:r>
    </w:p>
    <w:p>
      <w:pPr>
        <w:pStyle w:val="ListBullet"/>
        <w:spacing w:after="60"/>
      </w:pPr>
      <w:r>
        <w:t>Measure access, experience and transfer.</w:t>
      </w:r>
    </w:p>
    <w:p>
      <w:r>
        <w:br w:type="page"/>
      </w:r>
    </w:p>
    <w:p>
      <w:pPr>
        <w:spacing w:after="40"/>
      </w:pPr>
      <w:r>
        <w:rPr>
          <w:b/>
          <w:color w:val="1F4E78"/>
          <w:sz w:val="16"/>
        </w:rPr>
        <w:t>CHAPTER 3  ORGANISATION AND STUDY CONTEXT</w:t>
      </w:r>
    </w:p>
    <w:p>
      <w:pPr>
        <w:pStyle w:val="Heading1"/>
      </w:pPr>
      <w:r>
        <w:t>Leadership and Behavioural Capability</w:t>
      </w:r>
    </w:p>
    <w:p>
      <w:r>
        <w:t>Managers require coaching, communication, change leadership, performance management and ethical decision-making skills. These capabilities benefit from reflection, peer dialogue, practice and follow-up rather than information delivery alone.</w:t>
      </w:r>
    </w:p>
    <w:p>
      <w:r>
        <w:t>A useful design principle is to identify the work decision that should improve after learning, then choose the delivery mode that best supports that decision. Information acquisition may occur online; difficult cases, feedback and collaborative problem-solving may be facilitated; application should occur at work.</w:t>
      </w:r>
    </w:p>
    <w:p>
      <w:pPr>
        <w:pStyle w:val="ListBullet"/>
        <w:spacing w:after="60"/>
      </w:pPr>
      <w:r>
        <w:t>Define role-specific outcomes.</w:t>
      </w:r>
    </w:p>
    <w:p>
      <w:pPr>
        <w:pStyle w:val="ListBullet"/>
        <w:spacing w:after="60"/>
      </w:pPr>
      <w:r>
        <w:t>Choose modes by learning purpose.</w:t>
      </w:r>
    </w:p>
    <w:p>
      <w:pPr>
        <w:pStyle w:val="ListBullet"/>
        <w:spacing w:after="60"/>
      </w:pPr>
      <w:r>
        <w:t>Measure access, experience and transfer.</w:t>
      </w:r>
    </w:p>
    <w:p>
      <w:r>
        <w:br w:type="page"/>
      </w:r>
    </w:p>
    <w:p>
      <w:pPr>
        <w:spacing w:after="40"/>
      </w:pPr>
      <w:r>
        <w:rPr>
          <w:b/>
          <w:color w:val="1F4E78"/>
          <w:sz w:val="16"/>
        </w:rPr>
        <w:t>CHAPTER 3  ORGANISATION AND STUDY CONTEXT</w:t>
      </w:r>
    </w:p>
    <w:p>
      <w:pPr>
        <w:pStyle w:val="Heading1"/>
      </w:pPr>
      <w:r>
        <w:t>Geographic and Workforce Diversity</w:t>
      </w:r>
    </w:p>
    <w:p>
      <w:r>
        <w:t>A dispersed workforce includes varied cadres, functions, experience levels, languages and digital confidence. Inclusive blended design requires accessible platforms, alternative formats, sensible scheduling and support for employees with lower familiarity.</w:t>
      </w:r>
    </w:p>
    <w:p>
      <w:r>
        <w:t>A useful design principle is to identify the work decision that should improve after learning, then choose the delivery mode that best supports that decision. Information acquisition may occur online; difficult cases, feedback and collaborative problem-solving may be facilitated; application should occur at work.</w:t>
      </w:r>
    </w:p>
    <w:p>
      <w:pPr>
        <w:pStyle w:val="ListBullet"/>
        <w:spacing w:after="60"/>
      </w:pPr>
      <w:r>
        <w:t>Define role-specific outcomes.</w:t>
      </w:r>
    </w:p>
    <w:p>
      <w:pPr>
        <w:pStyle w:val="ListBullet"/>
        <w:spacing w:after="60"/>
      </w:pPr>
      <w:r>
        <w:t>Choose modes by learning purpose.</w:t>
      </w:r>
    </w:p>
    <w:p>
      <w:pPr>
        <w:pStyle w:val="ListBullet"/>
        <w:spacing w:after="60"/>
      </w:pPr>
      <w:r>
        <w:t>Measure access, experience and transfer.</w:t>
      </w:r>
    </w:p>
    <w:p>
      <w:r>
        <w:br w:type="page"/>
      </w:r>
    </w:p>
    <w:p>
      <w:pPr>
        <w:spacing w:after="40"/>
      </w:pPr>
      <w:r>
        <w:rPr>
          <w:b/>
          <w:color w:val="1F4E78"/>
          <w:sz w:val="16"/>
        </w:rPr>
        <w:t>CHAPTER 3  ORGANISATION AND STUDY CONTEXT</w:t>
      </w:r>
    </w:p>
    <w:p>
      <w:pPr>
        <w:pStyle w:val="Heading1"/>
      </w:pPr>
      <w:r>
        <w:t>Role of Training Institutions and Managers</w:t>
      </w:r>
    </w:p>
    <w:p>
      <w:r>
        <w:t>Formal training establishments provide expertise and structure, while line managers shape whether employees obtain time and opportunity to apply learning. The blended ecosystem must connect central design with workplace reinforcement.</w:t>
      </w:r>
    </w:p>
    <w:p>
      <w:r>
        <w:t>A useful design principle is to identify the work decision that should improve after learning, then choose the delivery mode that best supports that decision. Information acquisition may occur online; difficult cases, feedback and collaborative problem-solving may be facilitated; application should occur at work.</w:t>
      </w:r>
    </w:p>
    <w:p>
      <w:pPr>
        <w:pStyle w:val="ListBullet"/>
        <w:spacing w:after="60"/>
      </w:pPr>
      <w:r>
        <w:t>Define role-specific outcomes.</w:t>
      </w:r>
    </w:p>
    <w:p>
      <w:pPr>
        <w:pStyle w:val="ListBullet"/>
        <w:spacing w:after="60"/>
      </w:pPr>
      <w:r>
        <w:t>Choose modes by learning purpose.</w:t>
      </w:r>
    </w:p>
    <w:p>
      <w:pPr>
        <w:pStyle w:val="ListBullet"/>
        <w:spacing w:after="60"/>
      </w:pPr>
      <w:r>
        <w:t>Measure access, experience and transfer.</w:t>
      </w:r>
    </w:p>
    <w:p>
      <w:r>
        <w:br w:type="page"/>
      </w:r>
    </w:p>
    <w:p>
      <w:pPr>
        <w:spacing w:after="40"/>
      </w:pPr>
      <w:r>
        <w:rPr>
          <w:b/>
          <w:color w:val="1F4E78"/>
          <w:sz w:val="16"/>
        </w:rPr>
        <w:t>CHAPTER 3  ORGANISATION AND STUDY CONTEXT</w:t>
      </w:r>
    </w:p>
    <w:p>
      <w:pPr>
        <w:pStyle w:val="Heading1"/>
      </w:pPr>
      <w:r>
        <w:t>Strategic Relevance of Evaluation</w:t>
      </w:r>
    </w:p>
    <w:p>
      <w:r>
        <w:t>Evaluation enables the Bank to distinguish high completion from high value. Evidence can guide allocation of classroom time, platform investment, trainer development and role-based learning journeys.</w:t>
      </w:r>
    </w:p>
    <w:p>
      <w:r>
        <w:t>A useful design principle is to identify the work decision that should improve after learning, then choose the delivery mode that best supports that decision. Information acquisition may occur online; difficult cases, feedback and collaborative problem-solving may be facilitated; application should occur at work.</w:t>
      </w:r>
    </w:p>
    <w:p>
      <w:pPr>
        <w:pStyle w:val="ListBullet"/>
        <w:spacing w:after="60"/>
      </w:pPr>
      <w:r>
        <w:t>Define role-specific outcomes.</w:t>
      </w:r>
    </w:p>
    <w:p>
      <w:pPr>
        <w:pStyle w:val="ListBullet"/>
        <w:spacing w:after="60"/>
      </w:pPr>
      <w:r>
        <w:t>Choose modes by learning purpose.</w:t>
      </w:r>
    </w:p>
    <w:p>
      <w:pPr>
        <w:pStyle w:val="ListBullet"/>
        <w:spacing w:after="60"/>
      </w:pPr>
      <w:r>
        <w:t>Measure access, experience and transfer.</w:t>
      </w:r>
    </w:p>
    <w:p>
      <w:r>
        <w:br w:type="page"/>
      </w:r>
    </w:p>
    <w:p>
      <w:pPr>
        <w:spacing w:after="40"/>
      </w:pPr>
      <w:r>
        <w:rPr>
          <w:b/>
          <w:color w:val="1F4E78"/>
          <w:sz w:val="16"/>
        </w:rPr>
        <w:t>CHAPTER 3  ORGANISATION AND STUDY CONTEXT</w:t>
      </w:r>
    </w:p>
    <w:p>
      <w:pPr>
        <w:pStyle w:val="Heading1"/>
      </w:pPr>
      <w:r>
        <w:t>Chapter Summary</w:t>
      </w:r>
    </w:p>
    <w:p>
      <w:r>
        <w:t>The organisational context confirms the relevance of a scalable but practice-oriented learning model. The next chapter explains how employee perceptions will be sampled, measured and analysed without compromising confidentiality.</w:t>
      </w:r>
    </w:p>
    <w:p>
      <w:r>
        <w:t>A useful design principle is to identify the work decision that should improve after learning, then choose the delivery mode that best supports that decision. Information acquisition may occur online; difficult cases, feedback and collaborative problem-solving may be facilitated; application should occur at work.</w:t>
      </w:r>
    </w:p>
    <w:p>
      <w:pPr>
        <w:pStyle w:val="ListBullet"/>
        <w:spacing w:after="60"/>
      </w:pPr>
      <w:r>
        <w:t>Define role-specific outcomes.</w:t>
      </w:r>
    </w:p>
    <w:p>
      <w:pPr>
        <w:pStyle w:val="ListBullet"/>
        <w:spacing w:after="60"/>
      </w:pPr>
      <w:r>
        <w:t>Choose modes by learning purpose.</w:t>
      </w:r>
    </w:p>
    <w:p>
      <w:pPr>
        <w:pStyle w:val="ListBullet"/>
        <w:spacing w:after="60"/>
      </w:pPr>
      <w:r>
        <w:t>Measure access, experience and transfer.</w:t>
      </w:r>
    </w:p>
    <w:p>
      <w:r>
        <w:br w:type="page"/>
      </w:r>
    </w:p>
    <w:p>
      <w:pPr>
        <w:spacing w:after="40"/>
      </w:pPr>
      <w:r>
        <w:rPr>
          <w:b/>
          <w:color w:val="1F4E78"/>
          <w:sz w:val="16"/>
        </w:rPr>
        <w:t>CHAPTER 4  RESEARCH METHODOLOGY</w:t>
      </w:r>
    </w:p>
    <w:p>
      <w:pPr>
        <w:pStyle w:val="Heading1"/>
      </w:pPr>
      <w:r>
        <w:t>Research Design</w:t>
      </w:r>
    </w:p>
    <w:p>
      <w:r>
        <w:t>The study adopts a quantitative, descriptive and explanatory cross-sectional survey design. It describes employee perceptions and tests statistical associations among the specified constructs at one point in time.</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Population and Unit of Analysis</w:t>
      </w:r>
    </w:p>
    <w:p>
      <w:r>
        <w:t>The population comprises employees of Union Bank of India. The unit of analysis is the individual employee. Eligibility should require recent participation in at least one programme that intentionally combined online and face-to-face components.</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Sampling Frame</w:t>
      </w:r>
    </w:p>
    <w:p>
      <w:r>
        <w:t>The preferred sampling frame should represent relevant zones, regions, branches, offices, cadres and functions. Access to an official list must follow organisational approval and privacy requirements.</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Sampling Technique</w:t>
      </w:r>
    </w:p>
    <w:p>
      <w:r>
        <w:t>Proportionate stratified random sampling is recommended where a reliable frame is available. Strata may include cadre, function, geography and training exposure. If probability sampling is not feasible, limitations of purposive or convenience sampling must be clearly reported.</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Sample Size</w:t>
      </w:r>
    </w:p>
    <w:p>
      <w:r>
        <w:t>Sample size should be determined by the population, expected effect size, number of predictors, confidence level and non-response allowance. For regression with four principal predictors, a sample substantially above the bare minimum is preferable; factor analysis also benefits from larger samples.</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Sources of Data</w:t>
      </w:r>
    </w:p>
    <w:p>
      <w:r>
        <w:t>Primary data will come from the employee questionnaire. Secondary sources include peer-reviewed literature, official bank publications, RBI material, Department of Financial Services reports and UGC guidance.</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Questionnaire Development</w:t>
      </w:r>
    </w:p>
    <w:p>
      <w:r>
        <w:t>The instrument contains five demographic or profile items, 17 independent-variable items and eight dependent-variable items. Statements are adapted to employee learning and public sector banking language.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1584"/>
        <w:gridCol w:w="3888"/>
      </w:tblGrid>
      <w:tr>
        <w:tc>
          <w:tcPr>
            <w:tcW w:type="dxa" w:w="3341"/>
            <w:vAlign w:val="center"/>
            <w:shd w:fill="1F4E78"/>
          </w:tcPr>
          <w:p>
            <w:pPr>
              <w:spacing w:after="40" w:before="40"/>
              <w:jc w:val="center"/>
            </w:pPr>
            <w:r>
              <w:rPr>
                <w:b/>
                <w:color w:val="FFFFFF"/>
                <w:sz w:val="17"/>
              </w:rPr>
              <w:t>Section</w:t>
            </w:r>
          </w:p>
        </w:tc>
        <w:tc>
          <w:tcPr>
            <w:tcW w:type="dxa" w:w="3341"/>
            <w:vAlign w:val="center"/>
            <w:shd w:fill="1F4E78"/>
          </w:tcPr>
          <w:p>
            <w:pPr>
              <w:spacing w:after="40" w:before="40"/>
              <w:jc w:val="center"/>
            </w:pPr>
            <w:r>
              <w:rPr>
                <w:b/>
                <w:color w:val="FFFFFF"/>
                <w:sz w:val="17"/>
              </w:rPr>
              <w:t>Items</w:t>
            </w:r>
          </w:p>
        </w:tc>
        <w:tc>
          <w:tcPr>
            <w:tcW w:type="dxa" w:w="3341"/>
            <w:vAlign w:val="center"/>
            <w:shd w:fill="1F4E78"/>
          </w:tcPr>
          <w:p>
            <w:pPr>
              <w:spacing w:after="40" w:before="40"/>
              <w:jc w:val="center"/>
            </w:pPr>
            <w:r>
              <w:rPr>
                <w:b/>
                <w:color w:val="FFFFFF"/>
                <w:sz w:val="17"/>
              </w:rPr>
              <w:t>Variable type</w:t>
            </w:r>
          </w:p>
        </w:tc>
      </w:tr>
      <w:tr>
        <w:tc>
          <w:tcPr>
            <w:tcW w:type="dxa" w:w="3744"/>
            <w:vAlign w:val="center"/>
          </w:tcPr>
          <w:p>
            <w:pPr>
              <w:spacing w:after="40" w:before="40"/>
            </w:pPr>
            <w:r>
              <w:t>Profile</w:t>
            </w:r>
          </w:p>
        </w:tc>
        <w:tc>
          <w:tcPr>
            <w:tcW w:type="dxa" w:w="1584"/>
            <w:vAlign w:val="center"/>
          </w:tcPr>
          <w:p>
            <w:pPr>
              <w:spacing w:after="40" w:before="40"/>
            </w:pPr>
            <w:r>
              <w:t>1-5</w:t>
            </w:r>
          </w:p>
        </w:tc>
        <w:tc>
          <w:tcPr>
            <w:tcW w:type="dxa" w:w="3888"/>
            <w:vAlign w:val="center"/>
          </w:tcPr>
          <w:p>
            <w:pPr>
              <w:spacing w:after="40" w:before="40"/>
            </w:pPr>
            <w:r>
              <w:t>Demographic</w:t>
            </w:r>
          </w:p>
        </w:tc>
      </w:tr>
      <w:tr>
        <w:tc>
          <w:tcPr>
            <w:tcW w:type="dxa" w:w="3744"/>
            <w:vAlign w:val="center"/>
            <w:shd w:fill="F2F6FA"/>
          </w:tcPr>
          <w:p>
            <w:pPr>
              <w:spacing w:after="40" w:before="40"/>
            </w:pPr>
            <w:r>
              <w:t>Institutional support</w:t>
            </w:r>
          </w:p>
        </w:tc>
        <w:tc>
          <w:tcPr>
            <w:tcW w:type="dxa" w:w="1584"/>
            <w:vAlign w:val="center"/>
            <w:shd w:fill="F2F6FA"/>
          </w:tcPr>
          <w:p>
            <w:pPr>
              <w:spacing w:after="40" w:before="40"/>
            </w:pPr>
            <w:r>
              <w:t>6-9</w:t>
            </w:r>
          </w:p>
        </w:tc>
        <w:tc>
          <w:tcPr>
            <w:tcW w:type="dxa" w:w="3888"/>
            <w:vAlign w:val="center"/>
            <w:shd w:fill="F2F6FA"/>
          </w:tcPr>
          <w:p>
            <w:pPr>
              <w:spacing w:after="40" w:before="40"/>
            </w:pPr>
            <w:r>
              <w:t>Independent</w:t>
            </w:r>
          </w:p>
        </w:tc>
      </w:tr>
      <w:tr>
        <w:tc>
          <w:tcPr>
            <w:tcW w:type="dxa" w:w="3744"/>
            <w:vAlign w:val="center"/>
          </w:tcPr>
          <w:p>
            <w:pPr>
              <w:spacing w:after="40" w:before="40"/>
            </w:pPr>
            <w:r>
              <w:t>Trainer effectiveness</w:t>
            </w:r>
          </w:p>
        </w:tc>
        <w:tc>
          <w:tcPr>
            <w:tcW w:type="dxa" w:w="1584"/>
            <w:vAlign w:val="center"/>
          </w:tcPr>
          <w:p>
            <w:pPr>
              <w:spacing w:after="40" w:before="40"/>
            </w:pPr>
            <w:r>
              <w:t>10-13</w:t>
            </w:r>
          </w:p>
        </w:tc>
        <w:tc>
          <w:tcPr>
            <w:tcW w:type="dxa" w:w="3888"/>
            <w:vAlign w:val="center"/>
          </w:tcPr>
          <w:p>
            <w:pPr>
              <w:spacing w:after="40" w:before="40"/>
            </w:pPr>
            <w:r>
              <w:t>Independent</w:t>
            </w:r>
          </w:p>
        </w:tc>
      </w:tr>
      <w:tr>
        <w:tc>
          <w:tcPr>
            <w:tcW w:type="dxa" w:w="3744"/>
            <w:vAlign w:val="center"/>
            <w:shd w:fill="F2F6FA"/>
          </w:tcPr>
          <w:p>
            <w:pPr>
              <w:spacing w:after="40" w:before="40"/>
            </w:pPr>
            <w:r>
              <w:t>Learner readiness</w:t>
            </w:r>
          </w:p>
        </w:tc>
        <w:tc>
          <w:tcPr>
            <w:tcW w:type="dxa" w:w="1584"/>
            <w:vAlign w:val="center"/>
            <w:shd w:fill="F2F6FA"/>
          </w:tcPr>
          <w:p>
            <w:pPr>
              <w:spacing w:after="40" w:before="40"/>
            </w:pPr>
            <w:r>
              <w:t>14-17</w:t>
            </w:r>
          </w:p>
        </w:tc>
        <w:tc>
          <w:tcPr>
            <w:tcW w:type="dxa" w:w="3888"/>
            <w:vAlign w:val="center"/>
            <w:shd w:fill="F2F6FA"/>
          </w:tcPr>
          <w:p>
            <w:pPr>
              <w:spacing w:after="40" w:before="40"/>
            </w:pPr>
            <w:r>
              <w:t>Independent</w:t>
            </w:r>
          </w:p>
        </w:tc>
      </w:tr>
      <w:tr>
        <w:tc>
          <w:tcPr>
            <w:tcW w:type="dxa" w:w="3744"/>
            <w:vAlign w:val="center"/>
          </w:tcPr>
          <w:p>
            <w:pPr>
              <w:spacing w:after="40" w:before="40"/>
            </w:pPr>
            <w:r>
              <w:t>Pedagogical integration</w:t>
            </w:r>
          </w:p>
        </w:tc>
        <w:tc>
          <w:tcPr>
            <w:tcW w:type="dxa" w:w="1584"/>
            <w:vAlign w:val="center"/>
          </w:tcPr>
          <w:p>
            <w:pPr>
              <w:spacing w:after="40" w:before="40"/>
            </w:pPr>
            <w:r>
              <w:t>18-22</w:t>
            </w:r>
          </w:p>
        </w:tc>
        <w:tc>
          <w:tcPr>
            <w:tcW w:type="dxa" w:w="3888"/>
            <w:vAlign w:val="center"/>
          </w:tcPr>
          <w:p>
            <w:pPr>
              <w:spacing w:after="40" w:before="40"/>
            </w:pPr>
            <w:r>
              <w:t>Independent</w:t>
            </w:r>
          </w:p>
        </w:tc>
      </w:tr>
      <w:tr>
        <w:tc>
          <w:tcPr>
            <w:tcW w:type="dxa" w:w="3744"/>
            <w:vAlign w:val="center"/>
            <w:shd w:fill="F2F6FA"/>
          </w:tcPr>
          <w:p>
            <w:pPr>
              <w:spacing w:after="40" w:before="40"/>
            </w:pPr>
            <w:r>
              <w:t>Learning effectiveness</w:t>
            </w:r>
          </w:p>
        </w:tc>
        <w:tc>
          <w:tcPr>
            <w:tcW w:type="dxa" w:w="1584"/>
            <w:vAlign w:val="center"/>
            <w:shd w:fill="F2F6FA"/>
          </w:tcPr>
          <w:p>
            <w:pPr>
              <w:spacing w:after="40" w:before="40"/>
            </w:pPr>
            <w:r>
              <w:t>23-30</w:t>
            </w:r>
          </w:p>
        </w:tc>
        <w:tc>
          <w:tcPr>
            <w:tcW w:type="dxa" w:w="3888"/>
            <w:vAlign w:val="center"/>
            <w:shd w:fill="F2F6FA"/>
          </w:tcPr>
          <w:p>
            <w:pPr>
              <w:spacing w:after="40" w:before="40"/>
            </w:pPr>
            <w:r>
              <w:t>Dependent</w:t>
            </w:r>
          </w:p>
        </w:tc>
      </w:tr>
    </w:tbl>
    <w:p>
      <w:r>
        <w:br w:type="page"/>
      </w:r>
    </w:p>
    <w:p>
      <w:pPr>
        <w:spacing w:after="40"/>
      </w:pPr>
      <w:r>
        <w:rPr>
          <w:b/>
          <w:color w:val="1F4E78"/>
          <w:sz w:val="16"/>
        </w:rPr>
        <w:t>CHAPTER 4  RESEARCH METHODOLOGY</w:t>
      </w:r>
    </w:p>
    <w:p>
      <w:pPr>
        <w:pStyle w:val="Heading1"/>
      </w:pPr>
      <w:r>
        <w:t>Operationalisation of Variables</w:t>
      </w:r>
    </w:p>
    <w:p>
      <w:r>
        <w:t>Each construct is represented by multiple Likert items. Composite scores should normally be computed as the mean of valid items after reliability and factor checks. Higher scores indicate stronger agreement.</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Pilot Testing</w:t>
      </w:r>
    </w:p>
    <w:p>
      <w:r>
        <w:t>A pilot with employees similar to the target population should test clarity, completion time, ambiguity and digital usability. Pilot responses should not automatically be combined with the main dataset if the instrument changes materially.</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Reliability</w:t>
      </w:r>
    </w:p>
    <w:p>
      <w:r>
        <w:t>Internal consistency will be examined through Cronbach’s alpha and corrected item-total correlations. Alpha should be interpreted with item content and dimensionality; a high value does not by itself establish validity.</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Validity</w:t>
      </w:r>
    </w:p>
    <w:p>
      <w:r>
        <w:t>Content validity should be supported by expert review and literature mapping. Exploratory factor analysis may assess construct structure if the sample is adequate. Convergent and discriminant patterns should be examined where feasible.</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Data Collection Procedure</w:t>
      </w:r>
    </w:p>
    <w:p>
      <w:r>
        <w:t>Participants should receive a short information statement, consent choice and secure questionnaire link or paper form. Responses should be voluntary, anonymous or appropriately pseudonymised, and collected within a defined period.</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Ethical Safeguards</w:t>
      </w:r>
    </w:p>
    <w:p>
      <w:r>
        <w:t>The survey should avoid employee identifiers unless strictly necessary. Participation must not affect appraisal, posting or training opportunity. Results should be reported in aggregates that prevent re-identification of small groups.</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Data Preparation</w:t>
      </w:r>
    </w:p>
    <w:p>
      <w:r>
        <w:t>Data preparation includes range checks, duplicate review, missing-value assessment, reverse-coding if any, label verification and documentation of exclusions. The present questionnaire contains no reverse-worded items, which simplifies coding but requires attention to acquiescence bias.</w:t>
      </w:r>
    </w:p>
    <w:p>
      <w:r>
        <w:t>A transparent decision rule should be documented before analysing the final data. Any departure from the plan should be explained. Statistical significance should not replace practical significance, and results should be interpreted within the limits of self-reported, cross-sectional evidence.</w:t>
      </w:r>
    </w:p>
    <w:p>
      <w:r>
        <w:br w:type="page"/>
      </w:r>
    </w:p>
    <w:p>
      <w:pPr>
        <w:spacing w:after="40"/>
      </w:pPr>
      <w:r>
        <w:rPr>
          <w:b/>
          <w:color w:val="1F4E78"/>
          <w:sz w:val="16"/>
        </w:rPr>
        <w:t>CHAPTER 4  RESEARCH METHODOLOGY</w:t>
      </w:r>
    </w:p>
    <w:p>
      <w:pPr>
        <w:pStyle w:val="Heading1"/>
      </w:pPr>
      <w:r>
        <w:t>Statistical Analysis Plan</w:t>
      </w:r>
    </w:p>
    <w:p>
      <w:r>
        <w:t>Analysis will proceed from data quality to profile distributions, item summaries, reliability, construct scores, correlations, group comparisons and regression. Assumptions and effect sizes should accompany significance tests.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4608"/>
      </w:tblGrid>
      <w:tr>
        <w:tc>
          <w:tcPr>
            <w:tcW w:type="dxa" w:w="5011"/>
            <w:vAlign w:val="center"/>
            <w:shd w:fill="1F4E78"/>
          </w:tcPr>
          <w:p>
            <w:pPr>
              <w:spacing w:after="40" w:before="40"/>
              <w:jc w:val="center"/>
            </w:pPr>
            <w:r>
              <w:rPr>
                <w:b/>
                <w:color w:val="FFFFFF"/>
                <w:sz w:val="17"/>
              </w:rPr>
              <w:t>Purpose</w:t>
            </w:r>
          </w:p>
        </w:tc>
        <w:tc>
          <w:tcPr>
            <w:tcW w:type="dxa" w:w="5011"/>
            <w:vAlign w:val="center"/>
            <w:shd w:fill="1F4E78"/>
          </w:tcPr>
          <w:p>
            <w:pPr>
              <w:spacing w:after="40" w:before="40"/>
              <w:jc w:val="center"/>
            </w:pPr>
            <w:r>
              <w:rPr>
                <w:b/>
                <w:color w:val="FFFFFF"/>
                <w:sz w:val="17"/>
              </w:rPr>
              <w:t>Technique</w:t>
            </w:r>
          </w:p>
        </w:tc>
      </w:tr>
      <w:tr>
        <w:tc>
          <w:tcPr>
            <w:tcW w:type="dxa" w:w="4608"/>
            <w:vAlign w:val="center"/>
          </w:tcPr>
          <w:p>
            <w:pPr>
              <w:spacing w:after="40" w:before="40"/>
            </w:pPr>
            <w:r>
              <w:t>Describe sample</w:t>
            </w:r>
          </w:p>
        </w:tc>
        <w:tc>
          <w:tcPr>
            <w:tcW w:type="dxa" w:w="4608"/>
            <w:vAlign w:val="center"/>
          </w:tcPr>
          <w:p>
            <w:pPr>
              <w:spacing w:after="40" w:before="40"/>
            </w:pPr>
            <w:r>
              <w:t>Frequency and percentage</w:t>
            </w:r>
          </w:p>
        </w:tc>
      </w:tr>
      <w:tr>
        <w:tc>
          <w:tcPr>
            <w:tcW w:type="dxa" w:w="4608"/>
            <w:vAlign w:val="center"/>
            <w:shd w:fill="F2F6FA"/>
          </w:tcPr>
          <w:p>
            <w:pPr>
              <w:spacing w:after="40" w:before="40"/>
            </w:pPr>
            <w:r>
              <w:t>Summarise items</w:t>
            </w:r>
          </w:p>
        </w:tc>
        <w:tc>
          <w:tcPr>
            <w:tcW w:type="dxa" w:w="4608"/>
            <w:vAlign w:val="center"/>
            <w:shd w:fill="F2F6FA"/>
          </w:tcPr>
          <w:p>
            <w:pPr>
              <w:spacing w:after="40" w:before="40"/>
            </w:pPr>
            <w:r>
              <w:t>Mean and standard deviation</w:t>
            </w:r>
          </w:p>
        </w:tc>
      </w:tr>
      <w:tr>
        <w:tc>
          <w:tcPr>
            <w:tcW w:type="dxa" w:w="4608"/>
            <w:vAlign w:val="center"/>
          </w:tcPr>
          <w:p>
            <w:pPr>
              <w:spacing w:after="40" w:before="40"/>
            </w:pPr>
            <w:r>
              <w:t>Check consistency</w:t>
            </w:r>
          </w:p>
        </w:tc>
        <w:tc>
          <w:tcPr>
            <w:tcW w:type="dxa" w:w="4608"/>
            <w:vAlign w:val="center"/>
          </w:tcPr>
          <w:p>
            <w:pPr>
              <w:spacing w:after="40" w:before="40"/>
            </w:pPr>
            <w:r>
              <w:t>Cronbach’s alpha</w:t>
            </w:r>
          </w:p>
        </w:tc>
      </w:tr>
      <w:tr>
        <w:tc>
          <w:tcPr>
            <w:tcW w:type="dxa" w:w="4608"/>
            <w:vAlign w:val="center"/>
            <w:shd w:fill="F2F6FA"/>
          </w:tcPr>
          <w:p>
            <w:pPr>
              <w:spacing w:after="40" w:before="40"/>
            </w:pPr>
            <w:r>
              <w:t>Explore structure</w:t>
            </w:r>
          </w:p>
        </w:tc>
        <w:tc>
          <w:tcPr>
            <w:tcW w:type="dxa" w:w="4608"/>
            <w:vAlign w:val="center"/>
            <w:shd w:fill="F2F6FA"/>
          </w:tcPr>
          <w:p>
            <w:pPr>
              <w:spacing w:after="40" w:before="40"/>
            </w:pPr>
            <w:r>
              <w:t>EFA when adequate</w:t>
            </w:r>
          </w:p>
        </w:tc>
      </w:tr>
      <w:tr>
        <w:tc>
          <w:tcPr>
            <w:tcW w:type="dxa" w:w="4608"/>
            <w:vAlign w:val="center"/>
          </w:tcPr>
          <w:p>
            <w:pPr>
              <w:spacing w:after="40" w:before="40"/>
            </w:pPr>
            <w:r>
              <w:t>Test association</w:t>
            </w:r>
          </w:p>
        </w:tc>
        <w:tc>
          <w:tcPr>
            <w:tcW w:type="dxa" w:w="4608"/>
            <w:vAlign w:val="center"/>
          </w:tcPr>
          <w:p>
            <w:pPr>
              <w:spacing w:after="40" w:before="40"/>
            </w:pPr>
            <w:r>
              <w:t>Pearson correlation</w:t>
            </w:r>
          </w:p>
        </w:tc>
      </w:tr>
      <w:tr>
        <w:tc>
          <w:tcPr>
            <w:tcW w:type="dxa" w:w="4608"/>
            <w:vAlign w:val="center"/>
            <w:shd w:fill="F2F6FA"/>
          </w:tcPr>
          <w:p>
            <w:pPr>
              <w:spacing w:after="40" w:before="40"/>
            </w:pPr>
            <w:r>
              <w:t>Estimate predictors</w:t>
            </w:r>
          </w:p>
        </w:tc>
        <w:tc>
          <w:tcPr>
            <w:tcW w:type="dxa" w:w="4608"/>
            <w:vAlign w:val="center"/>
            <w:shd w:fill="F2F6FA"/>
          </w:tcPr>
          <w:p>
            <w:pPr>
              <w:spacing w:after="40" w:before="40"/>
            </w:pPr>
            <w:r>
              <w:t>Multiple regression</w:t>
            </w:r>
          </w:p>
        </w:tc>
      </w:tr>
      <w:tr>
        <w:tc>
          <w:tcPr>
            <w:tcW w:type="dxa" w:w="4608"/>
            <w:vAlign w:val="center"/>
          </w:tcPr>
          <w:p>
            <w:pPr>
              <w:spacing w:after="40" w:before="40"/>
            </w:pPr>
            <w:r>
              <w:t>Compare groups</w:t>
            </w:r>
          </w:p>
        </w:tc>
        <w:tc>
          <w:tcPr>
            <w:tcW w:type="dxa" w:w="4608"/>
            <w:vAlign w:val="center"/>
          </w:tcPr>
          <w:p>
            <w:pPr>
              <w:spacing w:after="40" w:before="40"/>
            </w:pPr>
            <w:r>
              <w:t>t test or ANOVA as appropriate</w:t>
            </w:r>
          </w:p>
        </w:tc>
      </w:tr>
    </w:tbl>
    <w:p>
      <w:r>
        <w:br w:type="page"/>
      </w:r>
    </w:p>
    <w:p>
      <w:pPr>
        <w:spacing w:after="40"/>
      </w:pPr>
      <w:r>
        <w:rPr>
          <w:b/>
          <w:color w:val="1F4E78"/>
          <w:sz w:val="16"/>
        </w:rPr>
        <w:t>CHAPTER 5  ANALYSIS AND INTERPRETATION TEMPLATES</w:t>
      </w:r>
    </w:p>
    <w:p>
      <w:pPr>
        <w:pStyle w:val="Heading1"/>
      </w:pPr>
      <w:r>
        <w:t>Data Screening Template</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c>
          <w:tcPr>
            <w:tcW w:type="dxa" w:w="3341"/>
            <w:vAlign w:val="center"/>
            <w:shd w:fill="1F4E78"/>
          </w:tcPr>
          <w:p>
            <w:pPr>
              <w:spacing w:after="40" w:before="40"/>
              <w:jc w:val="center"/>
            </w:pPr>
            <w:r>
              <w:rPr>
                <w:b/>
                <w:color w:val="FFFFFF"/>
                <w:sz w:val="17"/>
              </w:rPr>
              <w:t>Check</w:t>
            </w:r>
          </w:p>
        </w:tc>
        <w:tc>
          <w:tcPr>
            <w:tcW w:type="dxa" w:w="3341"/>
            <w:vAlign w:val="center"/>
            <w:shd w:fill="1F4E78"/>
          </w:tcPr>
          <w:p>
            <w:pPr>
              <w:spacing w:after="40" w:before="40"/>
              <w:jc w:val="center"/>
            </w:pPr>
            <w:r>
              <w:rPr>
                <w:b/>
                <w:color w:val="FFFFFF"/>
                <w:sz w:val="17"/>
              </w:rPr>
              <w:t>Result</w:t>
            </w:r>
          </w:p>
        </w:tc>
        <w:tc>
          <w:tcPr>
            <w:tcW w:type="dxa" w:w="3341"/>
            <w:vAlign w:val="center"/>
            <w:shd w:fill="1F4E78"/>
          </w:tcPr>
          <w:p>
            <w:pPr>
              <w:spacing w:after="40" w:before="40"/>
              <w:jc w:val="center"/>
            </w:pPr>
            <w:r>
              <w:rPr>
                <w:b/>
                <w:color w:val="FFFFFF"/>
                <w:sz w:val="17"/>
              </w:rPr>
              <w:t>Action</w:t>
            </w:r>
          </w:p>
        </w:tc>
      </w:tr>
      <w:tr>
        <w:tc>
          <w:tcPr>
            <w:tcW w:type="dxa" w:w="3341"/>
            <w:vAlign w:val="center"/>
          </w:tcPr>
          <w:p>
            <w:pPr>
              <w:spacing w:after="40" w:before="40"/>
            </w:pPr>
            <w:r>
              <w:t>Cases received</w:t>
            </w:r>
          </w:p>
        </w:tc>
        <w:tc>
          <w:tcPr>
            <w:tcW w:type="dxa" w:w="3341"/>
            <w:vAlign w:val="center"/>
          </w:tcPr>
          <w:p>
            <w:pPr>
              <w:spacing w:after="40" w:before="40"/>
            </w:pPr>
            <w:r>
              <w:t>[ ]</w:t>
            </w:r>
          </w:p>
        </w:tc>
        <w:tc>
          <w:tcPr>
            <w:tcW w:type="dxa" w:w="3341"/>
            <w:vAlign w:val="center"/>
          </w:tcPr>
          <w:p>
            <w:pPr>
              <w:spacing w:after="40" w:before="40"/>
            </w:pPr>
            <w:r/>
          </w:p>
        </w:tc>
      </w:tr>
      <w:tr>
        <w:tc>
          <w:tcPr>
            <w:tcW w:type="dxa" w:w="3341"/>
            <w:vAlign w:val="center"/>
            <w:shd w:fill="F2F6FA"/>
          </w:tcPr>
          <w:p>
            <w:pPr>
              <w:spacing w:after="40" w:before="40"/>
            </w:pPr>
            <w:r>
              <w:t>Eligible cases</w:t>
            </w:r>
          </w:p>
        </w:tc>
        <w:tc>
          <w:tcPr>
            <w:tcW w:type="dxa" w:w="3341"/>
            <w:vAlign w:val="center"/>
            <w:shd w:fill="F2F6FA"/>
          </w:tcPr>
          <w:p>
            <w:pPr>
              <w:spacing w:after="40" w:before="40"/>
            </w:pPr>
            <w:r>
              <w:t>[ ]</w:t>
            </w:r>
          </w:p>
        </w:tc>
        <w:tc>
          <w:tcPr>
            <w:tcW w:type="dxa" w:w="3341"/>
            <w:vAlign w:val="center"/>
            <w:shd w:fill="F2F6FA"/>
          </w:tcPr>
          <w:p>
            <w:pPr>
              <w:spacing w:after="40" w:before="40"/>
            </w:pPr>
            <w:r/>
          </w:p>
        </w:tc>
      </w:tr>
      <w:tr>
        <w:tc>
          <w:tcPr>
            <w:tcW w:type="dxa" w:w="3341"/>
            <w:vAlign w:val="center"/>
          </w:tcPr>
          <w:p>
            <w:pPr>
              <w:spacing w:after="40" w:before="40"/>
            </w:pPr>
            <w:r>
              <w:t>Duplicates</w:t>
            </w:r>
          </w:p>
        </w:tc>
        <w:tc>
          <w:tcPr>
            <w:tcW w:type="dxa" w:w="3341"/>
            <w:vAlign w:val="center"/>
          </w:tcPr>
          <w:p>
            <w:pPr>
              <w:spacing w:after="40" w:before="40"/>
            </w:pPr>
            <w:r>
              <w:t>[ ]</w:t>
            </w:r>
          </w:p>
        </w:tc>
        <w:tc>
          <w:tcPr>
            <w:tcW w:type="dxa" w:w="3341"/>
            <w:vAlign w:val="center"/>
          </w:tcPr>
          <w:p>
            <w:pPr>
              <w:spacing w:after="40" w:before="40"/>
            </w:pPr>
            <w:r/>
          </w:p>
        </w:tc>
      </w:tr>
      <w:tr>
        <w:tc>
          <w:tcPr>
            <w:tcW w:type="dxa" w:w="3341"/>
            <w:vAlign w:val="center"/>
            <w:shd w:fill="F2F6FA"/>
          </w:tcPr>
          <w:p>
            <w:pPr>
              <w:spacing w:after="40" w:before="40"/>
            </w:pPr>
            <w:r>
              <w:t>Excessive missingness</w:t>
            </w:r>
          </w:p>
        </w:tc>
        <w:tc>
          <w:tcPr>
            <w:tcW w:type="dxa" w:w="3341"/>
            <w:vAlign w:val="center"/>
            <w:shd w:fill="F2F6FA"/>
          </w:tcPr>
          <w:p>
            <w:pPr>
              <w:spacing w:after="40" w:before="40"/>
            </w:pPr>
            <w:r>
              <w:t>[ ]</w:t>
            </w:r>
          </w:p>
        </w:tc>
        <w:tc>
          <w:tcPr>
            <w:tcW w:type="dxa" w:w="3341"/>
            <w:vAlign w:val="center"/>
            <w:shd w:fill="F2F6FA"/>
          </w:tcPr>
          <w:p>
            <w:pPr>
              <w:spacing w:after="40" w:before="40"/>
            </w:pPr>
            <w:r/>
          </w:p>
        </w:tc>
      </w:tr>
      <w:tr>
        <w:tc>
          <w:tcPr>
            <w:tcW w:type="dxa" w:w="3341"/>
            <w:vAlign w:val="center"/>
          </w:tcPr>
          <w:p>
            <w:pPr>
              <w:spacing w:after="40" w:before="40"/>
            </w:pPr>
            <w:r>
              <w:t>Final valid sample</w:t>
            </w:r>
          </w:p>
        </w:tc>
        <w:tc>
          <w:tcPr>
            <w:tcW w:type="dxa" w:w="3341"/>
            <w:vAlign w:val="center"/>
          </w:tcPr>
          <w:p>
            <w:pPr>
              <w:spacing w:after="40" w:before="40"/>
            </w:pPr>
            <w:r>
              <w:t>[ ]</w:t>
            </w:r>
          </w:p>
        </w:tc>
        <w:tc>
          <w:tcPr>
            <w:tcW w:type="dxa" w:w="3341"/>
            <w:vAlign w:val="center"/>
          </w:tcPr>
          <w:p>
            <w:pPr>
              <w:spacing w:after="40" w:before="40"/>
            </w:pPr>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Respondent Profile Template</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05"/>
        <w:gridCol w:w="2505"/>
        <w:gridCol w:w="2505"/>
        <w:gridCol w:w="2505"/>
      </w:tblGrid>
      <w:tr>
        <w:tc>
          <w:tcPr>
            <w:tcW w:type="dxa" w:w="2505"/>
            <w:vAlign w:val="center"/>
            <w:shd w:fill="1F4E78"/>
          </w:tcPr>
          <w:p>
            <w:pPr>
              <w:spacing w:after="40" w:before="40"/>
              <w:jc w:val="center"/>
            </w:pPr>
            <w:r>
              <w:rPr>
                <w:b/>
                <w:color w:val="FFFFFF"/>
                <w:sz w:val="17"/>
              </w:rPr>
              <w:t>Characteristic</w:t>
            </w:r>
          </w:p>
        </w:tc>
        <w:tc>
          <w:tcPr>
            <w:tcW w:type="dxa" w:w="2505"/>
            <w:vAlign w:val="center"/>
            <w:shd w:fill="1F4E78"/>
          </w:tcPr>
          <w:p>
            <w:pPr>
              <w:spacing w:after="40" w:before="40"/>
              <w:jc w:val="center"/>
            </w:pPr>
            <w:r>
              <w:rPr>
                <w:b/>
                <w:color w:val="FFFFFF"/>
                <w:sz w:val="17"/>
              </w:rPr>
              <w:t>Category</w:t>
            </w:r>
          </w:p>
        </w:tc>
        <w:tc>
          <w:tcPr>
            <w:tcW w:type="dxa" w:w="2505"/>
            <w:vAlign w:val="center"/>
            <w:shd w:fill="1F4E78"/>
          </w:tcPr>
          <w:p>
            <w:pPr>
              <w:spacing w:after="40" w:before="40"/>
              <w:jc w:val="center"/>
            </w:pPr>
            <w:r>
              <w:rPr>
                <w:b/>
                <w:color w:val="FFFFFF"/>
                <w:sz w:val="17"/>
              </w:rPr>
              <w:t>n</w:t>
            </w:r>
          </w:p>
        </w:tc>
        <w:tc>
          <w:tcPr>
            <w:tcW w:type="dxa" w:w="2505"/>
            <w:vAlign w:val="center"/>
            <w:shd w:fill="1F4E78"/>
          </w:tcPr>
          <w:p>
            <w:pPr>
              <w:spacing w:after="40" w:before="40"/>
              <w:jc w:val="center"/>
            </w:pPr>
            <w:r>
              <w:rPr>
                <w:b/>
                <w:color w:val="FFFFFF"/>
                <w:sz w:val="17"/>
              </w:rPr>
              <w:t>%</w:t>
            </w:r>
          </w:p>
        </w:tc>
      </w:tr>
      <w:tr>
        <w:tc>
          <w:tcPr>
            <w:tcW w:type="dxa" w:w="2505"/>
            <w:vAlign w:val="center"/>
          </w:tcPr>
          <w:p>
            <w:pPr>
              <w:spacing w:after="40" w:before="40"/>
            </w:pPr>
            <w:r>
              <w:t>Age</w:t>
            </w:r>
          </w:p>
        </w:tc>
        <w:tc>
          <w:tcPr>
            <w:tcW w:type="dxa" w:w="2505"/>
            <w:vAlign w:val="center"/>
          </w:tcPr>
          <w:p>
            <w:pPr>
              <w:spacing w:after="40" w:before="40"/>
            </w:pPr>
            <w:r>
              <w:t>[Category]</w:t>
            </w:r>
          </w:p>
        </w:tc>
        <w:tc>
          <w:tcPr>
            <w:tcW w:type="dxa" w:w="2505"/>
            <w:vAlign w:val="center"/>
          </w:tcPr>
          <w:p>
            <w:pPr>
              <w:spacing w:after="40" w:before="40"/>
            </w:pPr>
            <w:r/>
          </w:p>
        </w:tc>
        <w:tc>
          <w:tcPr>
            <w:tcW w:type="dxa" w:w="2505"/>
            <w:vAlign w:val="center"/>
          </w:tcPr>
          <w:p>
            <w:pPr>
              <w:spacing w:after="40" w:before="40"/>
            </w:pPr>
            <w:r/>
          </w:p>
        </w:tc>
      </w:tr>
      <w:tr>
        <w:tc>
          <w:tcPr>
            <w:tcW w:type="dxa" w:w="2505"/>
            <w:vAlign w:val="center"/>
            <w:shd w:fill="F2F6FA"/>
          </w:tcPr>
          <w:p>
            <w:pPr>
              <w:spacing w:after="40" w:before="40"/>
            </w:pPr>
            <w:r>
              <w:t>Gender</w:t>
            </w:r>
          </w:p>
        </w:tc>
        <w:tc>
          <w:tcPr>
            <w:tcW w:type="dxa" w:w="2505"/>
            <w:vAlign w:val="center"/>
            <w:shd w:fill="F2F6FA"/>
          </w:tcPr>
          <w:p>
            <w:pPr>
              <w:spacing w:after="40" w:before="40"/>
            </w:pPr>
            <w:r>
              <w:t>[Category]</w:t>
            </w:r>
          </w:p>
        </w:tc>
        <w:tc>
          <w:tcPr>
            <w:tcW w:type="dxa" w:w="2505"/>
            <w:vAlign w:val="center"/>
            <w:shd w:fill="F2F6FA"/>
          </w:tcPr>
          <w:p>
            <w:pPr>
              <w:spacing w:after="40" w:before="40"/>
            </w:pPr>
            <w:r/>
          </w:p>
        </w:tc>
        <w:tc>
          <w:tcPr>
            <w:tcW w:type="dxa" w:w="2505"/>
            <w:vAlign w:val="center"/>
            <w:shd w:fill="F2F6FA"/>
          </w:tcPr>
          <w:p>
            <w:pPr>
              <w:spacing w:after="40" w:before="40"/>
            </w:pPr>
            <w:r/>
          </w:p>
        </w:tc>
      </w:tr>
      <w:tr>
        <w:tc>
          <w:tcPr>
            <w:tcW w:type="dxa" w:w="2505"/>
            <w:vAlign w:val="center"/>
          </w:tcPr>
          <w:p>
            <w:pPr>
              <w:spacing w:after="40" w:before="40"/>
            </w:pPr>
            <w:r>
              <w:t>Experience</w:t>
            </w:r>
          </w:p>
        </w:tc>
        <w:tc>
          <w:tcPr>
            <w:tcW w:type="dxa" w:w="2505"/>
            <w:vAlign w:val="center"/>
          </w:tcPr>
          <w:p>
            <w:pPr>
              <w:spacing w:after="40" w:before="40"/>
            </w:pPr>
            <w:r>
              <w:t>[Category]</w:t>
            </w:r>
          </w:p>
        </w:tc>
        <w:tc>
          <w:tcPr>
            <w:tcW w:type="dxa" w:w="2505"/>
            <w:vAlign w:val="center"/>
          </w:tcPr>
          <w:p>
            <w:pPr>
              <w:spacing w:after="40" w:before="40"/>
            </w:pPr>
            <w:r/>
          </w:p>
        </w:tc>
        <w:tc>
          <w:tcPr>
            <w:tcW w:type="dxa" w:w="2505"/>
            <w:vAlign w:val="center"/>
          </w:tcPr>
          <w:p>
            <w:pPr>
              <w:spacing w:after="40" w:before="40"/>
            </w:pPr>
            <w:r/>
          </w:p>
        </w:tc>
      </w:tr>
      <w:tr>
        <w:tc>
          <w:tcPr>
            <w:tcW w:type="dxa" w:w="2505"/>
            <w:vAlign w:val="center"/>
            <w:shd w:fill="F2F6FA"/>
          </w:tcPr>
          <w:p>
            <w:pPr>
              <w:spacing w:after="40" w:before="40"/>
            </w:pPr>
            <w:r>
              <w:t>Cadre</w:t>
            </w:r>
          </w:p>
        </w:tc>
        <w:tc>
          <w:tcPr>
            <w:tcW w:type="dxa" w:w="2505"/>
            <w:vAlign w:val="center"/>
            <w:shd w:fill="F2F6FA"/>
          </w:tcPr>
          <w:p>
            <w:pPr>
              <w:spacing w:after="40" w:before="40"/>
            </w:pPr>
            <w:r>
              <w:t>[Category]</w:t>
            </w:r>
          </w:p>
        </w:tc>
        <w:tc>
          <w:tcPr>
            <w:tcW w:type="dxa" w:w="2505"/>
            <w:vAlign w:val="center"/>
            <w:shd w:fill="F2F6FA"/>
          </w:tcPr>
          <w:p>
            <w:pPr>
              <w:spacing w:after="40" w:before="40"/>
            </w:pPr>
            <w:r/>
          </w:p>
        </w:tc>
        <w:tc>
          <w:tcPr>
            <w:tcW w:type="dxa" w:w="2505"/>
            <w:vAlign w:val="center"/>
            <w:shd w:fill="F2F6FA"/>
          </w:tcPr>
          <w:p>
            <w:pPr>
              <w:spacing w:after="40" w:before="40"/>
            </w:pPr>
            <w:r/>
          </w:p>
        </w:tc>
      </w:tr>
      <w:tr>
        <w:tc>
          <w:tcPr>
            <w:tcW w:type="dxa" w:w="2505"/>
            <w:vAlign w:val="center"/>
          </w:tcPr>
          <w:p>
            <w:pPr>
              <w:spacing w:after="40" w:before="40"/>
            </w:pPr>
            <w:r>
              <w:t>Training exposure</w:t>
            </w:r>
          </w:p>
        </w:tc>
        <w:tc>
          <w:tcPr>
            <w:tcW w:type="dxa" w:w="2505"/>
            <w:vAlign w:val="center"/>
          </w:tcPr>
          <w:p>
            <w:pPr>
              <w:spacing w:after="40" w:before="40"/>
            </w:pPr>
            <w:r>
              <w:t>[Category]</w:t>
            </w:r>
          </w:p>
        </w:tc>
        <w:tc>
          <w:tcPr>
            <w:tcW w:type="dxa" w:w="2505"/>
            <w:vAlign w:val="center"/>
          </w:tcPr>
          <w:p>
            <w:pPr>
              <w:spacing w:after="40" w:before="40"/>
            </w:pPr>
            <w:r/>
          </w:p>
        </w:tc>
        <w:tc>
          <w:tcPr>
            <w:tcW w:type="dxa" w:w="2505"/>
            <w:vAlign w:val="center"/>
          </w:tcPr>
          <w:p>
            <w:pPr>
              <w:spacing w:after="40" w:before="40"/>
            </w:pPr>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Item Descriptive Statistics</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05"/>
        <w:gridCol w:w="2505"/>
        <w:gridCol w:w="2505"/>
        <w:gridCol w:w="2505"/>
      </w:tblGrid>
      <w:tr>
        <w:tc>
          <w:tcPr>
            <w:tcW w:type="dxa" w:w="2505"/>
            <w:vAlign w:val="center"/>
            <w:shd w:fill="1F4E78"/>
          </w:tcPr>
          <w:p>
            <w:pPr>
              <w:spacing w:after="40" w:before="40"/>
              <w:jc w:val="center"/>
            </w:pPr>
            <w:r>
              <w:rPr>
                <w:b/>
                <w:color w:val="FFFFFF"/>
                <w:sz w:val="17"/>
              </w:rPr>
              <w:t>Item</w:t>
            </w:r>
          </w:p>
        </w:tc>
        <w:tc>
          <w:tcPr>
            <w:tcW w:type="dxa" w:w="2505"/>
            <w:vAlign w:val="center"/>
            <w:shd w:fill="1F4E78"/>
          </w:tcPr>
          <w:p>
            <w:pPr>
              <w:spacing w:after="40" w:before="40"/>
              <w:jc w:val="center"/>
            </w:pPr>
            <w:r>
              <w:rPr>
                <w:b/>
                <w:color w:val="FFFFFF"/>
                <w:sz w:val="17"/>
              </w:rPr>
              <w:t>Valid n</w:t>
            </w:r>
          </w:p>
        </w:tc>
        <w:tc>
          <w:tcPr>
            <w:tcW w:type="dxa" w:w="2505"/>
            <w:vAlign w:val="center"/>
            <w:shd w:fill="1F4E78"/>
          </w:tcPr>
          <w:p>
            <w:pPr>
              <w:spacing w:after="40" w:before="40"/>
              <w:jc w:val="center"/>
            </w:pPr>
            <w:r>
              <w:rPr>
                <w:b/>
                <w:color w:val="FFFFFF"/>
                <w:sz w:val="17"/>
              </w:rPr>
              <w:t>Mean</w:t>
            </w:r>
          </w:p>
        </w:tc>
        <w:tc>
          <w:tcPr>
            <w:tcW w:type="dxa" w:w="2505"/>
            <w:vAlign w:val="center"/>
            <w:shd w:fill="1F4E78"/>
          </w:tcPr>
          <w:p>
            <w:pPr>
              <w:spacing w:after="40" w:before="40"/>
              <w:jc w:val="center"/>
            </w:pPr>
            <w:r>
              <w:rPr>
                <w:b/>
                <w:color w:val="FFFFFF"/>
                <w:sz w:val="17"/>
              </w:rPr>
              <w:t>SD</w:t>
            </w:r>
          </w:p>
        </w:tc>
      </w:tr>
      <w:tr>
        <w:tc>
          <w:tcPr>
            <w:tcW w:type="dxa" w:w="2505"/>
            <w:vAlign w:val="center"/>
          </w:tcPr>
          <w:p>
            <w:pPr>
              <w:spacing w:after="40" w:before="40"/>
            </w:pPr>
            <w:r>
              <w:t>Q6-Q30</w:t>
            </w:r>
          </w:p>
        </w:tc>
        <w:tc>
          <w:tcPr>
            <w:tcW w:type="dxa" w:w="2505"/>
            <w:vAlign w:val="center"/>
          </w:tcPr>
          <w:p>
            <w:pPr>
              <w:spacing w:after="40" w:before="40"/>
            </w:pPr>
            <w:r>
              <w:t>[Enter each item]</w:t>
            </w:r>
          </w:p>
        </w:tc>
        <w:tc>
          <w:tcPr>
            <w:tcW w:type="dxa" w:w="2505"/>
            <w:vAlign w:val="center"/>
          </w:tcPr>
          <w:p>
            <w:pPr>
              <w:spacing w:after="40" w:before="40"/>
            </w:pPr>
            <w:r/>
          </w:p>
        </w:tc>
        <w:tc>
          <w:tcPr>
            <w:tcW w:type="dxa" w:w="2505"/>
            <w:vAlign w:val="center"/>
          </w:tcPr>
          <w:p>
            <w:pPr>
              <w:spacing w:after="40" w:before="40"/>
            </w:pPr>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Construct Score Summary</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05"/>
        <w:gridCol w:w="2505"/>
        <w:gridCol w:w="2505"/>
        <w:gridCol w:w="2505"/>
      </w:tblGrid>
      <w:tr>
        <w:tc>
          <w:tcPr>
            <w:tcW w:type="dxa" w:w="2505"/>
            <w:vAlign w:val="center"/>
            <w:shd w:fill="1F4E78"/>
          </w:tcPr>
          <w:p>
            <w:pPr>
              <w:spacing w:after="40" w:before="40"/>
              <w:jc w:val="center"/>
            </w:pPr>
            <w:r>
              <w:rPr>
                <w:b/>
                <w:color w:val="FFFFFF"/>
                <w:sz w:val="17"/>
              </w:rPr>
              <w:t>Construct</w:t>
            </w:r>
          </w:p>
        </w:tc>
        <w:tc>
          <w:tcPr>
            <w:tcW w:type="dxa" w:w="2505"/>
            <w:vAlign w:val="center"/>
            <w:shd w:fill="1F4E78"/>
          </w:tcPr>
          <w:p>
            <w:pPr>
              <w:spacing w:after="40" w:before="40"/>
              <w:jc w:val="center"/>
            </w:pPr>
            <w:r>
              <w:rPr>
                <w:b/>
                <w:color w:val="FFFFFF"/>
                <w:sz w:val="17"/>
              </w:rPr>
              <w:t>Items</w:t>
            </w:r>
          </w:p>
        </w:tc>
        <w:tc>
          <w:tcPr>
            <w:tcW w:type="dxa" w:w="2505"/>
            <w:vAlign w:val="center"/>
            <w:shd w:fill="1F4E78"/>
          </w:tcPr>
          <w:p>
            <w:pPr>
              <w:spacing w:after="40" w:before="40"/>
              <w:jc w:val="center"/>
            </w:pPr>
            <w:r>
              <w:rPr>
                <w:b/>
                <w:color w:val="FFFFFF"/>
                <w:sz w:val="17"/>
              </w:rPr>
              <w:t>Mean</w:t>
            </w:r>
          </w:p>
        </w:tc>
        <w:tc>
          <w:tcPr>
            <w:tcW w:type="dxa" w:w="2505"/>
            <w:vAlign w:val="center"/>
            <w:shd w:fill="1F4E78"/>
          </w:tcPr>
          <w:p>
            <w:pPr>
              <w:spacing w:after="40" w:before="40"/>
              <w:jc w:val="center"/>
            </w:pPr>
            <w:r>
              <w:rPr>
                <w:b/>
                <w:color w:val="FFFFFF"/>
                <w:sz w:val="17"/>
              </w:rPr>
              <w:t>SD</w:t>
            </w:r>
          </w:p>
        </w:tc>
      </w:tr>
      <w:tr>
        <w:tc>
          <w:tcPr>
            <w:tcW w:type="dxa" w:w="2505"/>
            <w:vAlign w:val="center"/>
          </w:tcPr>
          <w:p>
            <w:pPr>
              <w:spacing w:after="40" w:before="40"/>
            </w:pPr>
            <w:r>
              <w:t>Institutional support</w:t>
            </w:r>
          </w:p>
        </w:tc>
        <w:tc>
          <w:tcPr>
            <w:tcW w:type="dxa" w:w="2505"/>
            <w:vAlign w:val="center"/>
          </w:tcPr>
          <w:p>
            <w:pPr>
              <w:spacing w:after="40" w:before="40"/>
            </w:pPr>
            <w:r>
              <w:t>6-9</w:t>
            </w:r>
          </w:p>
        </w:tc>
        <w:tc>
          <w:tcPr>
            <w:tcW w:type="dxa" w:w="2505"/>
            <w:vAlign w:val="center"/>
          </w:tcPr>
          <w:p>
            <w:pPr>
              <w:spacing w:after="40" w:before="40"/>
            </w:pPr>
            <w:r/>
          </w:p>
        </w:tc>
        <w:tc>
          <w:tcPr>
            <w:tcW w:type="dxa" w:w="2505"/>
            <w:vAlign w:val="center"/>
          </w:tcPr>
          <w:p>
            <w:pPr>
              <w:spacing w:after="40" w:before="40"/>
            </w:pPr>
            <w:r/>
          </w:p>
        </w:tc>
      </w:tr>
      <w:tr>
        <w:tc>
          <w:tcPr>
            <w:tcW w:type="dxa" w:w="2505"/>
            <w:vAlign w:val="center"/>
            <w:shd w:fill="F2F6FA"/>
          </w:tcPr>
          <w:p>
            <w:pPr>
              <w:spacing w:after="40" w:before="40"/>
            </w:pPr>
            <w:r>
              <w:t>Trainer effectiveness</w:t>
            </w:r>
          </w:p>
        </w:tc>
        <w:tc>
          <w:tcPr>
            <w:tcW w:type="dxa" w:w="2505"/>
            <w:vAlign w:val="center"/>
            <w:shd w:fill="F2F6FA"/>
          </w:tcPr>
          <w:p>
            <w:pPr>
              <w:spacing w:after="40" w:before="40"/>
            </w:pPr>
            <w:r>
              <w:t>10-13</w:t>
            </w:r>
          </w:p>
        </w:tc>
        <w:tc>
          <w:tcPr>
            <w:tcW w:type="dxa" w:w="2505"/>
            <w:vAlign w:val="center"/>
            <w:shd w:fill="F2F6FA"/>
          </w:tcPr>
          <w:p>
            <w:pPr>
              <w:spacing w:after="40" w:before="40"/>
            </w:pPr>
            <w:r/>
          </w:p>
        </w:tc>
        <w:tc>
          <w:tcPr>
            <w:tcW w:type="dxa" w:w="2505"/>
            <w:vAlign w:val="center"/>
            <w:shd w:fill="F2F6FA"/>
          </w:tcPr>
          <w:p>
            <w:pPr>
              <w:spacing w:after="40" w:before="40"/>
            </w:pPr>
            <w:r/>
          </w:p>
        </w:tc>
      </w:tr>
      <w:tr>
        <w:tc>
          <w:tcPr>
            <w:tcW w:type="dxa" w:w="2505"/>
            <w:vAlign w:val="center"/>
          </w:tcPr>
          <w:p>
            <w:pPr>
              <w:spacing w:after="40" w:before="40"/>
            </w:pPr>
            <w:r>
              <w:t>Learner readiness</w:t>
            </w:r>
          </w:p>
        </w:tc>
        <w:tc>
          <w:tcPr>
            <w:tcW w:type="dxa" w:w="2505"/>
            <w:vAlign w:val="center"/>
          </w:tcPr>
          <w:p>
            <w:pPr>
              <w:spacing w:after="40" w:before="40"/>
            </w:pPr>
            <w:r>
              <w:t>14-17</w:t>
            </w:r>
          </w:p>
        </w:tc>
        <w:tc>
          <w:tcPr>
            <w:tcW w:type="dxa" w:w="2505"/>
            <w:vAlign w:val="center"/>
          </w:tcPr>
          <w:p>
            <w:pPr>
              <w:spacing w:after="40" w:before="40"/>
            </w:pPr>
            <w:r/>
          </w:p>
        </w:tc>
        <w:tc>
          <w:tcPr>
            <w:tcW w:type="dxa" w:w="2505"/>
            <w:vAlign w:val="center"/>
          </w:tcPr>
          <w:p>
            <w:pPr>
              <w:spacing w:after="40" w:before="40"/>
            </w:pPr>
            <w:r/>
          </w:p>
        </w:tc>
      </w:tr>
      <w:tr>
        <w:tc>
          <w:tcPr>
            <w:tcW w:type="dxa" w:w="2505"/>
            <w:vAlign w:val="center"/>
            <w:shd w:fill="F2F6FA"/>
          </w:tcPr>
          <w:p>
            <w:pPr>
              <w:spacing w:after="40" w:before="40"/>
            </w:pPr>
            <w:r>
              <w:t>Pedagogical integration</w:t>
            </w:r>
          </w:p>
        </w:tc>
        <w:tc>
          <w:tcPr>
            <w:tcW w:type="dxa" w:w="2505"/>
            <w:vAlign w:val="center"/>
            <w:shd w:fill="F2F6FA"/>
          </w:tcPr>
          <w:p>
            <w:pPr>
              <w:spacing w:after="40" w:before="40"/>
            </w:pPr>
            <w:r>
              <w:t>18-22</w:t>
            </w:r>
          </w:p>
        </w:tc>
        <w:tc>
          <w:tcPr>
            <w:tcW w:type="dxa" w:w="2505"/>
            <w:vAlign w:val="center"/>
            <w:shd w:fill="F2F6FA"/>
          </w:tcPr>
          <w:p>
            <w:pPr>
              <w:spacing w:after="40" w:before="40"/>
            </w:pPr>
            <w:r/>
          </w:p>
        </w:tc>
        <w:tc>
          <w:tcPr>
            <w:tcW w:type="dxa" w:w="2505"/>
            <w:vAlign w:val="center"/>
            <w:shd w:fill="F2F6FA"/>
          </w:tcPr>
          <w:p>
            <w:pPr>
              <w:spacing w:after="40" w:before="40"/>
            </w:pPr>
            <w:r/>
          </w:p>
        </w:tc>
      </w:tr>
      <w:tr>
        <w:tc>
          <w:tcPr>
            <w:tcW w:type="dxa" w:w="2505"/>
            <w:vAlign w:val="center"/>
          </w:tcPr>
          <w:p>
            <w:pPr>
              <w:spacing w:after="40" w:before="40"/>
            </w:pPr>
            <w:r>
              <w:t>Effectiveness</w:t>
            </w:r>
          </w:p>
        </w:tc>
        <w:tc>
          <w:tcPr>
            <w:tcW w:type="dxa" w:w="2505"/>
            <w:vAlign w:val="center"/>
          </w:tcPr>
          <w:p>
            <w:pPr>
              <w:spacing w:after="40" w:before="40"/>
            </w:pPr>
            <w:r>
              <w:t>23-30</w:t>
            </w:r>
          </w:p>
        </w:tc>
        <w:tc>
          <w:tcPr>
            <w:tcW w:type="dxa" w:w="2505"/>
            <w:vAlign w:val="center"/>
          </w:tcPr>
          <w:p>
            <w:pPr>
              <w:spacing w:after="40" w:before="40"/>
            </w:pPr>
            <w:r/>
          </w:p>
        </w:tc>
        <w:tc>
          <w:tcPr>
            <w:tcW w:type="dxa" w:w="2505"/>
            <w:vAlign w:val="center"/>
          </w:tcPr>
          <w:p>
            <w:pPr>
              <w:spacing w:after="40" w:before="40"/>
            </w:pPr>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Reliability Analysis Template</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05"/>
        <w:gridCol w:w="2505"/>
        <w:gridCol w:w="2505"/>
        <w:gridCol w:w="2505"/>
      </w:tblGrid>
      <w:tr>
        <w:tc>
          <w:tcPr>
            <w:tcW w:type="dxa" w:w="2505"/>
            <w:vAlign w:val="center"/>
            <w:shd w:fill="1F4E78"/>
          </w:tcPr>
          <w:p>
            <w:pPr>
              <w:spacing w:after="40" w:before="40"/>
              <w:jc w:val="center"/>
            </w:pPr>
            <w:r>
              <w:rPr>
                <w:b/>
                <w:color w:val="FFFFFF"/>
                <w:sz w:val="17"/>
              </w:rPr>
              <w:t>Construct</w:t>
            </w:r>
          </w:p>
        </w:tc>
        <w:tc>
          <w:tcPr>
            <w:tcW w:type="dxa" w:w="2505"/>
            <w:vAlign w:val="center"/>
            <w:shd w:fill="1F4E78"/>
          </w:tcPr>
          <w:p>
            <w:pPr>
              <w:spacing w:after="40" w:before="40"/>
              <w:jc w:val="center"/>
            </w:pPr>
            <w:r>
              <w:rPr>
                <w:b/>
                <w:color w:val="FFFFFF"/>
                <w:sz w:val="17"/>
              </w:rPr>
              <w:t>Items</w:t>
            </w:r>
          </w:p>
        </w:tc>
        <w:tc>
          <w:tcPr>
            <w:tcW w:type="dxa" w:w="2505"/>
            <w:vAlign w:val="center"/>
            <w:shd w:fill="1F4E78"/>
          </w:tcPr>
          <w:p>
            <w:pPr>
              <w:spacing w:after="40" w:before="40"/>
              <w:jc w:val="center"/>
            </w:pPr>
            <w:r>
              <w:rPr>
                <w:b/>
                <w:color w:val="FFFFFF"/>
                <w:sz w:val="17"/>
              </w:rPr>
              <w:t>Cronbach alpha</w:t>
            </w:r>
          </w:p>
        </w:tc>
        <w:tc>
          <w:tcPr>
            <w:tcW w:type="dxa" w:w="2505"/>
            <w:vAlign w:val="center"/>
            <w:shd w:fill="1F4E78"/>
          </w:tcPr>
          <w:p>
            <w:pPr>
              <w:spacing w:after="40" w:before="40"/>
              <w:jc w:val="center"/>
            </w:pPr>
            <w:r>
              <w:rPr>
                <w:b/>
                <w:color w:val="FFFFFF"/>
                <w:sz w:val="17"/>
              </w:rPr>
              <w:t>Decision</w:t>
            </w:r>
          </w:p>
        </w:tc>
      </w:tr>
      <w:tr>
        <w:tc>
          <w:tcPr>
            <w:tcW w:type="dxa" w:w="2505"/>
            <w:vAlign w:val="center"/>
          </w:tcPr>
          <w:p>
            <w:pPr>
              <w:spacing w:after="40" w:before="40"/>
            </w:pPr>
            <w:r>
              <w:t>Institutional support</w:t>
            </w:r>
          </w:p>
        </w:tc>
        <w:tc>
          <w:tcPr>
            <w:tcW w:type="dxa" w:w="2505"/>
            <w:vAlign w:val="center"/>
          </w:tcPr>
          <w:p>
            <w:pPr>
              <w:spacing w:after="40" w:before="40"/>
            </w:pPr>
            <w:r>
              <w:t>4</w:t>
            </w:r>
          </w:p>
        </w:tc>
        <w:tc>
          <w:tcPr>
            <w:tcW w:type="dxa" w:w="2505"/>
            <w:vAlign w:val="center"/>
          </w:tcPr>
          <w:p>
            <w:pPr>
              <w:spacing w:after="40" w:before="40"/>
            </w:pPr>
            <w:r/>
          </w:p>
        </w:tc>
        <w:tc>
          <w:tcPr>
            <w:tcW w:type="dxa" w:w="2505"/>
            <w:vAlign w:val="center"/>
          </w:tcPr>
          <w:p>
            <w:pPr>
              <w:spacing w:after="40" w:before="40"/>
            </w:pPr>
            <w:r/>
          </w:p>
        </w:tc>
      </w:tr>
      <w:tr>
        <w:tc>
          <w:tcPr>
            <w:tcW w:type="dxa" w:w="2505"/>
            <w:vAlign w:val="center"/>
            <w:shd w:fill="F2F6FA"/>
          </w:tcPr>
          <w:p>
            <w:pPr>
              <w:spacing w:after="40" w:before="40"/>
            </w:pPr>
            <w:r>
              <w:t>Trainer effectiveness</w:t>
            </w:r>
          </w:p>
        </w:tc>
        <w:tc>
          <w:tcPr>
            <w:tcW w:type="dxa" w:w="2505"/>
            <w:vAlign w:val="center"/>
            <w:shd w:fill="F2F6FA"/>
          </w:tcPr>
          <w:p>
            <w:pPr>
              <w:spacing w:after="40" w:before="40"/>
            </w:pPr>
            <w:r>
              <w:t>4</w:t>
            </w:r>
          </w:p>
        </w:tc>
        <w:tc>
          <w:tcPr>
            <w:tcW w:type="dxa" w:w="2505"/>
            <w:vAlign w:val="center"/>
            <w:shd w:fill="F2F6FA"/>
          </w:tcPr>
          <w:p>
            <w:pPr>
              <w:spacing w:after="40" w:before="40"/>
            </w:pPr>
            <w:r/>
          </w:p>
        </w:tc>
        <w:tc>
          <w:tcPr>
            <w:tcW w:type="dxa" w:w="2505"/>
            <w:vAlign w:val="center"/>
            <w:shd w:fill="F2F6FA"/>
          </w:tcPr>
          <w:p>
            <w:pPr>
              <w:spacing w:after="40" w:before="40"/>
            </w:pPr>
            <w:r/>
          </w:p>
        </w:tc>
      </w:tr>
      <w:tr>
        <w:tc>
          <w:tcPr>
            <w:tcW w:type="dxa" w:w="2505"/>
            <w:vAlign w:val="center"/>
          </w:tcPr>
          <w:p>
            <w:pPr>
              <w:spacing w:after="40" w:before="40"/>
            </w:pPr>
            <w:r>
              <w:t>Learner readiness</w:t>
            </w:r>
          </w:p>
        </w:tc>
        <w:tc>
          <w:tcPr>
            <w:tcW w:type="dxa" w:w="2505"/>
            <w:vAlign w:val="center"/>
          </w:tcPr>
          <w:p>
            <w:pPr>
              <w:spacing w:after="40" w:before="40"/>
            </w:pPr>
            <w:r>
              <w:t>4</w:t>
            </w:r>
          </w:p>
        </w:tc>
        <w:tc>
          <w:tcPr>
            <w:tcW w:type="dxa" w:w="2505"/>
            <w:vAlign w:val="center"/>
          </w:tcPr>
          <w:p>
            <w:pPr>
              <w:spacing w:after="40" w:before="40"/>
            </w:pPr>
            <w:r/>
          </w:p>
        </w:tc>
        <w:tc>
          <w:tcPr>
            <w:tcW w:type="dxa" w:w="2505"/>
            <w:vAlign w:val="center"/>
          </w:tcPr>
          <w:p>
            <w:pPr>
              <w:spacing w:after="40" w:before="40"/>
            </w:pPr>
            <w:r/>
          </w:p>
        </w:tc>
      </w:tr>
      <w:tr>
        <w:tc>
          <w:tcPr>
            <w:tcW w:type="dxa" w:w="2505"/>
            <w:vAlign w:val="center"/>
            <w:shd w:fill="F2F6FA"/>
          </w:tcPr>
          <w:p>
            <w:pPr>
              <w:spacing w:after="40" w:before="40"/>
            </w:pPr>
            <w:r>
              <w:t>Pedagogical integration</w:t>
            </w:r>
          </w:p>
        </w:tc>
        <w:tc>
          <w:tcPr>
            <w:tcW w:type="dxa" w:w="2505"/>
            <w:vAlign w:val="center"/>
            <w:shd w:fill="F2F6FA"/>
          </w:tcPr>
          <w:p>
            <w:pPr>
              <w:spacing w:after="40" w:before="40"/>
            </w:pPr>
            <w:r>
              <w:t>5</w:t>
            </w:r>
          </w:p>
        </w:tc>
        <w:tc>
          <w:tcPr>
            <w:tcW w:type="dxa" w:w="2505"/>
            <w:vAlign w:val="center"/>
            <w:shd w:fill="F2F6FA"/>
          </w:tcPr>
          <w:p>
            <w:pPr>
              <w:spacing w:after="40" w:before="40"/>
            </w:pPr>
            <w:r/>
          </w:p>
        </w:tc>
        <w:tc>
          <w:tcPr>
            <w:tcW w:type="dxa" w:w="2505"/>
            <w:vAlign w:val="center"/>
            <w:shd w:fill="F2F6FA"/>
          </w:tcPr>
          <w:p>
            <w:pPr>
              <w:spacing w:after="40" w:before="40"/>
            </w:pPr>
            <w:r/>
          </w:p>
        </w:tc>
      </w:tr>
      <w:tr>
        <w:tc>
          <w:tcPr>
            <w:tcW w:type="dxa" w:w="2505"/>
            <w:vAlign w:val="center"/>
          </w:tcPr>
          <w:p>
            <w:pPr>
              <w:spacing w:after="40" w:before="40"/>
            </w:pPr>
            <w:r>
              <w:t>Effectiveness</w:t>
            </w:r>
          </w:p>
        </w:tc>
        <w:tc>
          <w:tcPr>
            <w:tcW w:type="dxa" w:w="2505"/>
            <w:vAlign w:val="center"/>
          </w:tcPr>
          <w:p>
            <w:pPr>
              <w:spacing w:after="40" w:before="40"/>
            </w:pPr>
            <w:r>
              <w:t>8</w:t>
            </w:r>
          </w:p>
        </w:tc>
        <w:tc>
          <w:tcPr>
            <w:tcW w:type="dxa" w:w="2505"/>
            <w:vAlign w:val="center"/>
          </w:tcPr>
          <w:p>
            <w:pPr>
              <w:spacing w:after="40" w:before="40"/>
            </w:pPr>
            <w:r/>
          </w:p>
        </w:tc>
        <w:tc>
          <w:tcPr>
            <w:tcW w:type="dxa" w:w="2505"/>
            <w:vAlign w:val="center"/>
          </w:tcPr>
          <w:p>
            <w:pPr>
              <w:spacing w:after="40" w:before="40"/>
            </w:pPr>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Factorability Checks</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c>
          <w:tcPr>
            <w:tcW w:type="dxa" w:w="3341"/>
            <w:vAlign w:val="center"/>
            <w:shd w:fill="1F4E78"/>
          </w:tcPr>
          <w:p>
            <w:pPr>
              <w:spacing w:after="40" w:before="40"/>
              <w:jc w:val="center"/>
            </w:pPr>
            <w:r>
              <w:rPr>
                <w:b/>
                <w:color w:val="FFFFFF"/>
                <w:sz w:val="17"/>
              </w:rPr>
              <w:t>Diagnostic</w:t>
            </w:r>
          </w:p>
        </w:tc>
        <w:tc>
          <w:tcPr>
            <w:tcW w:type="dxa" w:w="3341"/>
            <w:vAlign w:val="center"/>
            <w:shd w:fill="1F4E78"/>
          </w:tcPr>
          <w:p>
            <w:pPr>
              <w:spacing w:after="40" w:before="40"/>
              <w:jc w:val="center"/>
            </w:pPr>
            <w:r>
              <w:rPr>
                <w:b/>
                <w:color w:val="FFFFFF"/>
                <w:sz w:val="17"/>
              </w:rPr>
              <w:t>Value</w:t>
            </w:r>
          </w:p>
        </w:tc>
        <w:tc>
          <w:tcPr>
            <w:tcW w:type="dxa" w:w="3341"/>
            <w:vAlign w:val="center"/>
            <w:shd w:fill="1F4E78"/>
          </w:tcPr>
          <w:p>
            <w:pPr>
              <w:spacing w:after="40" w:before="40"/>
              <w:jc w:val="center"/>
            </w:pPr>
            <w:r>
              <w:rPr>
                <w:b/>
                <w:color w:val="FFFFFF"/>
                <w:sz w:val="17"/>
              </w:rPr>
              <w:t>Suggested interpretation</w:t>
            </w:r>
          </w:p>
        </w:tc>
      </w:tr>
      <w:tr>
        <w:tc>
          <w:tcPr>
            <w:tcW w:type="dxa" w:w="3341"/>
            <w:vAlign w:val="center"/>
          </w:tcPr>
          <w:p>
            <w:pPr>
              <w:spacing w:after="40" w:before="40"/>
            </w:pPr>
            <w:r>
              <w:t>KMO</w:t>
            </w:r>
          </w:p>
        </w:tc>
        <w:tc>
          <w:tcPr>
            <w:tcW w:type="dxa" w:w="3341"/>
            <w:vAlign w:val="center"/>
          </w:tcPr>
          <w:p>
            <w:pPr>
              <w:spacing w:after="40" w:before="40"/>
            </w:pPr>
            <w:r/>
          </w:p>
        </w:tc>
        <w:tc>
          <w:tcPr>
            <w:tcW w:type="dxa" w:w="3341"/>
            <w:vAlign w:val="center"/>
          </w:tcPr>
          <w:p>
            <w:pPr>
              <w:spacing w:after="40" w:before="40"/>
            </w:pPr>
            <w:r>
              <w:t>Report adequacy</w:t>
            </w:r>
          </w:p>
        </w:tc>
      </w:tr>
      <w:tr>
        <w:tc>
          <w:tcPr>
            <w:tcW w:type="dxa" w:w="3341"/>
            <w:vAlign w:val="center"/>
            <w:shd w:fill="F2F6FA"/>
          </w:tcPr>
          <w:p>
            <w:pPr>
              <w:spacing w:after="40" w:before="40"/>
            </w:pPr>
            <w:r>
              <w:t>Bartlett chi square</w:t>
            </w:r>
          </w:p>
        </w:tc>
        <w:tc>
          <w:tcPr>
            <w:tcW w:type="dxa" w:w="3341"/>
            <w:vAlign w:val="center"/>
            <w:shd w:fill="F2F6FA"/>
          </w:tcPr>
          <w:p>
            <w:pPr>
              <w:spacing w:after="40" w:before="40"/>
            </w:pPr>
            <w:r/>
          </w:p>
        </w:tc>
        <w:tc>
          <w:tcPr>
            <w:tcW w:type="dxa" w:w="3341"/>
            <w:vAlign w:val="center"/>
            <w:shd w:fill="F2F6FA"/>
          </w:tcPr>
          <w:p>
            <w:pPr>
              <w:spacing w:after="40" w:before="40"/>
            </w:pPr>
            <w:r>
              <w:t>Report statistic and p</w:t>
            </w:r>
          </w:p>
        </w:tc>
      </w:tr>
      <w:tr>
        <w:tc>
          <w:tcPr>
            <w:tcW w:type="dxa" w:w="3341"/>
            <w:vAlign w:val="center"/>
          </w:tcPr>
          <w:p>
            <w:pPr>
              <w:spacing w:after="40" w:before="40"/>
            </w:pPr>
            <w:r>
              <w:t>Determinant</w:t>
            </w:r>
          </w:p>
        </w:tc>
        <w:tc>
          <w:tcPr>
            <w:tcW w:type="dxa" w:w="3341"/>
            <w:vAlign w:val="center"/>
          </w:tcPr>
          <w:p>
            <w:pPr>
              <w:spacing w:after="40" w:before="40"/>
            </w:pPr>
            <w:r/>
          </w:p>
        </w:tc>
        <w:tc>
          <w:tcPr>
            <w:tcW w:type="dxa" w:w="3341"/>
            <w:vAlign w:val="center"/>
          </w:tcPr>
          <w:p>
            <w:pPr>
              <w:spacing w:after="40" w:before="40"/>
            </w:pPr>
            <w:r>
              <w:t>Check multicollinearity</w:t>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Exploratory Factor Analysis</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70"/>
        <w:gridCol w:w="1670"/>
        <w:gridCol w:w="1670"/>
        <w:gridCol w:w="1670"/>
        <w:gridCol w:w="1670"/>
        <w:gridCol w:w="1670"/>
      </w:tblGrid>
      <w:tr>
        <w:tc>
          <w:tcPr>
            <w:tcW w:type="dxa" w:w="1670"/>
            <w:vAlign w:val="center"/>
            <w:shd w:fill="1F4E78"/>
          </w:tcPr>
          <w:p>
            <w:pPr>
              <w:spacing w:after="40" w:before="40"/>
              <w:jc w:val="center"/>
            </w:pPr>
            <w:r>
              <w:rPr>
                <w:b/>
                <w:color w:val="FFFFFF"/>
                <w:sz w:val="17"/>
              </w:rPr>
              <w:t>Item</w:t>
            </w:r>
          </w:p>
        </w:tc>
        <w:tc>
          <w:tcPr>
            <w:tcW w:type="dxa" w:w="1670"/>
            <w:vAlign w:val="center"/>
            <w:shd w:fill="1F4E78"/>
          </w:tcPr>
          <w:p>
            <w:pPr>
              <w:spacing w:after="40" w:before="40"/>
              <w:jc w:val="center"/>
            </w:pPr>
            <w:r>
              <w:rPr>
                <w:b/>
                <w:color w:val="FFFFFF"/>
                <w:sz w:val="17"/>
              </w:rPr>
              <w:t>Factor 1</w:t>
            </w:r>
          </w:p>
        </w:tc>
        <w:tc>
          <w:tcPr>
            <w:tcW w:type="dxa" w:w="1670"/>
            <w:vAlign w:val="center"/>
            <w:shd w:fill="1F4E78"/>
          </w:tcPr>
          <w:p>
            <w:pPr>
              <w:spacing w:after="40" w:before="40"/>
              <w:jc w:val="center"/>
            </w:pPr>
            <w:r>
              <w:rPr>
                <w:b/>
                <w:color w:val="FFFFFF"/>
                <w:sz w:val="17"/>
              </w:rPr>
              <w:t>Factor 2</w:t>
            </w:r>
          </w:p>
        </w:tc>
        <w:tc>
          <w:tcPr>
            <w:tcW w:type="dxa" w:w="1670"/>
            <w:vAlign w:val="center"/>
            <w:shd w:fill="1F4E78"/>
          </w:tcPr>
          <w:p>
            <w:pPr>
              <w:spacing w:after="40" w:before="40"/>
              <w:jc w:val="center"/>
            </w:pPr>
            <w:r>
              <w:rPr>
                <w:b/>
                <w:color w:val="FFFFFF"/>
                <w:sz w:val="17"/>
              </w:rPr>
              <w:t>Factor 3</w:t>
            </w:r>
          </w:p>
        </w:tc>
        <w:tc>
          <w:tcPr>
            <w:tcW w:type="dxa" w:w="1670"/>
            <w:vAlign w:val="center"/>
            <w:shd w:fill="1F4E78"/>
          </w:tcPr>
          <w:p>
            <w:pPr>
              <w:spacing w:after="40" w:before="40"/>
              <w:jc w:val="center"/>
            </w:pPr>
            <w:r>
              <w:rPr>
                <w:b/>
                <w:color w:val="FFFFFF"/>
                <w:sz w:val="17"/>
              </w:rPr>
              <w:t>Factor 4</w:t>
            </w:r>
          </w:p>
        </w:tc>
        <w:tc>
          <w:tcPr>
            <w:tcW w:type="dxa" w:w="1670"/>
            <w:vAlign w:val="center"/>
            <w:shd w:fill="1F4E78"/>
          </w:tcPr>
          <w:p>
            <w:pPr>
              <w:spacing w:after="40" w:before="40"/>
              <w:jc w:val="center"/>
            </w:pPr>
            <w:r>
              <w:rPr>
                <w:b/>
                <w:color w:val="FFFFFF"/>
                <w:sz w:val="17"/>
              </w:rPr>
              <w:t>Factor 5</w:t>
            </w:r>
          </w:p>
        </w:tc>
      </w:tr>
      <w:tr>
        <w:tc>
          <w:tcPr>
            <w:tcW w:type="dxa" w:w="1670"/>
            <w:vAlign w:val="center"/>
          </w:tcPr>
          <w:p>
            <w:pPr>
              <w:spacing w:after="40" w:before="40"/>
            </w:pPr>
            <w:r>
              <w:t>Q6-Q30</w:t>
            </w:r>
          </w:p>
        </w:tc>
        <w:tc>
          <w:tcPr>
            <w:tcW w:type="dxa" w:w="1670"/>
            <w:vAlign w:val="center"/>
          </w:tcPr>
          <w:p>
            <w:pPr>
              <w:spacing w:after="40" w:before="40"/>
            </w:pPr>
            <w:r/>
          </w:p>
        </w:tc>
        <w:tc>
          <w:tcPr>
            <w:tcW w:type="dxa" w:w="1670"/>
            <w:vAlign w:val="center"/>
          </w:tcPr>
          <w:p>
            <w:pPr>
              <w:spacing w:after="40" w:before="40"/>
            </w:pPr>
            <w:r/>
          </w:p>
        </w:tc>
        <w:tc>
          <w:tcPr>
            <w:tcW w:type="dxa" w:w="1670"/>
            <w:vAlign w:val="center"/>
          </w:tcPr>
          <w:p>
            <w:pPr>
              <w:spacing w:after="40" w:before="40"/>
            </w:pPr>
            <w:r/>
          </w:p>
        </w:tc>
        <w:tc>
          <w:tcPr>
            <w:tcW w:type="dxa" w:w="1670"/>
            <w:vAlign w:val="center"/>
          </w:tcPr>
          <w:p>
            <w:pPr>
              <w:spacing w:after="40" w:before="40"/>
            </w:pPr>
            <w:r/>
          </w:p>
        </w:tc>
        <w:tc>
          <w:tcPr>
            <w:tcW w:type="dxa" w:w="1670"/>
            <w:vAlign w:val="center"/>
          </w:tcPr>
          <w:p>
            <w:pPr>
              <w:spacing w:after="40" w:before="40"/>
            </w:pPr>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Correlation Matrix</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70"/>
        <w:gridCol w:w="1670"/>
        <w:gridCol w:w="1670"/>
        <w:gridCol w:w="1670"/>
        <w:gridCol w:w="1670"/>
        <w:gridCol w:w="1670"/>
      </w:tblGrid>
      <w:tr>
        <w:tc>
          <w:tcPr>
            <w:tcW w:type="dxa" w:w="1670"/>
            <w:vAlign w:val="center"/>
            <w:shd w:fill="1F4E78"/>
          </w:tcPr>
          <w:p>
            <w:pPr>
              <w:spacing w:after="40" w:before="40"/>
              <w:jc w:val="center"/>
            </w:pPr>
            <w:r>
              <w:rPr>
                <w:b/>
                <w:color w:val="FFFFFF"/>
                <w:sz w:val="17"/>
              </w:rPr>
              <w:t>Variable</w:t>
            </w:r>
          </w:p>
        </w:tc>
        <w:tc>
          <w:tcPr>
            <w:tcW w:type="dxa" w:w="1670"/>
            <w:vAlign w:val="center"/>
            <w:shd w:fill="1F4E78"/>
          </w:tcPr>
          <w:p>
            <w:pPr>
              <w:spacing w:after="40" w:before="40"/>
              <w:jc w:val="center"/>
            </w:pPr>
            <w:r>
              <w:rPr>
                <w:b/>
                <w:color w:val="FFFFFF"/>
                <w:sz w:val="17"/>
              </w:rPr>
              <w:t>1</w:t>
            </w:r>
          </w:p>
        </w:tc>
        <w:tc>
          <w:tcPr>
            <w:tcW w:type="dxa" w:w="1670"/>
            <w:vAlign w:val="center"/>
            <w:shd w:fill="1F4E78"/>
          </w:tcPr>
          <w:p>
            <w:pPr>
              <w:spacing w:after="40" w:before="40"/>
              <w:jc w:val="center"/>
            </w:pPr>
            <w:r>
              <w:rPr>
                <w:b/>
                <w:color w:val="FFFFFF"/>
                <w:sz w:val="17"/>
              </w:rPr>
              <w:t>2</w:t>
            </w:r>
          </w:p>
        </w:tc>
        <w:tc>
          <w:tcPr>
            <w:tcW w:type="dxa" w:w="1670"/>
            <w:vAlign w:val="center"/>
            <w:shd w:fill="1F4E78"/>
          </w:tcPr>
          <w:p>
            <w:pPr>
              <w:spacing w:after="40" w:before="40"/>
              <w:jc w:val="center"/>
            </w:pPr>
            <w:r>
              <w:rPr>
                <w:b/>
                <w:color w:val="FFFFFF"/>
                <w:sz w:val="17"/>
              </w:rPr>
              <w:t>3</w:t>
            </w:r>
          </w:p>
        </w:tc>
        <w:tc>
          <w:tcPr>
            <w:tcW w:type="dxa" w:w="1670"/>
            <w:vAlign w:val="center"/>
            <w:shd w:fill="1F4E78"/>
          </w:tcPr>
          <w:p>
            <w:pPr>
              <w:spacing w:after="40" w:before="40"/>
              <w:jc w:val="center"/>
            </w:pPr>
            <w:r>
              <w:rPr>
                <w:b/>
                <w:color w:val="FFFFFF"/>
                <w:sz w:val="17"/>
              </w:rPr>
              <w:t>4</w:t>
            </w:r>
          </w:p>
        </w:tc>
        <w:tc>
          <w:tcPr>
            <w:tcW w:type="dxa" w:w="1670"/>
            <w:vAlign w:val="center"/>
            <w:shd w:fill="1F4E78"/>
          </w:tcPr>
          <w:p>
            <w:pPr>
              <w:spacing w:after="40" w:before="40"/>
              <w:jc w:val="center"/>
            </w:pPr>
            <w:r>
              <w:rPr>
                <w:b/>
                <w:color w:val="FFFFFF"/>
                <w:sz w:val="17"/>
              </w:rPr>
              <w:t>5</w:t>
            </w:r>
          </w:p>
        </w:tc>
      </w:tr>
      <w:tr>
        <w:tc>
          <w:tcPr>
            <w:tcW w:type="dxa" w:w="1670"/>
            <w:vAlign w:val="center"/>
          </w:tcPr>
          <w:p>
            <w:pPr>
              <w:spacing w:after="40" w:before="40"/>
            </w:pPr>
            <w:r>
              <w:t>1 Institutional support</w:t>
            </w:r>
          </w:p>
        </w:tc>
        <w:tc>
          <w:tcPr>
            <w:tcW w:type="dxa" w:w="1670"/>
            <w:vAlign w:val="center"/>
          </w:tcPr>
          <w:p>
            <w:pPr>
              <w:spacing w:after="40" w:before="40"/>
            </w:pPr>
            <w:r>
              <w:t>1</w:t>
            </w:r>
          </w:p>
        </w:tc>
        <w:tc>
          <w:tcPr>
            <w:tcW w:type="dxa" w:w="1670"/>
            <w:vAlign w:val="center"/>
          </w:tcPr>
          <w:p>
            <w:pPr>
              <w:spacing w:after="40" w:before="40"/>
            </w:pPr>
            <w:r/>
          </w:p>
        </w:tc>
        <w:tc>
          <w:tcPr>
            <w:tcW w:type="dxa" w:w="1670"/>
            <w:vAlign w:val="center"/>
          </w:tcPr>
          <w:p>
            <w:pPr>
              <w:spacing w:after="40" w:before="40"/>
            </w:pPr>
            <w:r/>
          </w:p>
        </w:tc>
        <w:tc>
          <w:tcPr>
            <w:tcW w:type="dxa" w:w="1670"/>
            <w:vAlign w:val="center"/>
          </w:tcPr>
          <w:p>
            <w:pPr>
              <w:spacing w:after="40" w:before="40"/>
            </w:pPr>
            <w:r/>
          </w:p>
        </w:tc>
        <w:tc>
          <w:tcPr>
            <w:tcW w:type="dxa" w:w="1670"/>
            <w:vAlign w:val="center"/>
          </w:tcPr>
          <w:p>
            <w:pPr>
              <w:spacing w:after="40" w:before="40"/>
            </w:pPr>
            <w:r/>
          </w:p>
        </w:tc>
      </w:tr>
      <w:tr>
        <w:tc>
          <w:tcPr>
            <w:tcW w:type="dxa" w:w="1670"/>
            <w:vAlign w:val="center"/>
            <w:shd w:fill="F2F6FA"/>
          </w:tcPr>
          <w:p>
            <w:pPr>
              <w:spacing w:after="40" w:before="40"/>
            </w:pPr>
            <w:r>
              <w:t>2 Trainer effectiveness</w:t>
            </w:r>
          </w:p>
        </w:tc>
        <w:tc>
          <w:tcPr>
            <w:tcW w:type="dxa" w:w="1670"/>
            <w:vAlign w:val="center"/>
            <w:shd w:fill="F2F6FA"/>
          </w:tcPr>
          <w:p>
            <w:pPr>
              <w:spacing w:after="40" w:before="40"/>
            </w:pPr>
            <w:r/>
          </w:p>
        </w:tc>
        <w:tc>
          <w:tcPr>
            <w:tcW w:type="dxa" w:w="1670"/>
            <w:vAlign w:val="center"/>
            <w:shd w:fill="F2F6FA"/>
          </w:tcPr>
          <w:p>
            <w:pPr>
              <w:spacing w:after="40" w:before="40"/>
            </w:pPr>
            <w:r>
              <w:t>1</w:t>
            </w:r>
          </w:p>
        </w:tc>
        <w:tc>
          <w:tcPr>
            <w:tcW w:type="dxa" w:w="1670"/>
            <w:vAlign w:val="center"/>
            <w:shd w:fill="F2F6FA"/>
          </w:tcPr>
          <w:p>
            <w:pPr>
              <w:spacing w:after="40" w:before="40"/>
            </w:pPr>
            <w:r/>
          </w:p>
        </w:tc>
        <w:tc>
          <w:tcPr>
            <w:tcW w:type="dxa" w:w="1670"/>
            <w:vAlign w:val="center"/>
            <w:shd w:fill="F2F6FA"/>
          </w:tcPr>
          <w:p>
            <w:pPr>
              <w:spacing w:after="40" w:before="40"/>
            </w:pPr>
            <w:r/>
          </w:p>
        </w:tc>
        <w:tc>
          <w:tcPr>
            <w:tcW w:type="dxa" w:w="1670"/>
            <w:vAlign w:val="center"/>
            <w:shd w:fill="F2F6FA"/>
          </w:tcPr>
          <w:p>
            <w:pPr>
              <w:spacing w:after="40" w:before="40"/>
            </w:pPr>
            <w:r/>
          </w:p>
        </w:tc>
      </w:tr>
      <w:tr>
        <w:tc>
          <w:tcPr>
            <w:tcW w:type="dxa" w:w="1670"/>
            <w:vAlign w:val="center"/>
          </w:tcPr>
          <w:p>
            <w:pPr>
              <w:spacing w:after="40" w:before="40"/>
            </w:pPr>
            <w:r>
              <w:t>3 Learner readiness</w:t>
            </w:r>
          </w:p>
        </w:tc>
        <w:tc>
          <w:tcPr>
            <w:tcW w:type="dxa" w:w="1670"/>
            <w:vAlign w:val="center"/>
          </w:tcPr>
          <w:p>
            <w:pPr>
              <w:spacing w:after="40" w:before="40"/>
            </w:pPr>
            <w:r/>
          </w:p>
        </w:tc>
        <w:tc>
          <w:tcPr>
            <w:tcW w:type="dxa" w:w="1670"/>
            <w:vAlign w:val="center"/>
          </w:tcPr>
          <w:p>
            <w:pPr>
              <w:spacing w:after="40" w:before="40"/>
            </w:pPr>
            <w:r/>
          </w:p>
        </w:tc>
        <w:tc>
          <w:tcPr>
            <w:tcW w:type="dxa" w:w="1670"/>
            <w:vAlign w:val="center"/>
          </w:tcPr>
          <w:p>
            <w:pPr>
              <w:spacing w:after="40" w:before="40"/>
            </w:pPr>
            <w:r>
              <w:t>1</w:t>
            </w:r>
          </w:p>
        </w:tc>
        <w:tc>
          <w:tcPr>
            <w:tcW w:type="dxa" w:w="1670"/>
            <w:vAlign w:val="center"/>
          </w:tcPr>
          <w:p>
            <w:pPr>
              <w:spacing w:after="40" w:before="40"/>
            </w:pPr>
            <w:r/>
          </w:p>
        </w:tc>
        <w:tc>
          <w:tcPr>
            <w:tcW w:type="dxa" w:w="1670"/>
            <w:vAlign w:val="center"/>
          </w:tcPr>
          <w:p>
            <w:pPr>
              <w:spacing w:after="40" w:before="40"/>
            </w:pPr>
            <w:r/>
          </w:p>
        </w:tc>
      </w:tr>
      <w:tr>
        <w:tc>
          <w:tcPr>
            <w:tcW w:type="dxa" w:w="1670"/>
            <w:vAlign w:val="center"/>
            <w:shd w:fill="F2F6FA"/>
          </w:tcPr>
          <w:p>
            <w:pPr>
              <w:spacing w:after="40" w:before="40"/>
            </w:pPr>
            <w:r>
              <w:t>4 Pedagogical integration</w:t>
            </w:r>
          </w:p>
        </w:tc>
        <w:tc>
          <w:tcPr>
            <w:tcW w:type="dxa" w:w="1670"/>
            <w:vAlign w:val="center"/>
            <w:shd w:fill="F2F6FA"/>
          </w:tcPr>
          <w:p>
            <w:pPr>
              <w:spacing w:after="40" w:before="40"/>
            </w:pPr>
            <w:r/>
          </w:p>
        </w:tc>
        <w:tc>
          <w:tcPr>
            <w:tcW w:type="dxa" w:w="1670"/>
            <w:vAlign w:val="center"/>
            <w:shd w:fill="F2F6FA"/>
          </w:tcPr>
          <w:p>
            <w:pPr>
              <w:spacing w:after="40" w:before="40"/>
            </w:pPr>
            <w:r/>
          </w:p>
        </w:tc>
        <w:tc>
          <w:tcPr>
            <w:tcW w:type="dxa" w:w="1670"/>
            <w:vAlign w:val="center"/>
            <w:shd w:fill="F2F6FA"/>
          </w:tcPr>
          <w:p>
            <w:pPr>
              <w:spacing w:after="40" w:before="40"/>
            </w:pPr>
            <w:r/>
          </w:p>
        </w:tc>
        <w:tc>
          <w:tcPr>
            <w:tcW w:type="dxa" w:w="1670"/>
            <w:vAlign w:val="center"/>
            <w:shd w:fill="F2F6FA"/>
          </w:tcPr>
          <w:p>
            <w:pPr>
              <w:spacing w:after="40" w:before="40"/>
            </w:pPr>
            <w:r>
              <w:t>1</w:t>
            </w:r>
          </w:p>
        </w:tc>
        <w:tc>
          <w:tcPr>
            <w:tcW w:type="dxa" w:w="1670"/>
            <w:vAlign w:val="center"/>
            <w:shd w:fill="F2F6FA"/>
          </w:tcPr>
          <w:p>
            <w:pPr>
              <w:spacing w:after="40" w:before="40"/>
            </w:pPr>
            <w:r/>
          </w:p>
        </w:tc>
      </w:tr>
      <w:tr>
        <w:tc>
          <w:tcPr>
            <w:tcW w:type="dxa" w:w="1670"/>
            <w:vAlign w:val="center"/>
          </w:tcPr>
          <w:p>
            <w:pPr>
              <w:spacing w:after="40" w:before="40"/>
            </w:pPr>
            <w:r>
              <w:t>5 Effectiveness</w:t>
            </w:r>
          </w:p>
        </w:tc>
        <w:tc>
          <w:tcPr>
            <w:tcW w:type="dxa" w:w="1670"/>
            <w:vAlign w:val="center"/>
          </w:tcPr>
          <w:p>
            <w:pPr>
              <w:spacing w:after="40" w:before="40"/>
            </w:pPr>
            <w:r/>
          </w:p>
        </w:tc>
        <w:tc>
          <w:tcPr>
            <w:tcW w:type="dxa" w:w="1670"/>
            <w:vAlign w:val="center"/>
          </w:tcPr>
          <w:p>
            <w:pPr>
              <w:spacing w:after="40" w:before="40"/>
            </w:pPr>
            <w:r/>
          </w:p>
        </w:tc>
        <w:tc>
          <w:tcPr>
            <w:tcW w:type="dxa" w:w="1670"/>
            <w:vAlign w:val="center"/>
          </w:tcPr>
          <w:p>
            <w:pPr>
              <w:spacing w:after="40" w:before="40"/>
            </w:pPr>
            <w:r/>
          </w:p>
        </w:tc>
        <w:tc>
          <w:tcPr>
            <w:tcW w:type="dxa" w:w="1670"/>
            <w:vAlign w:val="center"/>
          </w:tcPr>
          <w:p>
            <w:pPr>
              <w:spacing w:after="40" w:before="40"/>
            </w:pPr>
            <w:r/>
          </w:p>
        </w:tc>
        <w:tc>
          <w:tcPr>
            <w:tcW w:type="dxa" w:w="1670"/>
            <w:vAlign w:val="center"/>
          </w:tcPr>
          <w:p>
            <w:pPr>
              <w:spacing w:after="40" w:before="40"/>
            </w:pPr>
            <w:r>
              <w:t>1</w:t>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Regression Model Summary</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11"/>
        <w:gridCol w:w="5011"/>
      </w:tblGrid>
      <w:tr>
        <w:tc>
          <w:tcPr>
            <w:tcW w:type="dxa" w:w="5011"/>
            <w:vAlign w:val="center"/>
            <w:shd w:fill="1F4E78"/>
          </w:tcPr>
          <w:p>
            <w:pPr>
              <w:spacing w:after="40" w:before="40"/>
              <w:jc w:val="center"/>
            </w:pPr>
            <w:r>
              <w:rPr>
                <w:b/>
                <w:color w:val="FFFFFF"/>
                <w:sz w:val="17"/>
              </w:rPr>
              <w:t>Statistic</w:t>
            </w:r>
          </w:p>
        </w:tc>
        <w:tc>
          <w:tcPr>
            <w:tcW w:type="dxa" w:w="5011"/>
            <w:vAlign w:val="center"/>
            <w:shd w:fill="1F4E78"/>
          </w:tcPr>
          <w:p>
            <w:pPr>
              <w:spacing w:after="40" w:before="40"/>
              <w:jc w:val="center"/>
            </w:pPr>
            <w:r>
              <w:rPr>
                <w:b/>
                <w:color w:val="FFFFFF"/>
                <w:sz w:val="17"/>
              </w:rPr>
              <w:t>Value</w:t>
            </w:r>
          </w:p>
        </w:tc>
      </w:tr>
      <w:tr>
        <w:tc>
          <w:tcPr>
            <w:tcW w:type="dxa" w:w="5011"/>
            <w:vAlign w:val="center"/>
          </w:tcPr>
          <w:p>
            <w:pPr>
              <w:spacing w:after="40" w:before="40"/>
            </w:pPr>
            <w:r>
              <w:t>R</w:t>
            </w:r>
          </w:p>
        </w:tc>
        <w:tc>
          <w:tcPr>
            <w:tcW w:type="dxa" w:w="5011"/>
            <w:vAlign w:val="center"/>
          </w:tcPr>
          <w:p>
            <w:pPr>
              <w:spacing w:after="40" w:before="40"/>
            </w:pPr>
            <w:r/>
          </w:p>
        </w:tc>
      </w:tr>
      <w:tr>
        <w:tc>
          <w:tcPr>
            <w:tcW w:type="dxa" w:w="5011"/>
            <w:vAlign w:val="center"/>
            <w:shd w:fill="F2F6FA"/>
          </w:tcPr>
          <w:p>
            <w:pPr>
              <w:spacing w:after="40" w:before="40"/>
            </w:pPr>
            <w:r>
              <w:t>R square</w:t>
            </w:r>
          </w:p>
        </w:tc>
        <w:tc>
          <w:tcPr>
            <w:tcW w:type="dxa" w:w="5011"/>
            <w:vAlign w:val="center"/>
            <w:shd w:fill="F2F6FA"/>
          </w:tcPr>
          <w:p>
            <w:pPr>
              <w:spacing w:after="40" w:before="40"/>
            </w:pPr>
            <w:r/>
          </w:p>
        </w:tc>
      </w:tr>
      <w:tr>
        <w:tc>
          <w:tcPr>
            <w:tcW w:type="dxa" w:w="5011"/>
            <w:vAlign w:val="center"/>
          </w:tcPr>
          <w:p>
            <w:pPr>
              <w:spacing w:after="40" w:before="40"/>
            </w:pPr>
            <w:r>
              <w:t>Adjusted R square</w:t>
            </w:r>
          </w:p>
        </w:tc>
        <w:tc>
          <w:tcPr>
            <w:tcW w:type="dxa" w:w="5011"/>
            <w:vAlign w:val="center"/>
          </w:tcPr>
          <w:p>
            <w:pPr>
              <w:spacing w:after="40" w:before="40"/>
            </w:pPr>
            <w:r/>
          </w:p>
        </w:tc>
      </w:tr>
      <w:tr>
        <w:tc>
          <w:tcPr>
            <w:tcW w:type="dxa" w:w="5011"/>
            <w:vAlign w:val="center"/>
            <w:shd w:fill="F2F6FA"/>
          </w:tcPr>
          <w:p>
            <w:pPr>
              <w:spacing w:after="40" w:before="40"/>
            </w:pPr>
            <w:r>
              <w:t>Standard error</w:t>
            </w:r>
          </w:p>
        </w:tc>
        <w:tc>
          <w:tcPr>
            <w:tcW w:type="dxa" w:w="5011"/>
            <w:vAlign w:val="center"/>
            <w:shd w:fill="F2F6FA"/>
          </w:tcPr>
          <w:p>
            <w:pPr>
              <w:spacing w:after="40" w:before="40"/>
            </w:pPr>
            <w:r/>
          </w:p>
        </w:tc>
      </w:tr>
      <w:tr>
        <w:tc>
          <w:tcPr>
            <w:tcW w:type="dxa" w:w="5011"/>
            <w:vAlign w:val="center"/>
          </w:tcPr>
          <w:p>
            <w:pPr>
              <w:spacing w:after="40" w:before="40"/>
            </w:pPr>
            <w:r>
              <w:t>Durbin Watson</w:t>
            </w:r>
          </w:p>
        </w:tc>
        <w:tc>
          <w:tcPr>
            <w:tcW w:type="dxa" w:w="5011"/>
            <w:vAlign w:val="center"/>
          </w:tcPr>
          <w:p>
            <w:pPr>
              <w:spacing w:after="40" w:before="40"/>
            </w:pPr>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Regression Coefficients</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32"/>
        <w:gridCol w:w="1432"/>
        <w:gridCol w:w="1432"/>
        <w:gridCol w:w="1432"/>
        <w:gridCol w:w="1432"/>
        <w:gridCol w:w="1432"/>
        <w:gridCol w:w="1432"/>
      </w:tblGrid>
      <w:tr>
        <w:tc>
          <w:tcPr>
            <w:tcW w:type="dxa" w:w="1432"/>
            <w:vAlign w:val="center"/>
            <w:shd w:fill="1F4E78"/>
          </w:tcPr>
          <w:p>
            <w:pPr>
              <w:spacing w:after="40" w:before="40"/>
              <w:jc w:val="center"/>
            </w:pPr>
            <w:r>
              <w:rPr>
                <w:b/>
                <w:color w:val="FFFFFF"/>
                <w:sz w:val="17"/>
              </w:rPr>
              <w:t>Predictor</w:t>
            </w:r>
          </w:p>
        </w:tc>
        <w:tc>
          <w:tcPr>
            <w:tcW w:type="dxa" w:w="1432"/>
            <w:vAlign w:val="center"/>
            <w:shd w:fill="1F4E78"/>
          </w:tcPr>
          <w:p>
            <w:pPr>
              <w:spacing w:after="40" w:before="40"/>
              <w:jc w:val="center"/>
            </w:pPr>
            <w:r>
              <w:rPr>
                <w:b/>
                <w:color w:val="FFFFFF"/>
                <w:sz w:val="17"/>
              </w:rPr>
              <w:t>B</w:t>
            </w:r>
          </w:p>
        </w:tc>
        <w:tc>
          <w:tcPr>
            <w:tcW w:type="dxa" w:w="1432"/>
            <w:vAlign w:val="center"/>
            <w:shd w:fill="1F4E78"/>
          </w:tcPr>
          <w:p>
            <w:pPr>
              <w:spacing w:after="40" w:before="40"/>
              <w:jc w:val="center"/>
            </w:pPr>
            <w:r>
              <w:rPr>
                <w:b/>
                <w:color w:val="FFFFFF"/>
                <w:sz w:val="17"/>
              </w:rPr>
              <w:t>SE</w:t>
            </w:r>
          </w:p>
        </w:tc>
        <w:tc>
          <w:tcPr>
            <w:tcW w:type="dxa" w:w="1432"/>
            <w:vAlign w:val="center"/>
            <w:shd w:fill="1F4E78"/>
          </w:tcPr>
          <w:p>
            <w:pPr>
              <w:spacing w:after="40" w:before="40"/>
              <w:jc w:val="center"/>
            </w:pPr>
            <w:r>
              <w:rPr>
                <w:b/>
                <w:color w:val="FFFFFF"/>
                <w:sz w:val="17"/>
              </w:rPr>
              <w:t>Beta</w:t>
            </w:r>
          </w:p>
        </w:tc>
        <w:tc>
          <w:tcPr>
            <w:tcW w:type="dxa" w:w="1432"/>
            <w:vAlign w:val="center"/>
            <w:shd w:fill="1F4E78"/>
          </w:tcPr>
          <w:p>
            <w:pPr>
              <w:spacing w:after="40" w:before="40"/>
              <w:jc w:val="center"/>
            </w:pPr>
            <w:r>
              <w:rPr>
                <w:b/>
                <w:color w:val="FFFFFF"/>
                <w:sz w:val="17"/>
              </w:rPr>
              <w:t>t</w:t>
            </w:r>
          </w:p>
        </w:tc>
        <w:tc>
          <w:tcPr>
            <w:tcW w:type="dxa" w:w="1432"/>
            <w:vAlign w:val="center"/>
            <w:shd w:fill="1F4E78"/>
          </w:tcPr>
          <w:p>
            <w:pPr>
              <w:spacing w:after="40" w:before="40"/>
              <w:jc w:val="center"/>
            </w:pPr>
            <w:r>
              <w:rPr>
                <w:b/>
                <w:color w:val="FFFFFF"/>
                <w:sz w:val="17"/>
              </w:rPr>
              <w:t>p</w:t>
            </w:r>
          </w:p>
        </w:tc>
        <w:tc>
          <w:tcPr>
            <w:tcW w:type="dxa" w:w="1432"/>
            <w:vAlign w:val="center"/>
            <w:shd w:fill="1F4E78"/>
          </w:tcPr>
          <w:p>
            <w:pPr>
              <w:spacing w:after="40" w:before="40"/>
              <w:jc w:val="center"/>
            </w:pPr>
            <w:r>
              <w:rPr>
                <w:b/>
                <w:color w:val="FFFFFF"/>
                <w:sz w:val="17"/>
              </w:rPr>
              <w:t>VIF</w:t>
            </w:r>
          </w:p>
        </w:tc>
      </w:tr>
      <w:tr>
        <w:tc>
          <w:tcPr>
            <w:tcW w:type="dxa" w:w="1432"/>
            <w:vAlign w:val="center"/>
          </w:tcPr>
          <w:p>
            <w:pPr>
              <w:spacing w:after="40" w:before="40"/>
            </w:pPr>
            <w:r>
              <w:t>Constant</w:t>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r>
      <w:tr>
        <w:tc>
          <w:tcPr>
            <w:tcW w:type="dxa" w:w="1432"/>
            <w:vAlign w:val="center"/>
            <w:shd w:fill="F2F6FA"/>
          </w:tcPr>
          <w:p>
            <w:pPr>
              <w:spacing w:after="40" w:before="40"/>
            </w:pPr>
            <w:r>
              <w:t>Institutional support</w:t>
            </w:r>
          </w:p>
        </w:tc>
        <w:tc>
          <w:tcPr>
            <w:tcW w:type="dxa" w:w="1432"/>
            <w:vAlign w:val="center"/>
            <w:shd w:fill="F2F6FA"/>
          </w:tcPr>
          <w:p>
            <w:pPr>
              <w:spacing w:after="40" w:before="40"/>
            </w:pPr>
            <w:r/>
          </w:p>
        </w:tc>
        <w:tc>
          <w:tcPr>
            <w:tcW w:type="dxa" w:w="1432"/>
            <w:vAlign w:val="center"/>
            <w:shd w:fill="F2F6FA"/>
          </w:tcPr>
          <w:p>
            <w:pPr>
              <w:spacing w:after="40" w:before="40"/>
            </w:pPr>
            <w:r/>
          </w:p>
        </w:tc>
        <w:tc>
          <w:tcPr>
            <w:tcW w:type="dxa" w:w="1432"/>
            <w:vAlign w:val="center"/>
            <w:shd w:fill="F2F6FA"/>
          </w:tcPr>
          <w:p>
            <w:pPr>
              <w:spacing w:after="40" w:before="40"/>
            </w:pPr>
            <w:r/>
          </w:p>
        </w:tc>
        <w:tc>
          <w:tcPr>
            <w:tcW w:type="dxa" w:w="1432"/>
            <w:vAlign w:val="center"/>
            <w:shd w:fill="F2F6FA"/>
          </w:tcPr>
          <w:p>
            <w:pPr>
              <w:spacing w:after="40" w:before="40"/>
            </w:pPr>
            <w:r/>
          </w:p>
        </w:tc>
        <w:tc>
          <w:tcPr>
            <w:tcW w:type="dxa" w:w="1432"/>
            <w:vAlign w:val="center"/>
            <w:shd w:fill="F2F6FA"/>
          </w:tcPr>
          <w:p>
            <w:pPr>
              <w:spacing w:after="40" w:before="40"/>
            </w:pPr>
            <w:r/>
          </w:p>
        </w:tc>
        <w:tc>
          <w:tcPr>
            <w:tcW w:type="dxa" w:w="1432"/>
            <w:vAlign w:val="center"/>
            <w:shd w:fill="F2F6FA"/>
          </w:tcPr>
          <w:p>
            <w:pPr>
              <w:spacing w:after="40" w:before="40"/>
            </w:pPr>
            <w:r/>
          </w:p>
        </w:tc>
      </w:tr>
      <w:tr>
        <w:tc>
          <w:tcPr>
            <w:tcW w:type="dxa" w:w="1432"/>
            <w:vAlign w:val="center"/>
          </w:tcPr>
          <w:p>
            <w:pPr>
              <w:spacing w:after="40" w:before="40"/>
            </w:pPr>
            <w:r>
              <w:t>Trainer effectiveness</w:t>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r>
      <w:tr>
        <w:tc>
          <w:tcPr>
            <w:tcW w:type="dxa" w:w="1432"/>
            <w:vAlign w:val="center"/>
            <w:shd w:fill="F2F6FA"/>
          </w:tcPr>
          <w:p>
            <w:pPr>
              <w:spacing w:after="40" w:before="40"/>
            </w:pPr>
            <w:r>
              <w:t>Learner readiness</w:t>
            </w:r>
          </w:p>
        </w:tc>
        <w:tc>
          <w:tcPr>
            <w:tcW w:type="dxa" w:w="1432"/>
            <w:vAlign w:val="center"/>
            <w:shd w:fill="F2F6FA"/>
          </w:tcPr>
          <w:p>
            <w:pPr>
              <w:spacing w:after="40" w:before="40"/>
            </w:pPr>
            <w:r/>
          </w:p>
        </w:tc>
        <w:tc>
          <w:tcPr>
            <w:tcW w:type="dxa" w:w="1432"/>
            <w:vAlign w:val="center"/>
            <w:shd w:fill="F2F6FA"/>
          </w:tcPr>
          <w:p>
            <w:pPr>
              <w:spacing w:after="40" w:before="40"/>
            </w:pPr>
            <w:r/>
          </w:p>
        </w:tc>
        <w:tc>
          <w:tcPr>
            <w:tcW w:type="dxa" w:w="1432"/>
            <w:vAlign w:val="center"/>
            <w:shd w:fill="F2F6FA"/>
          </w:tcPr>
          <w:p>
            <w:pPr>
              <w:spacing w:after="40" w:before="40"/>
            </w:pPr>
            <w:r/>
          </w:p>
        </w:tc>
        <w:tc>
          <w:tcPr>
            <w:tcW w:type="dxa" w:w="1432"/>
            <w:vAlign w:val="center"/>
            <w:shd w:fill="F2F6FA"/>
          </w:tcPr>
          <w:p>
            <w:pPr>
              <w:spacing w:after="40" w:before="40"/>
            </w:pPr>
            <w:r/>
          </w:p>
        </w:tc>
        <w:tc>
          <w:tcPr>
            <w:tcW w:type="dxa" w:w="1432"/>
            <w:vAlign w:val="center"/>
            <w:shd w:fill="F2F6FA"/>
          </w:tcPr>
          <w:p>
            <w:pPr>
              <w:spacing w:after="40" w:before="40"/>
            </w:pPr>
            <w:r/>
          </w:p>
        </w:tc>
        <w:tc>
          <w:tcPr>
            <w:tcW w:type="dxa" w:w="1432"/>
            <w:vAlign w:val="center"/>
            <w:shd w:fill="F2F6FA"/>
          </w:tcPr>
          <w:p>
            <w:pPr>
              <w:spacing w:after="40" w:before="40"/>
            </w:pPr>
            <w:r/>
          </w:p>
        </w:tc>
      </w:tr>
      <w:tr>
        <w:tc>
          <w:tcPr>
            <w:tcW w:type="dxa" w:w="1432"/>
            <w:vAlign w:val="center"/>
          </w:tcPr>
          <w:p>
            <w:pPr>
              <w:spacing w:after="40" w:before="40"/>
            </w:pPr>
            <w:r>
              <w:t>Pedagogical integration</w:t>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c>
          <w:tcPr>
            <w:tcW w:type="dxa" w:w="1432"/>
            <w:vAlign w:val="center"/>
          </w:tcPr>
          <w:p>
            <w:pPr>
              <w:spacing w:after="40" w:before="40"/>
            </w:pPr>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Hypothesis Testing Summary</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05"/>
        <w:gridCol w:w="2505"/>
        <w:gridCol w:w="2505"/>
        <w:gridCol w:w="2505"/>
      </w:tblGrid>
      <w:tr>
        <w:tc>
          <w:tcPr>
            <w:tcW w:type="dxa" w:w="2505"/>
            <w:vAlign w:val="center"/>
            <w:shd w:fill="1F4E78"/>
          </w:tcPr>
          <w:p>
            <w:pPr>
              <w:spacing w:after="40" w:before="40"/>
              <w:jc w:val="center"/>
            </w:pPr>
            <w:r>
              <w:rPr>
                <w:b/>
                <w:color w:val="FFFFFF"/>
                <w:sz w:val="17"/>
              </w:rPr>
              <w:t>Hypothesis</w:t>
            </w:r>
          </w:p>
        </w:tc>
        <w:tc>
          <w:tcPr>
            <w:tcW w:type="dxa" w:w="2505"/>
            <w:vAlign w:val="center"/>
            <w:shd w:fill="1F4E78"/>
          </w:tcPr>
          <w:p>
            <w:pPr>
              <w:spacing w:after="40" w:before="40"/>
              <w:jc w:val="center"/>
            </w:pPr>
            <w:r>
              <w:rPr>
                <w:b/>
                <w:color w:val="FFFFFF"/>
                <w:sz w:val="17"/>
              </w:rPr>
              <w:t>Test</w:t>
            </w:r>
          </w:p>
        </w:tc>
        <w:tc>
          <w:tcPr>
            <w:tcW w:type="dxa" w:w="2505"/>
            <w:vAlign w:val="center"/>
            <w:shd w:fill="1F4E78"/>
          </w:tcPr>
          <w:p>
            <w:pPr>
              <w:spacing w:after="40" w:before="40"/>
              <w:jc w:val="center"/>
            </w:pPr>
            <w:r>
              <w:rPr>
                <w:b/>
                <w:color w:val="FFFFFF"/>
                <w:sz w:val="17"/>
              </w:rPr>
              <w:t>p value</w:t>
            </w:r>
          </w:p>
        </w:tc>
        <w:tc>
          <w:tcPr>
            <w:tcW w:type="dxa" w:w="2505"/>
            <w:vAlign w:val="center"/>
            <w:shd w:fill="1F4E78"/>
          </w:tcPr>
          <w:p>
            <w:pPr>
              <w:spacing w:after="40" w:before="40"/>
              <w:jc w:val="center"/>
            </w:pPr>
            <w:r>
              <w:rPr>
                <w:b/>
                <w:color w:val="FFFFFF"/>
                <w:sz w:val="17"/>
              </w:rPr>
              <w:t>Decision</w:t>
            </w:r>
          </w:p>
        </w:tc>
      </w:tr>
      <w:tr>
        <w:tc>
          <w:tcPr>
            <w:tcW w:type="dxa" w:w="2505"/>
            <w:vAlign w:val="center"/>
          </w:tcPr>
          <w:p>
            <w:pPr>
              <w:spacing w:after="40" w:before="40"/>
            </w:pPr>
            <w:r>
              <w:t>H01 Institutional support has no significant relationship with effectiveness</w:t>
            </w:r>
          </w:p>
        </w:tc>
        <w:tc>
          <w:tcPr>
            <w:tcW w:type="dxa" w:w="2505"/>
            <w:vAlign w:val="center"/>
          </w:tcPr>
          <w:p>
            <w:pPr>
              <w:spacing w:after="40" w:before="40"/>
            </w:pPr>
            <w:r>
              <w:t>Correlation or regression</w:t>
            </w:r>
          </w:p>
        </w:tc>
        <w:tc>
          <w:tcPr>
            <w:tcW w:type="dxa" w:w="2505"/>
            <w:vAlign w:val="center"/>
          </w:tcPr>
          <w:p>
            <w:pPr>
              <w:spacing w:after="40" w:before="40"/>
            </w:pPr>
            <w:r/>
          </w:p>
        </w:tc>
        <w:tc>
          <w:tcPr>
            <w:tcW w:type="dxa" w:w="2505"/>
            <w:vAlign w:val="center"/>
          </w:tcPr>
          <w:p>
            <w:pPr>
              <w:spacing w:after="40" w:before="40"/>
            </w:pPr>
            <w:r/>
          </w:p>
        </w:tc>
      </w:tr>
      <w:tr>
        <w:tc>
          <w:tcPr>
            <w:tcW w:type="dxa" w:w="2505"/>
            <w:vAlign w:val="center"/>
            <w:shd w:fill="F2F6FA"/>
          </w:tcPr>
          <w:p>
            <w:pPr>
              <w:spacing w:after="40" w:before="40"/>
            </w:pPr>
            <w:r>
              <w:t>H02 Trainer effectiveness has no significant relationship with effectiveness</w:t>
            </w:r>
          </w:p>
        </w:tc>
        <w:tc>
          <w:tcPr>
            <w:tcW w:type="dxa" w:w="2505"/>
            <w:vAlign w:val="center"/>
            <w:shd w:fill="F2F6FA"/>
          </w:tcPr>
          <w:p>
            <w:pPr>
              <w:spacing w:after="40" w:before="40"/>
            </w:pPr>
            <w:r>
              <w:t>Correlation or regression</w:t>
            </w:r>
          </w:p>
        </w:tc>
        <w:tc>
          <w:tcPr>
            <w:tcW w:type="dxa" w:w="2505"/>
            <w:vAlign w:val="center"/>
            <w:shd w:fill="F2F6FA"/>
          </w:tcPr>
          <w:p>
            <w:pPr>
              <w:spacing w:after="40" w:before="40"/>
            </w:pPr>
            <w:r/>
          </w:p>
        </w:tc>
        <w:tc>
          <w:tcPr>
            <w:tcW w:type="dxa" w:w="2505"/>
            <w:vAlign w:val="center"/>
            <w:shd w:fill="F2F6FA"/>
          </w:tcPr>
          <w:p>
            <w:pPr>
              <w:spacing w:after="40" w:before="40"/>
            </w:pPr>
            <w:r/>
          </w:p>
        </w:tc>
      </w:tr>
      <w:tr>
        <w:tc>
          <w:tcPr>
            <w:tcW w:type="dxa" w:w="2505"/>
            <w:vAlign w:val="center"/>
          </w:tcPr>
          <w:p>
            <w:pPr>
              <w:spacing w:after="40" w:before="40"/>
            </w:pPr>
            <w:r>
              <w:t>H03 Learner readiness has no significant relationship with effectiveness</w:t>
            </w:r>
          </w:p>
        </w:tc>
        <w:tc>
          <w:tcPr>
            <w:tcW w:type="dxa" w:w="2505"/>
            <w:vAlign w:val="center"/>
          </w:tcPr>
          <w:p>
            <w:pPr>
              <w:spacing w:after="40" w:before="40"/>
            </w:pPr>
            <w:r>
              <w:t>Correlation or regression</w:t>
            </w:r>
          </w:p>
        </w:tc>
        <w:tc>
          <w:tcPr>
            <w:tcW w:type="dxa" w:w="2505"/>
            <w:vAlign w:val="center"/>
          </w:tcPr>
          <w:p>
            <w:pPr>
              <w:spacing w:after="40" w:before="40"/>
            </w:pPr>
            <w:r/>
          </w:p>
        </w:tc>
        <w:tc>
          <w:tcPr>
            <w:tcW w:type="dxa" w:w="2505"/>
            <w:vAlign w:val="center"/>
          </w:tcPr>
          <w:p>
            <w:pPr>
              <w:spacing w:after="40" w:before="40"/>
            </w:pPr>
            <w:r/>
          </w:p>
        </w:tc>
      </w:tr>
      <w:tr>
        <w:tc>
          <w:tcPr>
            <w:tcW w:type="dxa" w:w="2505"/>
            <w:vAlign w:val="center"/>
            <w:shd w:fill="F2F6FA"/>
          </w:tcPr>
          <w:p>
            <w:pPr>
              <w:spacing w:after="40" w:before="40"/>
            </w:pPr>
            <w:r>
              <w:t>H04 Pedagogical integration has no significant relationship with effectiveness</w:t>
            </w:r>
          </w:p>
        </w:tc>
        <w:tc>
          <w:tcPr>
            <w:tcW w:type="dxa" w:w="2505"/>
            <w:vAlign w:val="center"/>
            <w:shd w:fill="F2F6FA"/>
          </w:tcPr>
          <w:p>
            <w:pPr>
              <w:spacing w:after="40" w:before="40"/>
            </w:pPr>
            <w:r>
              <w:t>Correlation or regression</w:t>
            </w:r>
          </w:p>
        </w:tc>
        <w:tc>
          <w:tcPr>
            <w:tcW w:type="dxa" w:w="2505"/>
            <w:vAlign w:val="center"/>
            <w:shd w:fill="F2F6FA"/>
          </w:tcPr>
          <w:p>
            <w:pPr>
              <w:spacing w:after="40" w:before="40"/>
            </w:pPr>
            <w:r/>
          </w:p>
        </w:tc>
        <w:tc>
          <w:tcPr>
            <w:tcW w:type="dxa" w:w="2505"/>
            <w:vAlign w:val="center"/>
            <w:shd w:fill="F2F6FA"/>
          </w:tcPr>
          <w:p>
            <w:pPr>
              <w:spacing w:after="40" w:before="40"/>
            </w:pPr>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Group Comparison Template</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04"/>
        <w:gridCol w:w="2004"/>
        <w:gridCol w:w="2004"/>
        <w:gridCol w:w="2004"/>
        <w:gridCol w:w="2004"/>
      </w:tblGrid>
      <w:tr>
        <w:tc>
          <w:tcPr>
            <w:tcW w:type="dxa" w:w="2004"/>
            <w:vAlign w:val="center"/>
            <w:shd w:fill="1F4E78"/>
          </w:tcPr>
          <w:p>
            <w:pPr>
              <w:spacing w:after="40" w:before="40"/>
              <w:jc w:val="center"/>
            </w:pPr>
            <w:r>
              <w:rPr>
                <w:b/>
                <w:color w:val="FFFFFF"/>
                <w:sz w:val="17"/>
              </w:rPr>
              <w:t>Grouping variable</w:t>
            </w:r>
          </w:p>
        </w:tc>
        <w:tc>
          <w:tcPr>
            <w:tcW w:type="dxa" w:w="2004"/>
            <w:vAlign w:val="center"/>
            <w:shd w:fill="1F4E78"/>
          </w:tcPr>
          <w:p>
            <w:pPr>
              <w:spacing w:after="40" w:before="40"/>
              <w:jc w:val="center"/>
            </w:pPr>
            <w:r>
              <w:rPr>
                <w:b/>
                <w:color w:val="FFFFFF"/>
                <w:sz w:val="17"/>
              </w:rPr>
              <w:t>Test</w:t>
            </w:r>
          </w:p>
        </w:tc>
        <w:tc>
          <w:tcPr>
            <w:tcW w:type="dxa" w:w="2004"/>
            <w:vAlign w:val="center"/>
            <w:shd w:fill="1F4E78"/>
          </w:tcPr>
          <w:p>
            <w:pPr>
              <w:spacing w:after="40" w:before="40"/>
              <w:jc w:val="center"/>
            </w:pPr>
            <w:r>
              <w:rPr>
                <w:b/>
                <w:color w:val="FFFFFF"/>
                <w:sz w:val="17"/>
              </w:rPr>
              <w:t>Statistic</w:t>
            </w:r>
          </w:p>
        </w:tc>
        <w:tc>
          <w:tcPr>
            <w:tcW w:type="dxa" w:w="2004"/>
            <w:vAlign w:val="center"/>
            <w:shd w:fill="1F4E78"/>
          </w:tcPr>
          <w:p>
            <w:pPr>
              <w:spacing w:after="40" w:before="40"/>
              <w:jc w:val="center"/>
            </w:pPr>
            <w:r>
              <w:rPr>
                <w:b/>
                <w:color w:val="FFFFFF"/>
                <w:sz w:val="17"/>
              </w:rPr>
              <w:t>p</w:t>
            </w:r>
          </w:p>
        </w:tc>
        <w:tc>
          <w:tcPr>
            <w:tcW w:type="dxa" w:w="2004"/>
            <w:vAlign w:val="center"/>
            <w:shd w:fill="1F4E78"/>
          </w:tcPr>
          <w:p>
            <w:pPr>
              <w:spacing w:after="40" w:before="40"/>
              <w:jc w:val="center"/>
            </w:pPr>
            <w:r>
              <w:rPr>
                <w:b/>
                <w:color w:val="FFFFFF"/>
                <w:sz w:val="17"/>
              </w:rPr>
              <w:t>Effect size</w:t>
            </w:r>
          </w:p>
        </w:tc>
      </w:tr>
      <w:tr>
        <w:tc>
          <w:tcPr>
            <w:tcW w:type="dxa" w:w="2004"/>
            <w:vAlign w:val="center"/>
          </w:tcPr>
          <w:p>
            <w:pPr>
              <w:spacing w:after="40" w:before="40"/>
            </w:pPr>
            <w:r>
              <w:t>Gender or two-category variable</w:t>
            </w:r>
          </w:p>
        </w:tc>
        <w:tc>
          <w:tcPr>
            <w:tcW w:type="dxa" w:w="2004"/>
            <w:vAlign w:val="center"/>
          </w:tcPr>
          <w:p>
            <w:pPr>
              <w:spacing w:after="40" w:before="40"/>
            </w:pPr>
            <w:r>
              <w:t>Independent t test</w:t>
            </w:r>
          </w:p>
        </w:tc>
        <w:tc>
          <w:tcPr>
            <w:tcW w:type="dxa" w:w="2004"/>
            <w:vAlign w:val="center"/>
          </w:tcPr>
          <w:p>
            <w:pPr>
              <w:spacing w:after="40" w:before="40"/>
            </w:pPr>
            <w:r/>
          </w:p>
        </w:tc>
        <w:tc>
          <w:tcPr>
            <w:tcW w:type="dxa" w:w="2004"/>
            <w:vAlign w:val="center"/>
          </w:tcPr>
          <w:p>
            <w:pPr>
              <w:spacing w:after="40" w:before="40"/>
            </w:pPr>
            <w:r/>
          </w:p>
        </w:tc>
        <w:tc>
          <w:tcPr>
            <w:tcW w:type="dxa" w:w="2004"/>
            <w:vAlign w:val="center"/>
          </w:tcPr>
          <w:p>
            <w:pPr>
              <w:spacing w:after="40" w:before="40"/>
            </w:pPr>
            <w:r/>
          </w:p>
        </w:tc>
      </w:tr>
      <w:tr>
        <w:tc>
          <w:tcPr>
            <w:tcW w:type="dxa" w:w="2004"/>
            <w:vAlign w:val="center"/>
            <w:shd w:fill="F2F6FA"/>
          </w:tcPr>
          <w:p>
            <w:pPr>
              <w:spacing w:after="40" w:before="40"/>
            </w:pPr>
            <w:r>
              <w:t>Cadre</w:t>
            </w:r>
          </w:p>
        </w:tc>
        <w:tc>
          <w:tcPr>
            <w:tcW w:type="dxa" w:w="2004"/>
            <w:vAlign w:val="center"/>
            <w:shd w:fill="F2F6FA"/>
          </w:tcPr>
          <w:p>
            <w:pPr>
              <w:spacing w:after="40" w:before="40"/>
            </w:pPr>
            <w:r>
              <w:t>ANOVA</w:t>
            </w:r>
          </w:p>
        </w:tc>
        <w:tc>
          <w:tcPr>
            <w:tcW w:type="dxa" w:w="2004"/>
            <w:vAlign w:val="center"/>
            <w:shd w:fill="F2F6FA"/>
          </w:tcPr>
          <w:p>
            <w:pPr>
              <w:spacing w:after="40" w:before="40"/>
            </w:pPr>
            <w:r/>
          </w:p>
        </w:tc>
        <w:tc>
          <w:tcPr>
            <w:tcW w:type="dxa" w:w="2004"/>
            <w:vAlign w:val="center"/>
            <w:shd w:fill="F2F6FA"/>
          </w:tcPr>
          <w:p>
            <w:pPr>
              <w:spacing w:after="40" w:before="40"/>
            </w:pPr>
            <w:r/>
          </w:p>
        </w:tc>
        <w:tc>
          <w:tcPr>
            <w:tcW w:type="dxa" w:w="2004"/>
            <w:vAlign w:val="center"/>
            <w:shd w:fill="F2F6FA"/>
          </w:tcPr>
          <w:p>
            <w:pPr>
              <w:spacing w:after="40" w:before="40"/>
            </w:pPr>
            <w:r/>
          </w:p>
        </w:tc>
      </w:tr>
      <w:tr>
        <w:tc>
          <w:tcPr>
            <w:tcW w:type="dxa" w:w="2004"/>
            <w:vAlign w:val="center"/>
          </w:tcPr>
          <w:p>
            <w:pPr>
              <w:spacing w:after="40" w:before="40"/>
            </w:pPr>
            <w:r>
              <w:t>Experience</w:t>
            </w:r>
          </w:p>
        </w:tc>
        <w:tc>
          <w:tcPr>
            <w:tcW w:type="dxa" w:w="2004"/>
            <w:vAlign w:val="center"/>
          </w:tcPr>
          <w:p>
            <w:pPr>
              <w:spacing w:after="40" w:before="40"/>
            </w:pPr>
            <w:r>
              <w:t>ANOVA</w:t>
            </w:r>
          </w:p>
        </w:tc>
        <w:tc>
          <w:tcPr>
            <w:tcW w:type="dxa" w:w="2004"/>
            <w:vAlign w:val="center"/>
          </w:tcPr>
          <w:p>
            <w:pPr>
              <w:spacing w:after="40" w:before="40"/>
            </w:pPr>
            <w:r/>
          </w:p>
        </w:tc>
        <w:tc>
          <w:tcPr>
            <w:tcW w:type="dxa" w:w="2004"/>
            <w:vAlign w:val="center"/>
          </w:tcPr>
          <w:p>
            <w:pPr>
              <w:spacing w:after="40" w:before="40"/>
            </w:pPr>
            <w:r/>
          </w:p>
        </w:tc>
        <w:tc>
          <w:tcPr>
            <w:tcW w:type="dxa" w:w="2004"/>
            <w:vAlign w:val="center"/>
          </w:tcPr>
          <w:p>
            <w:pPr>
              <w:spacing w:after="40" w:before="40"/>
            </w:pPr>
            <w:r/>
          </w:p>
        </w:tc>
      </w:tr>
      <w:tr>
        <w:tc>
          <w:tcPr>
            <w:tcW w:type="dxa" w:w="2004"/>
            <w:vAlign w:val="center"/>
            <w:shd w:fill="F2F6FA"/>
          </w:tcPr>
          <w:p>
            <w:pPr>
              <w:spacing w:after="40" w:before="40"/>
            </w:pPr>
            <w:r>
              <w:t>Training frequency</w:t>
            </w:r>
          </w:p>
        </w:tc>
        <w:tc>
          <w:tcPr>
            <w:tcW w:type="dxa" w:w="2004"/>
            <w:vAlign w:val="center"/>
            <w:shd w:fill="F2F6FA"/>
          </w:tcPr>
          <w:p>
            <w:pPr>
              <w:spacing w:after="40" w:before="40"/>
            </w:pPr>
            <w:r>
              <w:t>ANOVA</w:t>
            </w:r>
          </w:p>
        </w:tc>
        <w:tc>
          <w:tcPr>
            <w:tcW w:type="dxa" w:w="2004"/>
            <w:vAlign w:val="center"/>
            <w:shd w:fill="F2F6FA"/>
          </w:tcPr>
          <w:p>
            <w:pPr>
              <w:spacing w:after="40" w:before="40"/>
            </w:pPr>
            <w:r/>
          </w:p>
        </w:tc>
        <w:tc>
          <w:tcPr>
            <w:tcW w:type="dxa" w:w="2004"/>
            <w:vAlign w:val="center"/>
            <w:shd w:fill="F2F6FA"/>
          </w:tcPr>
          <w:p>
            <w:pPr>
              <w:spacing w:after="40" w:before="40"/>
            </w:pPr>
            <w:r/>
          </w:p>
        </w:tc>
        <w:tc>
          <w:tcPr>
            <w:tcW w:type="dxa" w:w="2004"/>
            <w:vAlign w:val="center"/>
            <w:shd w:fill="F2F6FA"/>
          </w:tcPr>
          <w:p>
            <w:pPr>
              <w:spacing w:after="40" w:before="40"/>
            </w:pPr>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Interpretation Protocol</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11"/>
        <w:gridCol w:w="5011"/>
      </w:tblGrid>
      <w:tr>
        <w:tc>
          <w:tcPr>
            <w:tcW w:type="dxa" w:w="5011"/>
            <w:vAlign w:val="center"/>
            <w:shd w:fill="1F4E78"/>
          </w:tcPr>
          <w:p>
            <w:pPr>
              <w:spacing w:after="40" w:before="40"/>
              <w:jc w:val="center"/>
            </w:pPr>
            <w:r>
              <w:rPr>
                <w:b/>
                <w:color w:val="FFFFFF"/>
                <w:sz w:val="17"/>
              </w:rPr>
              <w:t>Evidence</w:t>
            </w:r>
          </w:p>
        </w:tc>
        <w:tc>
          <w:tcPr>
            <w:tcW w:type="dxa" w:w="5011"/>
            <w:vAlign w:val="center"/>
            <w:shd w:fill="1F4E78"/>
          </w:tcPr>
          <w:p>
            <w:pPr>
              <w:spacing w:after="40" w:before="40"/>
              <w:jc w:val="center"/>
            </w:pPr>
            <w:r>
              <w:rPr>
                <w:b/>
                <w:color w:val="FFFFFF"/>
                <w:sz w:val="17"/>
              </w:rPr>
              <w:t>What to report</w:t>
            </w:r>
          </w:p>
        </w:tc>
      </w:tr>
      <w:tr>
        <w:tc>
          <w:tcPr>
            <w:tcW w:type="dxa" w:w="5011"/>
            <w:vAlign w:val="center"/>
          </w:tcPr>
          <w:p>
            <w:pPr>
              <w:spacing w:after="40" w:before="40"/>
            </w:pPr>
            <w:r>
              <w:t>Descriptive</w:t>
            </w:r>
          </w:p>
        </w:tc>
        <w:tc>
          <w:tcPr>
            <w:tcW w:type="dxa" w:w="5011"/>
            <w:vAlign w:val="center"/>
          </w:tcPr>
          <w:p>
            <w:pPr>
              <w:spacing w:after="40" w:before="40"/>
            </w:pPr>
            <w:r>
              <w:t>Pattern, spread and missing values</w:t>
            </w:r>
          </w:p>
        </w:tc>
      </w:tr>
      <w:tr>
        <w:tc>
          <w:tcPr>
            <w:tcW w:type="dxa" w:w="5011"/>
            <w:vAlign w:val="center"/>
            <w:shd w:fill="F2F6FA"/>
          </w:tcPr>
          <w:p>
            <w:pPr>
              <w:spacing w:after="40" w:before="40"/>
            </w:pPr>
            <w:r>
              <w:t>Reliability</w:t>
            </w:r>
          </w:p>
        </w:tc>
        <w:tc>
          <w:tcPr>
            <w:tcW w:type="dxa" w:w="5011"/>
            <w:vAlign w:val="center"/>
            <w:shd w:fill="F2F6FA"/>
          </w:tcPr>
          <w:p>
            <w:pPr>
              <w:spacing w:after="40" w:before="40"/>
            </w:pPr>
            <w:r>
              <w:t>Alpha, item behaviour and decision</w:t>
            </w:r>
          </w:p>
        </w:tc>
      </w:tr>
      <w:tr>
        <w:tc>
          <w:tcPr>
            <w:tcW w:type="dxa" w:w="5011"/>
            <w:vAlign w:val="center"/>
          </w:tcPr>
          <w:p>
            <w:pPr>
              <w:spacing w:after="40" w:before="40"/>
            </w:pPr>
            <w:r>
              <w:t>Association</w:t>
            </w:r>
          </w:p>
        </w:tc>
        <w:tc>
          <w:tcPr>
            <w:tcW w:type="dxa" w:w="5011"/>
            <w:vAlign w:val="center"/>
          </w:tcPr>
          <w:p>
            <w:pPr>
              <w:spacing w:after="40" w:before="40"/>
            </w:pPr>
            <w:r>
              <w:t>Direction, magnitude and uncertainty</w:t>
            </w:r>
          </w:p>
        </w:tc>
      </w:tr>
      <w:tr>
        <w:tc>
          <w:tcPr>
            <w:tcW w:type="dxa" w:w="5011"/>
            <w:vAlign w:val="center"/>
            <w:shd w:fill="F2F6FA"/>
          </w:tcPr>
          <w:p>
            <w:pPr>
              <w:spacing w:after="40" w:before="40"/>
            </w:pPr>
            <w:r>
              <w:t>Regression</w:t>
            </w:r>
          </w:p>
        </w:tc>
        <w:tc>
          <w:tcPr>
            <w:tcW w:type="dxa" w:w="5011"/>
            <w:vAlign w:val="center"/>
            <w:shd w:fill="F2F6FA"/>
          </w:tcPr>
          <w:p>
            <w:pPr>
              <w:spacing w:after="40" w:before="40"/>
            </w:pPr>
            <w:r>
              <w:t>Unique contribution and diagnostics</w:t>
            </w:r>
          </w:p>
        </w:tc>
      </w:tr>
      <w:tr>
        <w:tc>
          <w:tcPr>
            <w:tcW w:type="dxa" w:w="5011"/>
            <w:vAlign w:val="center"/>
          </w:tcPr>
          <w:p>
            <w:pPr>
              <w:spacing w:after="40" w:before="40"/>
            </w:pPr>
            <w:r>
              <w:t>Group comparison</w:t>
            </w:r>
          </w:p>
        </w:tc>
        <w:tc>
          <w:tcPr>
            <w:tcW w:type="dxa" w:w="5011"/>
            <w:vAlign w:val="center"/>
          </w:tcPr>
          <w:p>
            <w:pPr>
              <w:spacing w:after="40" w:before="40"/>
            </w:pPr>
            <w:r>
              <w:t>Difference, effect size and post hoc test</w:t>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5  ANALYSIS AND INTERPRETATION TEMPLATES</w:t>
      </w:r>
    </w:p>
    <w:p>
      <w:pPr>
        <w:pStyle w:val="Heading1"/>
      </w:pPr>
      <w:r>
        <w:t>Chapter Completion Checklist</w:t>
      </w:r>
    </w:p>
    <w:p>
      <w:r>
        <w:t>This page is an analysis template. Insert values only after final data collection, screening and computation. Replace bracketed fields and blank cells with verified output; then interpret magnitude, uncertainty and practical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11"/>
        <w:gridCol w:w="5011"/>
      </w:tblGrid>
      <w:tr>
        <w:tc>
          <w:tcPr>
            <w:tcW w:type="dxa" w:w="5011"/>
            <w:vAlign w:val="center"/>
            <w:shd w:fill="1F4E78"/>
          </w:tcPr>
          <w:p>
            <w:pPr>
              <w:spacing w:after="40" w:before="40"/>
              <w:jc w:val="center"/>
            </w:pPr>
            <w:r>
              <w:rPr>
                <w:b/>
                <w:color w:val="FFFFFF"/>
                <w:sz w:val="17"/>
              </w:rPr>
              <w:t>Requirement</w:t>
            </w:r>
          </w:p>
        </w:tc>
        <w:tc>
          <w:tcPr>
            <w:tcW w:type="dxa" w:w="5011"/>
            <w:vAlign w:val="center"/>
            <w:shd w:fill="1F4E78"/>
          </w:tcPr>
          <w:p>
            <w:pPr>
              <w:spacing w:after="40" w:before="40"/>
              <w:jc w:val="center"/>
            </w:pPr>
            <w:r>
              <w:rPr>
                <w:b/>
                <w:color w:val="FFFFFF"/>
                <w:sz w:val="17"/>
              </w:rPr>
              <w:t>Complete</w:t>
            </w:r>
          </w:p>
        </w:tc>
      </w:tr>
      <w:tr>
        <w:tc>
          <w:tcPr>
            <w:tcW w:type="dxa" w:w="5011"/>
            <w:vAlign w:val="center"/>
          </w:tcPr>
          <w:p>
            <w:pPr>
              <w:spacing w:after="40" w:before="40"/>
            </w:pPr>
            <w:r>
              <w:t>No invented observations</w:t>
            </w:r>
          </w:p>
        </w:tc>
        <w:tc>
          <w:tcPr>
            <w:tcW w:type="dxa" w:w="5011"/>
            <w:vAlign w:val="center"/>
          </w:tcPr>
          <w:p>
            <w:pPr>
              <w:spacing w:after="40" w:before="40"/>
            </w:pPr>
            <w:r>
              <w:t>☐</w:t>
            </w:r>
          </w:p>
        </w:tc>
      </w:tr>
      <w:tr>
        <w:tc>
          <w:tcPr>
            <w:tcW w:type="dxa" w:w="5011"/>
            <w:vAlign w:val="center"/>
            <w:shd w:fill="F2F6FA"/>
          </w:tcPr>
          <w:p>
            <w:pPr>
              <w:spacing w:after="40" w:before="40"/>
            </w:pPr>
            <w:r>
              <w:t>Tables populated from final dataset</w:t>
            </w:r>
          </w:p>
        </w:tc>
        <w:tc>
          <w:tcPr>
            <w:tcW w:type="dxa" w:w="5011"/>
            <w:vAlign w:val="center"/>
            <w:shd w:fill="F2F6FA"/>
          </w:tcPr>
          <w:p>
            <w:pPr>
              <w:spacing w:after="40" w:before="40"/>
            </w:pPr>
            <w:r>
              <w:t>☐</w:t>
            </w:r>
          </w:p>
        </w:tc>
      </w:tr>
      <w:tr>
        <w:tc>
          <w:tcPr>
            <w:tcW w:type="dxa" w:w="5011"/>
            <w:vAlign w:val="center"/>
          </w:tcPr>
          <w:p>
            <w:pPr>
              <w:spacing w:after="40" w:before="40"/>
            </w:pPr>
            <w:r>
              <w:t>Assumptions documented</w:t>
            </w:r>
          </w:p>
        </w:tc>
        <w:tc>
          <w:tcPr>
            <w:tcW w:type="dxa" w:w="5011"/>
            <w:vAlign w:val="center"/>
          </w:tcPr>
          <w:p>
            <w:pPr>
              <w:spacing w:after="40" w:before="40"/>
            </w:pPr>
            <w:r>
              <w:t>☐</w:t>
            </w:r>
          </w:p>
        </w:tc>
      </w:tr>
      <w:tr>
        <w:tc>
          <w:tcPr>
            <w:tcW w:type="dxa" w:w="5011"/>
            <w:vAlign w:val="center"/>
            <w:shd w:fill="F2F6FA"/>
          </w:tcPr>
          <w:p>
            <w:pPr>
              <w:spacing w:after="40" w:before="40"/>
            </w:pPr>
            <w:r>
              <w:t>Effect sizes reported</w:t>
            </w:r>
          </w:p>
        </w:tc>
        <w:tc>
          <w:tcPr>
            <w:tcW w:type="dxa" w:w="5011"/>
            <w:vAlign w:val="center"/>
            <w:shd w:fill="F2F6FA"/>
          </w:tcPr>
          <w:p>
            <w:pPr>
              <w:spacing w:after="40" w:before="40"/>
            </w:pPr>
            <w:r>
              <w:t>☐</w:t>
            </w:r>
          </w:p>
        </w:tc>
      </w:tr>
      <w:tr>
        <w:tc>
          <w:tcPr>
            <w:tcW w:type="dxa" w:w="5011"/>
            <w:vAlign w:val="center"/>
          </w:tcPr>
          <w:p>
            <w:pPr>
              <w:spacing w:after="40" w:before="40"/>
            </w:pPr>
            <w:r>
              <w:t>Hypotheses decided consistently</w:t>
            </w:r>
          </w:p>
        </w:tc>
        <w:tc>
          <w:tcPr>
            <w:tcW w:type="dxa" w:w="5011"/>
            <w:vAlign w:val="center"/>
          </w:tcPr>
          <w:p>
            <w:pPr>
              <w:spacing w:after="40" w:before="40"/>
            </w:pPr>
            <w:r>
              <w:t>☐</w:t>
            </w:r>
          </w:p>
        </w:tc>
      </w:tr>
      <w:tr>
        <w:tc>
          <w:tcPr>
            <w:tcW w:type="dxa" w:w="5011"/>
            <w:vAlign w:val="center"/>
            <w:shd w:fill="F2F6FA"/>
          </w:tcPr>
          <w:p>
            <w:pPr>
              <w:spacing w:after="40" w:before="40"/>
            </w:pPr>
            <w:r>
              <w:t>Narrative matches tables</w:t>
            </w:r>
          </w:p>
        </w:tc>
        <w:tc>
          <w:tcPr>
            <w:tcW w:type="dxa" w:w="5011"/>
            <w:vAlign w:val="center"/>
            <w:shd w:fill="F2F6FA"/>
          </w:tcPr>
          <w:p>
            <w:pPr>
              <w:spacing w:after="40" w:before="40"/>
            </w:pPr>
            <w:r>
              <w:t>☐</w:t>
            </w:r>
          </w:p>
        </w:tc>
      </w:tr>
    </w:tbl>
    <w:p>
      <w:r>
        <w:t>Suggested narrative: “The analysis included [n] valid respondents. The construct recorded a mean of [ ] and standard deviation of [ ]. The result indicates [interpretation], subject to [relevant limitation].” Do not use causal language unless the research design supports it.</w:t>
      </w:r>
    </w:p>
    <w:p>
      <w:r>
        <w:br w:type="page"/>
      </w:r>
    </w:p>
    <w:p>
      <w:pPr>
        <w:spacing w:after="40"/>
      </w:pPr>
      <w:r>
        <w:rPr>
          <w:b/>
          <w:color w:val="1F4E78"/>
          <w:sz w:val="16"/>
        </w:rPr>
        <w:t>CHAPTER 6  RECOMMENDATIONS AND IMPLEMENTATION</w:t>
      </w:r>
    </w:p>
    <w:p>
      <w:pPr>
        <w:pStyle w:val="Heading1"/>
      </w:pPr>
      <w:r>
        <w:t>Principles for an Effective Blended Learning Strategy</w:t>
      </w:r>
    </w:p>
    <w:p>
      <w:r>
        <w:t>A bank-wide strategy should begin with capability outcomes and risk priorities, then assign appropriate learning modes. Online delivery should not be used merely because it is scalable, and classroom delivery should not be retained merely because it is familiar.</w:t>
      </w:r>
    </w:p>
    <w:p>
      <w:r>
        <w:t>The priority assigned to this recommendation should be determined from actual survey results and operational evidence. Where scores are low, qualitative follow-up can identify the precise barrier. Where scores are high, the Bank should examine whether positive perceptions correspond with observable workplace performance.</w:t>
      </w:r>
    </w:p>
    <w:p>
      <w:pPr>
        <w:pStyle w:val="ListBullet"/>
        <w:spacing w:after="60"/>
      </w:pPr>
      <w:r>
        <w:t>Link action to a measured gap.</w:t>
      </w:r>
    </w:p>
    <w:p>
      <w:pPr>
        <w:pStyle w:val="ListBullet"/>
        <w:spacing w:after="60"/>
      </w:pPr>
      <w:r>
        <w:t>Assign ownership and timeline.</w:t>
      </w:r>
    </w:p>
    <w:p>
      <w:pPr>
        <w:pStyle w:val="ListBullet"/>
        <w:spacing w:after="60"/>
      </w:pPr>
      <w:r>
        <w:t>Review evidence after implementation.</w:t>
      </w:r>
    </w:p>
    <w:p>
      <w:r>
        <w:br w:type="page"/>
      </w:r>
    </w:p>
    <w:p>
      <w:pPr>
        <w:spacing w:after="40"/>
      </w:pPr>
      <w:r>
        <w:rPr>
          <w:b/>
          <w:color w:val="1F4E78"/>
          <w:sz w:val="16"/>
        </w:rPr>
        <w:t>CHAPTER 6  RECOMMENDATIONS AND IMPLEMENTATION</w:t>
      </w:r>
    </w:p>
    <w:p>
      <w:pPr>
        <w:pStyle w:val="Heading1"/>
      </w:pPr>
      <w:r>
        <w:t>Role Based Learning Paths</w:t>
      </w:r>
    </w:p>
    <w:p>
      <w:r>
        <w:t>Learning journeys should be mapped to role transitions and recurring decisions. Branch operations, credit, risk, digital, customer service and leadership roles require different combinations of foundation modules, facilitated practice and workplace evidence.</w:t>
      </w:r>
    </w:p>
    <w:p>
      <w:r>
        <w:t>The priority assigned to this recommendation should be determined from actual survey results and operational evidence. Where scores are low, qualitative follow-up can identify the precise barrier. Where scores are high, the Bank should examine whether positive perceptions correspond with observable workplace performance.</w:t>
      </w:r>
    </w:p>
    <w:p>
      <w:pPr>
        <w:pStyle w:val="ListBullet"/>
        <w:spacing w:after="60"/>
      </w:pPr>
      <w:r>
        <w:t>Link action to a measured gap.</w:t>
      </w:r>
    </w:p>
    <w:p>
      <w:pPr>
        <w:pStyle w:val="ListBullet"/>
        <w:spacing w:after="60"/>
      </w:pPr>
      <w:r>
        <w:t>Assign ownership and timeline.</w:t>
      </w:r>
    </w:p>
    <w:p>
      <w:pPr>
        <w:pStyle w:val="ListBullet"/>
        <w:spacing w:after="60"/>
      </w:pPr>
      <w:r>
        <w:t>Review evidence after implementation.</w:t>
      </w:r>
    </w:p>
    <w:p>
      <w:r>
        <w:br w:type="page"/>
      </w:r>
    </w:p>
    <w:p>
      <w:pPr>
        <w:spacing w:after="40"/>
      </w:pPr>
      <w:r>
        <w:rPr>
          <w:b/>
          <w:color w:val="1F4E78"/>
          <w:sz w:val="16"/>
        </w:rPr>
        <w:t>CHAPTER 6  RECOMMENDATIONS AND IMPLEMENTATION</w:t>
      </w:r>
    </w:p>
    <w:p>
      <w:pPr>
        <w:pStyle w:val="Heading1"/>
      </w:pPr>
      <w:r>
        <w:t>Protected Learning Time and Manager Support</w:t>
      </w:r>
    </w:p>
    <w:p>
      <w:r>
        <w:t>Employees need scheduled time to complete online work and opportunities to apply learning. Managers should receive simple reinforcement guides and should discuss application goals before and after programmes.</w:t>
      </w:r>
    </w:p>
    <w:p>
      <w:r>
        <w:t>The priority assigned to this recommendation should be determined from actual survey results and operational evidence. Where scores are low, qualitative follow-up can identify the precise barrier. Where scores are high, the Bank should examine whether positive perceptions correspond with observable workplace performance.</w:t>
      </w:r>
    </w:p>
    <w:p>
      <w:pPr>
        <w:pStyle w:val="ListBullet"/>
        <w:spacing w:after="60"/>
      </w:pPr>
      <w:r>
        <w:t>Link action to a measured gap.</w:t>
      </w:r>
    </w:p>
    <w:p>
      <w:pPr>
        <w:pStyle w:val="ListBullet"/>
        <w:spacing w:after="60"/>
      </w:pPr>
      <w:r>
        <w:t>Assign ownership and timeline.</w:t>
      </w:r>
    </w:p>
    <w:p>
      <w:pPr>
        <w:pStyle w:val="ListBullet"/>
        <w:spacing w:after="60"/>
      </w:pPr>
      <w:r>
        <w:t>Review evidence after implementation.</w:t>
      </w:r>
    </w:p>
    <w:p>
      <w:r>
        <w:br w:type="page"/>
      </w:r>
    </w:p>
    <w:p>
      <w:pPr>
        <w:spacing w:after="40"/>
      </w:pPr>
      <w:r>
        <w:rPr>
          <w:b/>
          <w:color w:val="1F4E78"/>
          <w:sz w:val="16"/>
        </w:rPr>
        <w:t>CHAPTER 6  RECOMMENDATIONS AND IMPLEMENTATION</w:t>
      </w:r>
    </w:p>
    <w:p>
      <w:pPr>
        <w:pStyle w:val="Heading1"/>
      </w:pPr>
      <w:r>
        <w:t>Trainer Capability Development</w:t>
      </w:r>
    </w:p>
    <w:p>
      <w:r>
        <w:t>Subject experts should be supported to design for both digital and facilitated environments. Development should cover online presence, questioning, feedback, case facilitation, inclusive practice and use of learning analytics.</w:t>
      </w:r>
    </w:p>
    <w:p>
      <w:r>
        <w:t>The priority assigned to this recommendation should be determined from actual survey results and operational evidence. Where scores are low, qualitative follow-up can identify the precise barrier. Where scores are high, the Bank should examine whether positive perceptions correspond with observable workplace performance.</w:t>
      </w:r>
    </w:p>
    <w:p>
      <w:pPr>
        <w:pStyle w:val="ListBullet"/>
        <w:spacing w:after="60"/>
      </w:pPr>
      <w:r>
        <w:t>Link action to a measured gap.</w:t>
      </w:r>
    </w:p>
    <w:p>
      <w:pPr>
        <w:pStyle w:val="ListBullet"/>
        <w:spacing w:after="60"/>
      </w:pPr>
      <w:r>
        <w:t>Assign ownership and timeline.</w:t>
      </w:r>
    </w:p>
    <w:p>
      <w:pPr>
        <w:pStyle w:val="ListBullet"/>
        <w:spacing w:after="60"/>
      </w:pPr>
      <w:r>
        <w:t>Review evidence after implementation.</w:t>
      </w:r>
    </w:p>
    <w:p>
      <w:r>
        <w:br w:type="page"/>
      </w:r>
    </w:p>
    <w:p>
      <w:pPr>
        <w:spacing w:after="40"/>
      </w:pPr>
      <w:r>
        <w:rPr>
          <w:b/>
          <w:color w:val="1F4E78"/>
          <w:sz w:val="16"/>
        </w:rPr>
        <w:t>CHAPTER 6  RECOMMENDATIONS AND IMPLEMENTATION</w:t>
      </w:r>
    </w:p>
    <w:p>
      <w:pPr>
        <w:pStyle w:val="Heading1"/>
      </w:pPr>
      <w:r>
        <w:t>Technology Accessibility and Learner Support</w:t>
      </w:r>
    </w:p>
    <w:p>
      <w:r>
        <w:t>The learning platform should be reliable, intuitive, mobile-aware and accessible. Help channels, clear navigation, low-bandwidth options and multilingual support can reduce avoidable exclusion.</w:t>
      </w:r>
    </w:p>
    <w:p>
      <w:r>
        <w:t>The priority assigned to this recommendation should be determined from actual survey results and operational evidence. Where scores are low, qualitative follow-up can identify the precise barrier. Where scores are high, the Bank should examine whether positive perceptions correspond with observable workplace performance.</w:t>
      </w:r>
    </w:p>
    <w:p>
      <w:pPr>
        <w:pStyle w:val="ListBullet"/>
        <w:spacing w:after="60"/>
      </w:pPr>
      <w:r>
        <w:t>Link action to a measured gap.</w:t>
      </w:r>
    </w:p>
    <w:p>
      <w:pPr>
        <w:pStyle w:val="ListBullet"/>
        <w:spacing w:after="60"/>
      </w:pPr>
      <w:r>
        <w:t>Assign ownership and timeline.</w:t>
      </w:r>
    </w:p>
    <w:p>
      <w:pPr>
        <w:pStyle w:val="ListBullet"/>
        <w:spacing w:after="60"/>
      </w:pPr>
      <w:r>
        <w:t>Review evidence after implementation.</w:t>
      </w:r>
    </w:p>
    <w:p>
      <w:r>
        <w:br w:type="page"/>
      </w:r>
    </w:p>
    <w:p>
      <w:pPr>
        <w:spacing w:after="40"/>
      </w:pPr>
      <w:r>
        <w:rPr>
          <w:b/>
          <w:color w:val="1F4E78"/>
          <w:sz w:val="16"/>
        </w:rPr>
        <w:t>CHAPTER 6  RECOMMENDATIONS AND IMPLEMENTATION</w:t>
      </w:r>
    </w:p>
    <w:p>
      <w:pPr>
        <w:pStyle w:val="Heading1"/>
      </w:pPr>
      <w:r>
        <w:t>Assessment and Transfer</w:t>
      </w:r>
    </w:p>
    <w:p>
      <w:r>
        <w:t>Assessment should test judgment and application, not recall alone. Authentic cases, simulations, demonstrations, workplace projects and manager verification can provide stronger evidence of capability.</w:t>
      </w:r>
    </w:p>
    <w:p>
      <w:r>
        <w:t>The priority assigned to this recommendation should be determined from actual survey results and operational evidence. Where scores are low, qualitative follow-up can identify the precise barrier. Where scores are high, the Bank should examine whether positive perceptions correspond with observable workplace performance.</w:t>
      </w:r>
    </w:p>
    <w:p>
      <w:pPr>
        <w:pStyle w:val="ListBullet"/>
        <w:spacing w:after="60"/>
      </w:pPr>
      <w:r>
        <w:t>Link action to a measured gap.</w:t>
      </w:r>
    </w:p>
    <w:p>
      <w:pPr>
        <w:pStyle w:val="ListBullet"/>
        <w:spacing w:after="60"/>
      </w:pPr>
      <w:r>
        <w:t>Assign ownership and timeline.</w:t>
      </w:r>
    </w:p>
    <w:p>
      <w:pPr>
        <w:pStyle w:val="ListBullet"/>
        <w:spacing w:after="60"/>
      </w:pPr>
      <w:r>
        <w:t>Review evidence after implementation.</w:t>
      </w:r>
    </w:p>
    <w:p>
      <w:r>
        <w:br w:type="page"/>
      </w:r>
    </w:p>
    <w:p>
      <w:pPr>
        <w:spacing w:after="40"/>
      </w:pPr>
      <w:r>
        <w:rPr>
          <w:b/>
          <w:color w:val="1F4E78"/>
          <w:sz w:val="16"/>
        </w:rPr>
        <w:t>CHAPTER 6  RECOMMENDATIONS AND IMPLEMENTATION</w:t>
      </w:r>
    </w:p>
    <w:p>
      <w:pPr>
        <w:pStyle w:val="Heading1"/>
      </w:pPr>
      <w:r>
        <w:t>Implementation Roadmap</w:t>
      </w:r>
    </w:p>
    <w:p>
      <w:r>
        <w:t>Implementation should proceed through diagnosis, pilot, evaluation, refinement and scale. A limited pilot permits improvement of content, platform, facilitation and manager support before wider adoption.</w:t>
      </w:r>
    </w:p>
    <w:p>
      <w:r>
        <w:t>The priority assigned to this recommendation should be determined from actual survey results and operational evidence. Where scores are low, qualitative follow-up can identify the precise barrier. Where scores are high, the Bank should examine whether positive perceptions correspond with observable workplace performance.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4608"/>
        <w:gridCol w:w="3024"/>
      </w:tblGrid>
      <w:tr>
        <w:tc>
          <w:tcPr>
            <w:tcW w:type="dxa" w:w="3341"/>
            <w:vAlign w:val="center"/>
            <w:shd w:fill="1F4E78"/>
          </w:tcPr>
          <w:p>
            <w:pPr>
              <w:spacing w:after="40" w:before="40"/>
              <w:jc w:val="center"/>
            </w:pPr>
            <w:r>
              <w:rPr>
                <w:b/>
                <w:color w:val="FFFFFF"/>
                <w:sz w:val="17"/>
              </w:rPr>
              <w:t>Phase</w:t>
            </w:r>
          </w:p>
        </w:tc>
        <w:tc>
          <w:tcPr>
            <w:tcW w:type="dxa" w:w="3341"/>
            <w:vAlign w:val="center"/>
            <w:shd w:fill="1F4E78"/>
          </w:tcPr>
          <w:p>
            <w:pPr>
              <w:spacing w:after="40" w:before="40"/>
              <w:jc w:val="center"/>
            </w:pPr>
            <w:r>
              <w:rPr>
                <w:b/>
                <w:color w:val="FFFFFF"/>
                <w:sz w:val="17"/>
              </w:rPr>
              <w:t>Key action</w:t>
            </w:r>
          </w:p>
        </w:tc>
        <w:tc>
          <w:tcPr>
            <w:tcW w:type="dxa" w:w="3341"/>
            <w:vAlign w:val="center"/>
            <w:shd w:fill="1F4E78"/>
          </w:tcPr>
          <w:p>
            <w:pPr>
              <w:spacing w:after="40" w:before="40"/>
              <w:jc w:val="center"/>
            </w:pPr>
            <w:r>
              <w:rPr>
                <w:b/>
                <w:color w:val="FFFFFF"/>
                <w:sz w:val="17"/>
              </w:rPr>
              <w:t>Evidence</w:t>
            </w:r>
          </w:p>
        </w:tc>
      </w:tr>
      <w:tr>
        <w:tc>
          <w:tcPr>
            <w:tcW w:type="dxa" w:w="1584"/>
            <w:vAlign w:val="center"/>
          </w:tcPr>
          <w:p>
            <w:pPr>
              <w:spacing w:after="40" w:before="40"/>
            </w:pPr>
            <w:r>
              <w:t>1 Diagnose</w:t>
            </w:r>
          </w:p>
        </w:tc>
        <w:tc>
          <w:tcPr>
            <w:tcW w:type="dxa" w:w="4608"/>
            <w:vAlign w:val="center"/>
          </w:tcPr>
          <w:p>
            <w:pPr>
              <w:spacing w:after="40" w:before="40"/>
            </w:pPr>
            <w:r>
              <w:t>Baseline survey and stakeholder interviews</w:t>
            </w:r>
          </w:p>
        </w:tc>
        <w:tc>
          <w:tcPr>
            <w:tcW w:type="dxa" w:w="3024"/>
            <w:vAlign w:val="center"/>
          </w:tcPr>
          <w:p>
            <w:pPr>
              <w:spacing w:after="40" w:before="40"/>
            </w:pPr>
            <w:r>
              <w:t>Validated needs</w:t>
            </w:r>
          </w:p>
        </w:tc>
      </w:tr>
      <w:tr>
        <w:tc>
          <w:tcPr>
            <w:tcW w:type="dxa" w:w="1584"/>
            <w:vAlign w:val="center"/>
            <w:shd w:fill="F2F6FA"/>
          </w:tcPr>
          <w:p>
            <w:pPr>
              <w:spacing w:after="40" w:before="40"/>
            </w:pPr>
            <w:r>
              <w:t>2 Design</w:t>
            </w:r>
          </w:p>
        </w:tc>
        <w:tc>
          <w:tcPr>
            <w:tcW w:type="dxa" w:w="4608"/>
            <w:vAlign w:val="center"/>
            <w:shd w:fill="F2F6FA"/>
          </w:tcPr>
          <w:p>
            <w:pPr>
              <w:spacing w:after="40" w:before="40"/>
            </w:pPr>
            <w:r>
              <w:t>Map outcomes and modes</w:t>
            </w:r>
          </w:p>
        </w:tc>
        <w:tc>
          <w:tcPr>
            <w:tcW w:type="dxa" w:w="3024"/>
            <w:vAlign w:val="center"/>
            <w:shd w:fill="F2F6FA"/>
          </w:tcPr>
          <w:p>
            <w:pPr>
              <w:spacing w:after="40" w:before="40"/>
            </w:pPr>
            <w:r>
              <w:t>Programme blueprint</w:t>
            </w:r>
          </w:p>
        </w:tc>
      </w:tr>
      <w:tr>
        <w:tc>
          <w:tcPr>
            <w:tcW w:type="dxa" w:w="1584"/>
            <w:vAlign w:val="center"/>
          </w:tcPr>
          <w:p>
            <w:pPr>
              <w:spacing w:after="40" w:before="40"/>
            </w:pPr>
            <w:r>
              <w:t>3 Pilot</w:t>
            </w:r>
          </w:p>
        </w:tc>
        <w:tc>
          <w:tcPr>
            <w:tcW w:type="dxa" w:w="4608"/>
            <w:vAlign w:val="center"/>
          </w:tcPr>
          <w:p>
            <w:pPr>
              <w:spacing w:after="40" w:before="40"/>
            </w:pPr>
            <w:r>
              <w:t>Run selected learning journey</w:t>
            </w:r>
          </w:p>
        </w:tc>
        <w:tc>
          <w:tcPr>
            <w:tcW w:type="dxa" w:w="3024"/>
            <w:vAlign w:val="center"/>
          </w:tcPr>
          <w:p>
            <w:pPr>
              <w:spacing w:after="40" w:before="40"/>
            </w:pPr>
            <w:r>
              <w:t>Participation and feedback</w:t>
            </w:r>
          </w:p>
        </w:tc>
      </w:tr>
      <w:tr>
        <w:tc>
          <w:tcPr>
            <w:tcW w:type="dxa" w:w="1584"/>
            <w:vAlign w:val="center"/>
            <w:shd w:fill="F2F6FA"/>
          </w:tcPr>
          <w:p>
            <w:pPr>
              <w:spacing w:after="40" w:before="40"/>
            </w:pPr>
            <w:r>
              <w:t>4 Evaluate</w:t>
            </w:r>
          </w:p>
        </w:tc>
        <w:tc>
          <w:tcPr>
            <w:tcW w:type="dxa" w:w="4608"/>
            <w:vAlign w:val="center"/>
            <w:shd w:fill="F2F6FA"/>
          </w:tcPr>
          <w:p>
            <w:pPr>
              <w:spacing w:after="40" w:before="40"/>
            </w:pPr>
            <w:r>
              <w:t>Assess learning and transfer</w:t>
            </w:r>
          </w:p>
        </w:tc>
        <w:tc>
          <w:tcPr>
            <w:tcW w:type="dxa" w:w="3024"/>
            <w:vAlign w:val="center"/>
            <w:shd w:fill="F2F6FA"/>
          </w:tcPr>
          <w:p>
            <w:pPr>
              <w:spacing w:after="40" w:before="40"/>
            </w:pPr>
            <w:r>
              <w:t>Verified results</w:t>
            </w:r>
          </w:p>
        </w:tc>
      </w:tr>
      <w:tr>
        <w:tc>
          <w:tcPr>
            <w:tcW w:type="dxa" w:w="1584"/>
            <w:vAlign w:val="center"/>
          </w:tcPr>
          <w:p>
            <w:pPr>
              <w:spacing w:after="40" w:before="40"/>
            </w:pPr>
            <w:r>
              <w:t>5 Scale</w:t>
            </w:r>
          </w:p>
        </w:tc>
        <w:tc>
          <w:tcPr>
            <w:tcW w:type="dxa" w:w="4608"/>
            <w:vAlign w:val="center"/>
          </w:tcPr>
          <w:p>
            <w:pPr>
              <w:spacing w:after="40" w:before="40"/>
            </w:pPr>
            <w:r>
              <w:t>Refine and extend</w:t>
            </w:r>
          </w:p>
        </w:tc>
        <w:tc>
          <w:tcPr>
            <w:tcW w:type="dxa" w:w="3024"/>
            <w:vAlign w:val="center"/>
          </w:tcPr>
          <w:p>
            <w:pPr>
              <w:spacing w:after="40" w:before="40"/>
            </w:pPr>
            <w:r>
              <w:t>Governed rollout</w:t>
            </w:r>
          </w:p>
        </w:tc>
      </w:tr>
    </w:tbl>
    <w:p>
      <w:r>
        <w:br w:type="page"/>
      </w:r>
    </w:p>
    <w:p>
      <w:pPr>
        <w:spacing w:after="40"/>
      </w:pPr>
      <w:r>
        <w:rPr>
          <w:b/>
          <w:color w:val="1F4E78"/>
          <w:sz w:val="16"/>
        </w:rPr>
        <w:t>CHAPTER 7  CONCLUSION</w:t>
      </w:r>
    </w:p>
    <w:p>
      <w:pPr>
        <w:pStyle w:val="Heading1"/>
      </w:pPr>
      <w:r>
        <w:t>Conclusion</w:t>
      </w:r>
    </w:p>
    <w:p>
      <w:r>
        <w:t>Blended learning can support continuous capability development in a large public sector bank when online and face-to-face elements are designed as one coherent journey. Its effectiveness depends on the ecosystem around the learner: access and organisational support, capable trainers, learner readiness, and meaningful integration of activities.</w:t>
      </w:r>
    </w:p>
    <w:p>
      <w:r>
        <w:t>The principal contribution of this report is an evidence-ready framework that connects established learning theory with the practical demands of public sector banking. The report deliberately leaves empirical tables blank so that conclusions remain traceable to genuine employee responses.</w:t>
      </w:r>
    </w:p>
    <w:p>
      <w:pPr>
        <w:pStyle w:val="ListBullet"/>
        <w:spacing w:after="60"/>
      </w:pPr>
      <w:r>
        <w:t>Collect ethically and analyse transparently.</w:t>
      </w:r>
    </w:p>
    <w:p>
      <w:pPr>
        <w:pStyle w:val="ListBullet"/>
        <w:spacing w:after="60"/>
      </w:pPr>
      <w:r>
        <w:t>Interpret effectiveness as learning plus workplace application.</w:t>
      </w:r>
    </w:p>
    <w:p>
      <w:pPr>
        <w:pStyle w:val="ListBullet"/>
        <w:spacing w:after="60"/>
      </w:pPr>
      <w:r>
        <w:t>Use results to refine the full learning ecosystem.</w:t>
      </w:r>
    </w:p>
    <w:p>
      <w:r>
        <w:br w:type="page"/>
      </w:r>
    </w:p>
    <w:p>
      <w:pPr>
        <w:spacing w:after="40"/>
      </w:pPr>
      <w:r>
        <w:rPr>
          <w:b/>
          <w:color w:val="1F4E78"/>
          <w:sz w:val="16"/>
        </w:rPr>
        <w:t>CHAPTER 7  CONCLUSION</w:t>
      </w:r>
    </w:p>
    <w:p>
      <w:pPr>
        <w:pStyle w:val="Heading1"/>
      </w:pPr>
      <w:r>
        <w:t>Limitations</w:t>
      </w:r>
    </w:p>
    <w:p>
      <w:r>
        <w:t>The proposed design relies primarily on self-reported perceptions and a cross-sectional survey. Common-method bias, non-response, recall differences and restricted organisational access may affect inference. Results from Union Bank of India should not automatically be generalised to every public sector bank.</w:t>
      </w:r>
    </w:p>
    <w:p>
      <w:r>
        <w:t>The principal contribution of this report is an evidence-ready framework that connects established learning theory with the practical demands of public sector banking. The report deliberately leaves empirical tables blank so that conclusions remain traceable to genuine employee responses.</w:t>
      </w:r>
    </w:p>
    <w:p>
      <w:pPr>
        <w:pStyle w:val="ListBullet"/>
        <w:spacing w:after="60"/>
      </w:pPr>
      <w:r>
        <w:t>Collect ethically and analyse transparently.</w:t>
      </w:r>
    </w:p>
    <w:p>
      <w:pPr>
        <w:pStyle w:val="ListBullet"/>
        <w:spacing w:after="60"/>
      </w:pPr>
      <w:r>
        <w:t>Interpret effectiveness as learning plus workplace application.</w:t>
      </w:r>
    </w:p>
    <w:p>
      <w:pPr>
        <w:pStyle w:val="ListBullet"/>
        <w:spacing w:after="60"/>
      </w:pPr>
      <w:r>
        <w:t>Use results to refine the full learning ecosystem.</w:t>
      </w:r>
    </w:p>
    <w:p>
      <w:r>
        <w:br w:type="page"/>
      </w:r>
    </w:p>
    <w:p>
      <w:pPr>
        <w:spacing w:after="40"/>
      </w:pPr>
      <w:r>
        <w:rPr>
          <w:b/>
          <w:color w:val="1F4E78"/>
          <w:sz w:val="16"/>
        </w:rPr>
        <w:t>CHAPTER 7  CONCLUSION</w:t>
      </w:r>
    </w:p>
    <w:p>
      <w:pPr>
        <w:pStyle w:val="Heading1"/>
      </w:pPr>
      <w:r>
        <w:t>Scope for Future Research</w:t>
      </w:r>
    </w:p>
    <w:p>
      <w:r>
        <w:t>Future studies can use longitudinal designs, learning-platform records, assessment scores, manager ratings and selected operational indicators. Comparative research across cadres, functions and public sector banks can test whether the model behaves consistently in different contexts.</w:t>
      </w:r>
    </w:p>
    <w:p>
      <w:r>
        <w:t>The principal contribution of this report is an evidence-ready framework that connects established learning theory with the practical demands of public sector banking. The report deliberately leaves empirical tables blank so that conclusions remain traceable to genuine employee responses.</w:t>
      </w:r>
    </w:p>
    <w:p>
      <w:pPr>
        <w:pStyle w:val="ListBullet"/>
        <w:spacing w:after="60"/>
      </w:pPr>
      <w:r>
        <w:t>Collect ethically and analyse transparently.</w:t>
      </w:r>
    </w:p>
    <w:p>
      <w:pPr>
        <w:pStyle w:val="ListBullet"/>
        <w:spacing w:after="60"/>
      </w:pPr>
      <w:r>
        <w:t>Interpret effectiveness as learning plus workplace application.</w:t>
      </w:r>
    </w:p>
    <w:p>
      <w:pPr>
        <w:pStyle w:val="ListBullet"/>
        <w:spacing w:after="60"/>
      </w:pPr>
      <w:r>
        <w:t>Use results to refine the full learning ecosystem.</w:t>
      </w:r>
    </w:p>
    <w:p>
      <w:r>
        <w:br w:type="page"/>
      </w:r>
    </w:p>
    <w:p>
      <w:pPr>
        <w:spacing w:after="40"/>
      </w:pPr>
      <w:r>
        <w:rPr>
          <w:b/>
          <w:color w:val="1F4E78"/>
          <w:sz w:val="16"/>
        </w:rPr>
        <w:t>REFERENCES</w:t>
      </w:r>
    </w:p>
    <w:p>
      <w:pPr>
        <w:pStyle w:val="Heading1"/>
      </w:pPr>
      <w:r>
        <w:t>References 1</w:t>
      </w:r>
    </w:p>
    <w:p>
      <w:pPr>
        <w:spacing w:after="180"/>
        <w:ind w:left="360" w:hanging="360"/>
      </w:pPr>
      <w:r>
        <w:t>Anthony, B., Jr., Kamaludin, A., Romli, A., Raffei, A. F. M., Phon, D. N. A. L. E., Abdullah, A., &amp; Ming, G. L. (2022). Blended learning adoption and implementation in higher education: A theoretical and systematic review. Technology, Knowledge and Learning, 27, 531-578.</w:t>
      </w:r>
    </w:p>
    <w:p>
      <w:pPr>
        <w:spacing w:after="180"/>
        <w:ind w:left="360" w:hanging="360"/>
      </w:pPr>
      <w:r>
        <w:t>Dziuban, C. D., Hartman, J. L., &amp; Moskal, P. D. (2004). Blended learning. EDUCAUSE Center for Applied Research Research Bulletin, 7.</w:t>
      </w:r>
    </w:p>
    <w:p>
      <w:pPr>
        <w:spacing w:after="180"/>
        <w:ind w:left="360" w:hanging="360"/>
      </w:pPr>
      <w:r>
        <w:t>Garrison, D. R., &amp; Kanuka, H. (2004). Blended learning: Uncovering its transformative potential in higher education. The Internet and Higher Education, 7(2), 95-105.</w:t>
      </w:r>
    </w:p>
    <w:p>
      <w:pPr>
        <w:spacing w:after="180"/>
        <w:ind w:left="360" w:hanging="360"/>
      </w:pPr>
      <w:r>
        <w:t>Graham, C. R. (2006). Blended learning systems: Definition, current trends, and future directions. In C. J. Bonk &amp; C. R. Graham (Eds.), The handbook of blended learning. Pfeiffer.</w:t>
      </w:r>
    </w:p>
    <w:p>
      <w:pPr>
        <w:spacing w:after="180"/>
        <w:ind w:left="360" w:hanging="360"/>
      </w:pPr>
      <w:r>
        <w:t>Knowles, M. S., Holton, E. F., &amp; Swanson, R. A. (2015). The adult learner (8th ed.). Routledge.</w:t>
      </w:r>
    </w:p>
    <w:p>
      <w:r>
        <w:br w:type="page"/>
      </w:r>
    </w:p>
    <w:p>
      <w:pPr>
        <w:spacing w:after="40"/>
      </w:pPr>
      <w:r>
        <w:rPr>
          <w:b/>
          <w:color w:val="1F4E78"/>
          <w:sz w:val="16"/>
        </w:rPr>
        <w:t>REFERENCES</w:t>
      </w:r>
    </w:p>
    <w:p>
      <w:pPr>
        <w:pStyle w:val="Heading1"/>
      </w:pPr>
      <w:r>
        <w:t>References 2</w:t>
      </w:r>
    </w:p>
    <w:p>
      <w:pPr>
        <w:spacing w:after="180"/>
        <w:ind w:left="360" w:hanging="360"/>
      </w:pPr>
      <w:r>
        <w:t>Kolb, D. A. (1984). Experiential learning. Prentice Hall.</w:t>
      </w:r>
    </w:p>
    <w:p>
      <w:pPr>
        <w:spacing w:after="180"/>
        <w:ind w:left="360" w:hanging="360"/>
      </w:pPr>
      <w:r>
        <w:t>Kirkpatrick, D. L., &amp; Kirkpatrick, J. D. (2006). Evaluating training programs (3rd ed.). Berrett-Koehler.</w:t>
      </w:r>
    </w:p>
    <w:p>
      <w:pPr>
        <w:spacing w:after="180"/>
        <w:ind w:left="360" w:hanging="360"/>
      </w:pPr>
      <w:r>
        <w:t>Kumar, R., &amp; Pande, N. (2017). Technology-mediated learning paradigm and the blended learning ecosystem: What works for working professionals? Procedia Computer Science, 122, 1114-1123.</w:t>
      </w:r>
    </w:p>
    <w:p>
      <w:pPr>
        <w:spacing w:after="180"/>
        <w:ind w:left="360" w:hanging="360"/>
      </w:pPr>
      <w:r>
        <w:t>Mayer, R. E. (2009). Multimedia learning (2nd ed.). Cambridge University Press.</w:t>
      </w:r>
    </w:p>
    <w:p>
      <w:pPr>
        <w:spacing w:after="180"/>
        <w:ind w:left="360" w:hanging="360"/>
      </w:pPr>
      <w:r>
        <w:t>Salas, E., Tannenbaum, S. I., Kraiger, K., &amp; Smith-Jentsch, K. A. (2012). The science of training and development in organizations. Psychological Science in the Public Interest, 13(2), 74-101.</w:t>
      </w:r>
    </w:p>
    <w:p>
      <w:r>
        <w:br w:type="page"/>
      </w:r>
    </w:p>
    <w:p>
      <w:pPr>
        <w:spacing w:after="40"/>
      </w:pPr>
      <w:r>
        <w:rPr>
          <w:b/>
          <w:color w:val="1F4E78"/>
          <w:sz w:val="16"/>
        </w:rPr>
        <w:t>REFERENCES</w:t>
      </w:r>
    </w:p>
    <w:p>
      <w:pPr>
        <w:pStyle w:val="Heading1"/>
      </w:pPr>
      <w:r>
        <w:t>References 3</w:t>
      </w:r>
    </w:p>
    <w:p>
      <w:pPr>
        <w:spacing w:after="180"/>
        <w:ind w:left="360" w:hanging="360"/>
      </w:pPr>
      <w:r>
        <w:t>Union Bank of India. (n.d.). Official website and public corporate information. https://www.unionbankofindia.bank.in/</w:t>
      </w:r>
    </w:p>
    <w:p>
      <w:pPr>
        <w:spacing w:after="180"/>
        <w:ind w:left="360" w:hanging="360"/>
      </w:pPr>
      <w:r>
        <w:t>Reserve Bank of India. (2025). Annual report 2024-25. https://www.rbi.org.in/</w:t>
      </w:r>
    </w:p>
    <w:p>
      <w:pPr>
        <w:spacing w:after="180"/>
        <w:ind w:left="360" w:hanging="360"/>
      </w:pPr>
      <w:r>
        <w:t>Department of Financial Services, Government of India. (2025). Annual report 2024-25. https://financialservices.gov.in/</w:t>
      </w:r>
    </w:p>
    <w:p>
      <w:pPr>
        <w:spacing w:after="180"/>
        <w:ind w:left="360" w:hanging="360"/>
      </w:pPr>
      <w:r>
        <w:t>University Grants Commission. (n.d.). Concept note on blended mode of teaching and learning. https://www.ugc.gov.in/</w:t>
      </w:r>
    </w:p>
    <w:p>
      <w:pPr>
        <w:spacing w:after="180"/>
        <w:ind w:left="360" w:hanging="360"/>
      </w:pPr>
      <w:r>
        <w:t>Venkatesh, V., Morris, M. G., Davis, G. B., &amp; Davis, F. D. (2003). User acceptance of information technology: Toward a unified view. MIS Quarterly, 27(3), 425-478.</w:t>
      </w:r>
    </w:p>
    <w:p>
      <w:r>
        <w:br w:type="page"/>
      </w:r>
    </w:p>
    <w:p>
      <w:pPr>
        <w:spacing w:after="40"/>
      </w:pPr>
      <w:r>
        <w:rPr>
          <w:b/>
          <w:color w:val="1F4E78"/>
          <w:sz w:val="16"/>
        </w:rPr>
        <w:t>APPENDICES</w:t>
      </w:r>
    </w:p>
    <w:p>
      <w:pPr>
        <w:pStyle w:val="Heading1"/>
      </w:pPr>
      <w:r>
        <w:t>Appendix A  Employee Questionnaire</w:t>
      </w:r>
    </w:p>
    <w:p>
      <w:r>
        <w:t>Scale for Questions 6-30: 1 Strongly Disagree, 2 Disagree, 3 Neutral, 4 Agree, 5 Strongly Agree.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20"/>
        <w:gridCol w:w="8496"/>
      </w:tblGrid>
      <w:tr>
        <w:tc>
          <w:tcPr>
            <w:tcW w:type="dxa" w:w="5011"/>
            <w:vAlign w:val="center"/>
            <w:shd w:fill="1F4E78"/>
          </w:tcPr>
          <w:p>
            <w:pPr>
              <w:spacing w:after="40" w:before="40"/>
              <w:jc w:val="center"/>
            </w:pPr>
            <w:r>
              <w:rPr>
                <w:b/>
                <w:color w:val="FFFFFF"/>
                <w:sz w:val="17"/>
              </w:rPr>
              <w:t>No.</w:t>
            </w:r>
          </w:p>
        </w:tc>
        <w:tc>
          <w:tcPr>
            <w:tcW w:type="dxa" w:w="5011"/>
            <w:vAlign w:val="center"/>
            <w:shd w:fill="1F4E78"/>
          </w:tcPr>
          <w:p>
            <w:pPr>
              <w:spacing w:after="40" w:before="40"/>
              <w:jc w:val="center"/>
            </w:pPr>
            <w:r>
              <w:rPr>
                <w:b/>
                <w:color w:val="FFFFFF"/>
                <w:sz w:val="17"/>
              </w:rPr>
              <w:t>Item</w:t>
            </w:r>
          </w:p>
        </w:tc>
      </w:tr>
      <w:tr>
        <w:tc>
          <w:tcPr>
            <w:tcW w:type="dxa" w:w="720"/>
            <w:vAlign w:val="center"/>
          </w:tcPr>
          <w:p>
            <w:pPr>
              <w:spacing w:after="40" w:before="40"/>
            </w:pPr>
            <w:r>
              <w:t>1</w:t>
            </w:r>
          </w:p>
        </w:tc>
        <w:tc>
          <w:tcPr>
            <w:tcW w:type="dxa" w:w="8496"/>
            <w:vAlign w:val="center"/>
          </w:tcPr>
          <w:p>
            <w:pPr>
              <w:spacing w:after="40" w:before="40"/>
            </w:pPr>
            <w:r>
              <w:t>Age</w:t>
            </w:r>
          </w:p>
        </w:tc>
      </w:tr>
      <w:tr>
        <w:tc>
          <w:tcPr>
            <w:tcW w:type="dxa" w:w="720"/>
            <w:vAlign w:val="center"/>
            <w:shd w:fill="F2F6FA"/>
          </w:tcPr>
          <w:p>
            <w:pPr>
              <w:spacing w:after="40" w:before="40"/>
            </w:pPr>
            <w:r>
              <w:t>2</w:t>
            </w:r>
          </w:p>
        </w:tc>
        <w:tc>
          <w:tcPr>
            <w:tcW w:type="dxa" w:w="8496"/>
            <w:vAlign w:val="center"/>
            <w:shd w:fill="F2F6FA"/>
          </w:tcPr>
          <w:p>
            <w:pPr>
              <w:spacing w:after="40" w:before="40"/>
            </w:pPr>
            <w:r>
              <w:t>Gender</w:t>
            </w:r>
          </w:p>
        </w:tc>
      </w:tr>
      <w:tr>
        <w:tc>
          <w:tcPr>
            <w:tcW w:type="dxa" w:w="720"/>
            <w:vAlign w:val="center"/>
          </w:tcPr>
          <w:p>
            <w:pPr>
              <w:spacing w:after="40" w:before="40"/>
            </w:pPr>
            <w:r>
              <w:t>3</w:t>
            </w:r>
          </w:p>
        </w:tc>
        <w:tc>
          <w:tcPr>
            <w:tcW w:type="dxa" w:w="8496"/>
            <w:vAlign w:val="center"/>
          </w:tcPr>
          <w:p>
            <w:pPr>
              <w:spacing w:after="40" w:before="40"/>
            </w:pPr>
            <w:r>
              <w:t>Total years of work experience</w:t>
            </w:r>
          </w:p>
        </w:tc>
      </w:tr>
      <w:tr>
        <w:tc>
          <w:tcPr>
            <w:tcW w:type="dxa" w:w="720"/>
            <w:vAlign w:val="center"/>
            <w:shd w:fill="F2F6FA"/>
          </w:tcPr>
          <w:p>
            <w:pPr>
              <w:spacing w:after="40" w:before="40"/>
            </w:pPr>
            <w:r>
              <w:t>4</w:t>
            </w:r>
          </w:p>
        </w:tc>
        <w:tc>
          <w:tcPr>
            <w:tcW w:type="dxa" w:w="8496"/>
            <w:vAlign w:val="center"/>
            <w:shd w:fill="F2F6FA"/>
          </w:tcPr>
          <w:p>
            <w:pPr>
              <w:spacing w:after="40" w:before="40"/>
            </w:pPr>
            <w:r>
              <w:t>Current level or cadre</w:t>
            </w:r>
          </w:p>
        </w:tc>
      </w:tr>
      <w:tr>
        <w:tc>
          <w:tcPr>
            <w:tcW w:type="dxa" w:w="720"/>
            <w:vAlign w:val="center"/>
          </w:tcPr>
          <w:p>
            <w:pPr>
              <w:spacing w:after="40" w:before="40"/>
            </w:pPr>
            <w:r>
              <w:t>5</w:t>
            </w:r>
          </w:p>
        </w:tc>
        <w:tc>
          <w:tcPr>
            <w:tcW w:type="dxa" w:w="8496"/>
            <w:vAlign w:val="center"/>
          </w:tcPr>
          <w:p>
            <w:pPr>
              <w:spacing w:after="40" w:before="40"/>
            </w:pPr>
            <w:r>
              <w:t>Frequency of participation in blended learning programmes</w:t>
            </w:r>
          </w:p>
        </w:tc>
      </w:tr>
      <w:tr>
        <w:tc>
          <w:tcPr>
            <w:tcW w:type="dxa" w:w="720"/>
            <w:vAlign w:val="center"/>
            <w:shd w:fill="F2F6FA"/>
          </w:tcPr>
          <w:p>
            <w:pPr>
              <w:spacing w:after="40" w:before="40"/>
            </w:pPr>
            <w:r>
              <w:t>6</w:t>
            </w:r>
          </w:p>
        </w:tc>
        <w:tc>
          <w:tcPr>
            <w:tcW w:type="dxa" w:w="8496"/>
            <w:vAlign w:val="center"/>
            <w:shd w:fill="F2F6FA"/>
          </w:tcPr>
          <w:p>
            <w:pPr>
              <w:spacing w:after="40" w:before="40"/>
            </w:pPr>
            <w:r>
              <w:t>My organization provides adequate technological infrastructure for online learning.</w:t>
            </w:r>
          </w:p>
        </w:tc>
      </w:tr>
      <w:tr>
        <w:tc>
          <w:tcPr>
            <w:tcW w:type="dxa" w:w="720"/>
            <w:vAlign w:val="center"/>
          </w:tcPr>
          <w:p>
            <w:pPr>
              <w:spacing w:after="40" w:before="40"/>
            </w:pPr>
            <w:r>
              <w:t>7</w:t>
            </w:r>
          </w:p>
        </w:tc>
        <w:tc>
          <w:tcPr>
            <w:tcW w:type="dxa" w:w="8496"/>
            <w:vAlign w:val="center"/>
          </w:tcPr>
          <w:p>
            <w:pPr>
              <w:spacing w:after="40" w:before="40"/>
            </w:pPr>
            <w:r>
              <w:t>I can access online learning resources conveniently when required.</w:t>
            </w:r>
          </w:p>
        </w:tc>
      </w:tr>
      <w:tr>
        <w:tc>
          <w:tcPr>
            <w:tcW w:type="dxa" w:w="720"/>
            <w:vAlign w:val="center"/>
            <w:shd w:fill="F2F6FA"/>
          </w:tcPr>
          <w:p>
            <w:pPr>
              <w:spacing w:after="40" w:before="40"/>
            </w:pPr>
            <w:r>
              <w:t>8</w:t>
            </w:r>
          </w:p>
        </w:tc>
        <w:tc>
          <w:tcPr>
            <w:tcW w:type="dxa" w:w="8496"/>
            <w:vAlign w:val="center"/>
            <w:shd w:fill="F2F6FA"/>
          </w:tcPr>
          <w:p>
            <w:pPr>
              <w:spacing w:after="40" w:before="40"/>
            </w:pPr>
            <w:r>
              <w:t>The blended learning programmes are designed according to employees' professional and work-related needs.</w:t>
            </w:r>
          </w:p>
        </w:tc>
      </w:tr>
      <w:tr>
        <w:tc>
          <w:tcPr>
            <w:tcW w:type="dxa" w:w="720"/>
            <w:vAlign w:val="center"/>
          </w:tcPr>
          <w:p>
            <w:pPr>
              <w:spacing w:after="40" w:before="40"/>
            </w:pPr>
            <w:r>
              <w:t>9</w:t>
            </w:r>
          </w:p>
        </w:tc>
        <w:tc>
          <w:tcPr>
            <w:tcW w:type="dxa" w:w="8496"/>
            <w:vAlign w:val="center"/>
          </w:tcPr>
          <w:p>
            <w:pPr>
              <w:spacing w:after="40" w:before="40"/>
            </w:pPr>
            <w:r>
              <w:t>Adequate technical support is available when I face difficulties during online learning.</w:t>
            </w:r>
          </w:p>
        </w:tc>
      </w:tr>
      <w:tr>
        <w:tc>
          <w:tcPr>
            <w:tcW w:type="dxa" w:w="720"/>
            <w:vAlign w:val="center"/>
            <w:shd w:fill="F2F6FA"/>
          </w:tcPr>
          <w:p>
            <w:pPr>
              <w:spacing w:after="40" w:before="40"/>
            </w:pPr>
            <w:r>
              <w:t>10</w:t>
            </w:r>
          </w:p>
        </w:tc>
        <w:tc>
          <w:tcPr>
            <w:tcW w:type="dxa" w:w="8496"/>
            <w:vAlign w:val="center"/>
            <w:shd w:fill="F2F6FA"/>
          </w:tcPr>
          <w:p>
            <w:pPr>
              <w:spacing w:after="40" w:before="40"/>
            </w:pPr>
            <w:r>
              <w:t>Trainers effectively facilitate learning in both classroom and online environments.</w:t>
            </w:r>
          </w:p>
        </w:tc>
      </w:tr>
      <w:tr>
        <w:tc>
          <w:tcPr>
            <w:tcW w:type="dxa" w:w="720"/>
            <w:vAlign w:val="center"/>
          </w:tcPr>
          <w:p>
            <w:pPr>
              <w:spacing w:after="40" w:before="40"/>
            </w:pPr>
            <w:r>
              <w:t>11</w:t>
            </w:r>
          </w:p>
        </w:tc>
        <w:tc>
          <w:tcPr>
            <w:tcW w:type="dxa" w:w="8496"/>
            <w:vAlign w:val="center"/>
          </w:tcPr>
          <w:p>
            <w:pPr>
              <w:spacing w:after="40" w:before="40"/>
            </w:pPr>
            <w:r>
              <w:t>Trainers provide adequate guidance and feedback during blended learning programmes.</w:t>
            </w:r>
          </w:p>
        </w:tc>
      </w:tr>
      <w:tr>
        <w:tc>
          <w:tcPr>
            <w:tcW w:type="dxa" w:w="720"/>
            <w:vAlign w:val="center"/>
            <w:shd w:fill="F2F6FA"/>
          </w:tcPr>
          <w:p>
            <w:pPr>
              <w:spacing w:after="40" w:before="40"/>
            </w:pPr>
            <w:r>
              <w:t>12</w:t>
            </w:r>
          </w:p>
        </w:tc>
        <w:tc>
          <w:tcPr>
            <w:tcW w:type="dxa" w:w="8496"/>
            <w:vAlign w:val="center"/>
            <w:shd w:fill="F2F6FA"/>
          </w:tcPr>
          <w:p>
            <w:pPr>
              <w:spacing w:after="40" w:before="40"/>
            </w:pPr>
            <w:r>
              <w:t>Trainers encourage interaction and active participation in both online and classroom sessions.</w:t>
            </w:r>
          </w:p>
        </w:tc>
      </w:tr>
      <w:tr>
        <w:tc>
          <w:tcPr>
            <w:tcW w:type="dxa" w:w="720"/>
            <w:vAlign w:val="center"/>
          </w:tcPr>
          <w:p>
            <w:pPr>
              <w:spacing w:after="40" w:before="40"/>
            </w:pPr>
            <w:r>
              <w:t>13</w:t>
            </w:r>
          </w:p>
        </w:tc>
        <w:tc>
          <w:tcPr>
            <w:tcW w:type="dxa" w:w="8496"/>
            <w:vAlign w:val="center"/>
          </w:tcPr>
          <w:p>
            <w:pPr>
              <w:spacing w:after="40" w:before="40"/>
            </w:pPr>
            <w:r>
              <w:t>The digital learning resources provided by trainers are useful and relevant to my work.</w:t>
            </w:r>
          </w:p>
        </w:tc>
      </w:tr>
      <w:tr>
        <w:tc>
          <w:tcPr>
            <w:tcW w:type="dxa" w:w="720"/>
            <w:vAlign w:val="center"/>
            <w:shd w:fill="F2F6FA"/>
          </w:tcPr>
          <w:p>
            <w:pPr>
              <w:spacing w:after="40" w:before="40"/>
            </w:pPr>
            <w:r>
              <w:t>14</w:t>
            </w:r>
          </w:p>
        </w:tc>
        <w:tc>
          <w:tcPr>
            <w:tcW w:type="dxa" w:w="8496"/>
            <w:vAlign w:val="center"/>
            <w:shd w:fill="F2F6FA"/>
          </w:tcPr>
          <w:p>
            <w:pPr>
              <w:spacing w:after="40" w:before="40"/>
            </w:pPr>
            <w:r>
              <w:t>I am comfortable learning independently through online learning resources.</w:t>
            </w:r>
          </w:p>
        </w:tc>
      </w:tr>
      <w:tr>
        <w:tc>
          <w:tcPr>
            <w:tcW w:type="dxa" w:w="720"/>
            <w:vAlign w:val="center"/>
          </w:tcPr>
          <w:p>
            <w:pPr>
              <w:spacing w:after="40" w:before="40"/>
            </w:pPr>
            <w:r>
              <w:t>15</w:t>
            </w:r>
          </w:p>
        </w:tc>
        <w:tc>
          <w:tcPr>
            <w:tcW w:type="dxa" w:w="8496"/>
            <w:vAlign w:val="center"/>
          </w:tcPr>
          <w:p>
            <w:pPr>
              <w:spacing w:after="40" w:before="40"/>
            </w:pPr>
            <w:r>
              <w:t>I can effectively manage my time for online learning along with my work responsibilities.</w:t>
            </w:r>
          </w:p>
        </w:tc>
      </w:tr>
    </w:tbl>
    <w:p>
      <w:r>
        <w:br w:type="page"/>
      </w:r>
    </w:p>
    <w:p>
      <w:pPr>
        <w:spacing w:after="40"/>
      </w:pPr>
      <w:r>
        <w:rPr>
          <w:b/>
          <w:color w:val="1F4E78"/>
          <w:sz w:val="16"/>
        </w:rPr>
        <w:t>APPENDICES</w:t>
      </w:r>
    </w:p>
    <w:p>
      <w:pPr>
        <w:pStyle w:val="Heading1"/>
      </w:pPr>
      <w:r>
        <w:t>Appendix A  Employee Questionnaire Continued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20"/>
        <w:gridCol w:w="8496"/>
      </w:tblGrid>
      <w:tr>
        <w:tc>
          <w:tcPr>
            <w:tcW w:type="dxa" w:w="5011"/>
            <w:vAlign w:val="center"/>
            <w:shd w:fill="1F4E78"/>
          </w:tcPr>
          <w:p>
            <w:pPr>
              <w:spacing w:after="40" w:before="40"/>
              <w:jc w:val="center"/>
            </w:pPr>
            <w:r>
              <w:rPr>
                <w:b/>
                <w:color w:val="FFFFFF"/>
                <w:sz w:val="17"/>
              </w:rPr>
              <w:t>No.</w:t>
            </w:r>
          </w:p>
        </w:tc>
        <w:tc>
          <w:tcPr>
            <w:tcW w:type="dxa" w:w="5011"/>
            <w:vAlign w:val="center"/>
            <w:shd w:fill="1F4E78"/>
          </w:tcPr>
          <w:p>
            <w:pPr>
              <w:spacing w:after="40" w:before="40"/>
              <w:jc w:val="center"/>
            </w:pPr>
            <w:r>
              <w:rPr>
                <w:b/>
                <w:color w:val="FFFFFF"/>
                <w:sz w:val="17"/>
              </w:rPr>
              <w:t>Item</w:t>
            </w:r>
          </w:p>
        </w:tc>
      </w:tr>
      <w:tr>
        <w:tc>
          <w:tcPr>
            <w:tcW w:type="dxa" w:w="720"/>
            <w:vAlign w:val="center"/>
          </w:tcPr>
          <w:p>
            <w:pPr>
              <w:spacing w:after="40" w:before="40"/>
            </w:pPr>
            <w:r>
              <w:t>16</w:t>
            </w:r>
          </w:p>
        </w:tc>
        <w:tc>
          <w:tcPr>
            <w:tcW w:type="dxa" w:w="8496"/>
            <w:vAlign w:val="center"/>
          </w:tcPr>
          <w:p>
            <w:pPr>
              <w:spacing w:after="40" w:before="40"/>
            </w:pPr>
            <w:r>
              <w:t>I actively participate in online discussions, activities and learning exercises.</w:t>
            </w:r>
          </w:p>
        </w:tc>
      </w:tr>
      <w:tr>
        <w:tc>
          <w:tcPr>
            <w:tcW w:type="dxa" w:w="720"/>
            <w:vAlign w:val="center"/>
            <w:shd w:fill="F2F6FA"/>
          </w:tcPr>
          <w:p>
            <w:pPr>
              <w:spacing w:after="40" w:before="40"/>
            </w:pPr>
            <w:r>
              <w:t>17</w:t>
            </w:r>
          </w:p>
        </w:tc>
        <w:tc>
          <w:tcPr>
            <w:tcW w:type="dxa" w:w="8496"/>
            <w:vAlign w:val="center"/>
            <w:shd w:fill="F2F6FA"/>
          </w:tcPr>
          <w:p>
            <w:pPr>
              <w:spacing w:after="40" w:before="40"/>
            </w:pPr>
            <w:r>
              <w:t>Interaction with colleagues and peers improves my learning in blended programmes.</w:t>
            </w:r>
          </w:p>
        </w:tc>
      </w:tr>
      <w:tr>
        <w:tc>
          <w:tcPr>
            <w:tcW w:type="dxa" w:w="720"/>
            <w:vAlign w:val="center"/>
          </w:tcPr>
          <w:p>
            <w:pPr>
              <w:spacing w:after="40" w:before="40"/>
            </w:pPr>
            <w:r>
              <w:t>18</w:t>
            </w:r>
          </w:p>
        </w:tc>
        <w:tc>
          <w:tcPr>
            <w:tcW w:type="dxa" w:w="8496"/>
            <w:vAlign w:val="center"/>
          </w:tcPr>
          <w:p>
            <w:pPr>
              <w:spacing w:after="40" w:before="40"/>
            </w:pPr>
            <w:r>
              <w:t>The combination of online and face-to-face learning is well structured.</w:t>
            </w:r>
          </w:p>
        </w:tc>
      </w:tr>
      <w:tr>
        <w:tc>
          <w:tcPr>
            <w:tcW w:type="dxa" w:w="720"/>
            <w:vAlign w:val="center"/>
            <w:shd w:fill="F2F6FA"/>
          </w:tcPr>
          <w:p>
            <w:pPr>
              <w:spacing w:after="40" w:before="40"/>
            </w:pPr>
            <w:r>
              <w:t>19</w:t>
            </w:r>
          </w:p>
        </w:tc>
        <w:tc>
          <w:tcPr>
            <w:tcW w:type="dxa" w:w="8496"/>
            <w:vAlign w:val="center"/>
            <w:shd w:fill="F2F6FA"/>
          </w:tcPr>
          <w:p>
            <w:pPr>
              <w:spacing w:after="40" w:before="40"/>
            </w:pPr>
            <w:r>
              <w:t>Online learning activities complement classroom sessions effectively.</w:t>
            </w:r>
          </w:p>
        </w:tc>
      </w:tr>
      <w:tr>
        <w:tc>
          <w:tcPr>
            <w:tcW w:type="dxa" w:w="720"/>
            <w:vAlign w:val="center"/>
          </w:tcPr>
          <w:p>
            <w:pPr>
              <w:spacing w:after="40" w:before="40"/>
            </w:pPr>
            <w:r>
              <w:t>20</w:t>
            </w:r>
          </w:p>
        </w:tc>
        <w:tc>
          <w:tcPr>
            <w:tcW w:type="dxa" w:w="8496"/>
            <w:vAlign w:val="center"/>
          </w:tcPr>
          <w:p>
            <w:pPr>
              <w:spacing w:after="40" w:before="40"/>
            </w:pPr>
            <w:r>
              <w:t>Assignments, activities and assessments are appropriately suited to the mode of learning.</w:t>
            </w:r>
          </w:p>
        </w:tc>
      </w:tr>
      <w:tr>
        <w:tc>
          <w:tcPr>
            <w:tcW w:type="dxa" w:w="720"/>
            <w:vAlign w:val="center"/>
            <w:shd w:fill="F2F6FA"/>
          </w:tcPr>
          <w:p>
            <w:pPr>
              <w:spacing w:after="40" w:before="40"/>
            </w:pPr>
            <w:r>
              <w:t>21</w:t>
            </w:r>
          </w:p>
        </w:tc>
        <w:tc>
          <w:tcPr>
            <w:tcW w:type="dxa" w:w="8496"/>
            <w:vAlign w:val="center"/>
            <w:shd w:fill="F2F6FA"/>
          </w:tcPr>
          <w:p>
            <w:pPr>
              <w:spacing w:after="40" w:before="40"/>
            </w:pPr>
            <w:r>
              <w:t>There is continuity between activities conducted before, during and after classroom sessions.</w:t>
            </w:r>
          </w:p>
        </w:tc>
      </w:tr>
      <w:tr>
        <w:tc>
          <w:tcPr>
            <w:tcW w:type="dxa" w:w="720"/>
            <w:vAlign w:val="center"/>
          </w:tcPr>
          <w:p>
            <w:pPr>
              <w:spacing w:after="40" w:before="40"/>
            </w:pPr>
            <w:r>
              <w:t>22</w:t>
            </w:r>
          </w:p>
        </w:tc>
        <w:tc>
          <w:tcPr>
            <w:tcW w:type="dxa" w:w="8496"/>
            <w:vAlign w:val="center"/>
          </w:tcPr>
          <w:p>
            <w:pPr>
              <w:spacing w:after="40" w:before="40"/>
            </w:pPr>
            <w:r>
              <w:t>The blended format provides an appropriate balance between technology-mediated and human interaction.</w:t>
            </w:r>
          </w:p>
        </w:tc>
      </w:tr>
      <w:tr>
        <w:tc>
          <w:tcPr>
            <w:tcW w:type="dxa" w:w="720"/>
            <w:vAlign w:val="center"/>
            <w:shd w:fill="F2F6FA"/>
          </w:tcPr>
          <w:p>
            <w:pPr>
              <w:spacing w:after="40" w:before="40"/>
            </w:pPr>
            <w:r>
              <w:t>23</w:t>
            </w:r>
          </w:p>
        </w:tc>
        <w:tc>
          <w:tcPr>
            <w:tcW w:type="dxa" w:w="8496"/>
            <w:vAlign w:val="center"/>
            <w:shd w:fill="F2F6FA"/>
          </w:tcPr>
          <w:p>
            <w:pPr>
              <w:spacing w:after="40" w:before="40"/>
            </w:pPr>
            <w:r>
              <w:t>Blended learning improves my understanding of the subject matter.</w:t>
            </w:r>
          </w:p>
        </w:tc>
      </w:tr>
      <w:tr>
        <w:tc>
          <w:tcPr>
            <w:tcW w:type="dxa" w:w="720"/>
            <w:vAlign w:val="center"/>
          </w:tcPr>
          <w:p>
            <w:pPr>
              <w:spacing w:after="40" w:before="40"/>
            </w:pPr>
            <w:r>
              <w:t>24</w:t>
            </w:r>
          </w:p>
        </w:tc>
        <w:tc>
          <w:tcPr>
            <w:tcW w:type="dxa" w:w="8496"/>
            <w:vAlign w:val="center"/>
          </w:tcPr>
          <w:p>
            <w:pPr>
              <w:spacing w:after="40" w:before="40"/>
            </w:pPr>
            <w:r>
              <w:t>Blended learning helps me develop skills relevant to my job.</w:t>
            </w:r>
          </w:p>
        </w:tc>
      </w:tr>
      <w:tr>
        <w:tc>
          <w:tcPr>
            <w:tcW w:type="dxa" w:w="720"/>
            <w:vAlign w:val="center"/>
            <w:shd w:fill="F2F6FA"/>
          </w:tcPr>
          <w:p>
            <w:pPr>
              <w:spacing w:after="40" w:before="40"/>
            </w:pPr>
            <w:r>
              <w:t>25</w:t>
            </w:r>
          </w:p>
        </w:tc>
        <w:tc>
          <w:tcPr>
            <w:tcW w:type="dxa" w:w="8496"/>
            <w:vAlign w:val="center"/>
            <w:shd w:fill="F2F6FA"/>
          </w:tcPr>
          <w:p>
            <w:pPr>
              <w:spacing w:after="40" w:before="40"/>
            </w:pPr>
            <w:r>
              <w:t>I am able to apply knowledge acquired through blended learning to my workplace.</w:t>
            </w:r>
          </w:p>
        </w:tc>
      </w:tr>
      <w:tr>
        <w:tc>
          <w:tcPr>
            <w:tcW w:type="dxa" w:w="720"/>
            <w:vAlign w:val="center"/>
          </w:tcPr>
          <w:p>
            <w:pPr>
              <w:spacing w:after="40" w:before="40"/>
            </w:pPr>
            <w:r>
              <w:t>26</w:t>
            </w:r>
          </w:p>
        </w:tc>
        <w:tc>
          <w:tcPr>
            <w:tcW w:type="dxa" w:w="8496"/>
            <w:vAlign w:val="center"/>
          </w:tcPr>
          <w:p>
            <w:pPr>
              <w:spacing w:after="40" w:before="40"/>
            </w:pPr>
            <w:r>
              <w:t>Blended learning improves my ability to retain knowledge.</w:t>
            </w:r>
          </w:p>
        </w:tc>
      </w:tr>
      <w:tr>
        <w:tc>
          <w:tcPr>
            <w:tcW w:type="dxa" w:w="720"/>
            <w:vAlign w:val="center"/>
            <w:shd w:fill="F2F6FA"/>
          </w:tcPr>
          <w:p>
            <w:pPr>
              <w:spacing w:after="40" w:before="40"/>
            </w:pPr>
            <w:r>
              <w:t>27</w:t>
            </w:r>
          </w:p>
        </w:tc>
        <w:tc>
          <w:tcPr>
            <w:tcW w:type="dxa" w:w="8496"/>
            <w:vAlign w:val="center"/>
            <w:shd w:fill="F2F6FA"/>
          </w:tcPr>
          <w:p>
            <w:pPr>
              <w:spacing w:after="40" w:before="40"/>
            </w:pPr>
            <w:r>
              <w:t>Blended learning increases my motivation to learn.</w:t>
            </w:r>
          </w:p>
        </w:tc>
      </w:tr>
      <w:tr>
        <w:tc>
          <w:tcPr>
            <w:tcW w:type="dxa" w:w="720"/>
            <w:vAlign w:val="center"/>
          </w:tcPr>
          <w:p>
            <w:pPr>
              <w:spacing w:after="40" w:before="40"/>
            </w:pPr>
            <w:r>
              <w:t>28</w:t>
            </w:r>
          </w:p>
        </w:tc>
        <w:tc>
          <w:tcPr>
            <w:tcW w:type="dxa" w:w="8496"/>
            <w:vAlign w:val="center"/>
          </w:tcPr>
          <w:p>
            <w:pPr>
              <w:spacing w:after="40" w:before="40"/>
            </w:pPr>
            <w:r>
              <w:t>I am satisfied with my overall blended learning experience.</w:t>
            </w:r>
          </w:p>
        </w:tc>
      </w:tr>
      <w:tr>
        <w:tc>
          <w:tcPr>
            <w:tcW w:type="dxa" w:w="720"/>
            <w:vAlign w:val="center"/>
            <w:shd w:fill="F2F6FA"/>
          </w:tcPr>
          <w:p>
            <w:pPr>
              <w:spacing w:after="40" w:before="40"/>
            </w:pPr>
            <w:r>
              <w:t>29</w:t>
            </w:r>
          </w:p>
        </w:tc>
        <w:tc>
          <w:tcPr>
            <w:tcW w:type="dxa" w:w="8496"/>
            <w:vAlign w:val="center"/>
            <w:shd w:fill="F2F6FA"/>
          </w:tcPr>
          <w:p>
            <w:pPr>
              <w:spacing w:after="40" w:before="40"/>
            </w:pPr>
            <w:r>
              <w:t>Blended learning provides greater flexibility in managing learning along with my professional responsibilities.</w:t>
            </w:r>
          </w:p>
        </w:tc>
      </w:tr>
      <w:tr>
        <w:tc>
          <w:tcPr>
            <w:tcW w:type="dxa" w:w="720"/>
            <w:vAlign w:val="center"/>
          </w:tcPr>
          <w:p>
            <w:pPr>
              <w:spacing w:after="40" w:before="40"/>
            </w:pPr>
            <w:r>
              <w:t>30</w:t>
            </w:r>
          </w:p>
        </w:tc>
        <w:tc>
          <w:tcPr>
            <w:tcW w:type="dxa" w:w="8496"/>
            <w:vAlign w:val="center"/>
          </w:tcPr>
          <w:p>
            <w:pPr>
              <w:spacing w:after="40" w:before="40"/>
            </w:pPr>
            <w:r>
              <w:t>Overall, blended learning is an effective method for my professional learning and development.</w:t>
            </w:r>
          </w:p>
        </w:tc>
      </w:tr>
    </w:tbl>
    <w:p>
      <w:r>
        <w:t>Response recording: mark one option for each Likert statement. Demographic response categories should follow the approved questionnaire form.</w:t>
      </w:r>
    </w:p>
    <w:p>
      <w:r>
        <w:br w:type="page"/>
      </w:r>
    </w:p>
    <w:p>
      <w:pPr>
        <w:spacing w:after="40"/>
      </w:pPr>
      <w:r>
        <w:rPr>
          <w:b/>
          <w:color w:val="1F4E78"/>
          <w:sz w:val="16"/>
        </w:rPr>
        <w:t>APPENDICES</w:t>
      </w:r>
    </w:p>
    <w:p>
      <w:pPr>
        <w:pStyle w:val="Heading1"/>
      </w:pPr>
      <w:r>
        <w:t>Appendix B  Coding and Submission Checklist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6192"/>
      </w:tblGrid>
      <w:tr>
        <w:tc>
          <w:tcPr>
            <w:tcW w:type="dxa" w:w="5011"/>
            <w:vAlign w:val="center"/>
            <w:shd w:fill="1F4E78"/>
          </w:tcPr>
          <w:p>
            <w:pPr>
              <w:spacing w:after="40" w:before="40"/>
              <w:jc w:val="center"/>
            </w:pPr>
            <w:r>
              <w:rPr>
                <w:b/>
                <w:color w:val="FFFFFF"/>
                <w:sz w:val="17"/>
              </w:rPr>
              <w:t>Variable</w:t>
            </w:r>
          </w:p>
        </w:tc>
        <w:tc>
          <w:tcPr>
            <w:tcW w:type="dxa" w:w="5011"/>
            <w:vAlign w:val="center"/>
            <w:shd w:fill="1F4E78"/>
          </w:tcPr>
          <w:p>
            <w:pPr>
              <w:spacing w:after="40" w:before="40"/>
              <w:jc w:val="center"/>
            </w:pPr>
            <w:r>
              <w:rPr>
                <w:b/>
                <w:color w:val="FFFFFF"/>
                <w:sz w:val="17"/>
              </w:rPr>
              <w:t>Coding</w:t>
            </w:r>
          </w:p>
        </w:tc>
      </w:tr>
      <w:tr>
        <w:tc>
          <w:tcPr>
            <w:tcW w:type="dxa" w:w="3024"/>
            <w:vAlign w:val="center"/>
          </w:tcPr>
          <w:p>
            <w:pPr>
              <w:spacing w:after="40" w:before="40"/>
            </w:pPr>
            <w:r>
              <w:t>Age</w:t>
            </w:r>
          </w:p>
        </w:tc>
        <w:tc>
          <w:tcPr>
            <w:tcW w:type="dxa" w:w="6192"/>
            <w:vAlign w:val="center"/>
          </w:tcPr>
          <w:p>
            <w:pPr>
              <w:spacing w:after="40" w:before="40"/>
            </w:pPr>
            <w:r>
              <w:t>1 Below 30; 2 30-39; 3 40-49; 4 50 and above</w:t>
            </w:r>
          </w:p>
        </w:tc>
      </w:tr>
      <w:tr>
        <w:tc>
          <w:tcPr>
            <w:tcW w:type="dxa" w:w="3024"/>
            <w:vAlign w:val="center"/>
            <w:shd w:fill="F2F6FA"/>
          </w:tcPr>
          <w:p>
            <w:pPr>
              <w:spacing w:after="40" w:before="40"/>
            </w:pPr>
            <w:r>
              <w:t>Gender</w:t>
            </w:r>
          </w:p>
        </w:tc>
        <w:tc>
          <w:tcPr>
            <w:tcW w:type="dxa" w:w="6192"/>
            <w:vAlign w:val="center"/>
            <w:shd w:fill="F2F6FA"/>
          </w:tcPr>
          <w:p>
            <w:pPr>
              <w:spacing w:after="40" w:before="40"/>
            </w:pPr>
            <w:r>
              <w:t>Use approved category codes</w:t>
            </w:r>
          </w:p>
        </w:tc>
      </w:tr>
      <w:tr>
        <w:tc>
          <w:tcPr>
            <w:tcW w:type="dxa" w:w="3024"/>
            <w:vAlign w:val="center"/>
          </w:tcPr>
          <w:p>
            <w:pPr>
              <w:spacing w:after="40" w:before="40"/>
            </w:pPr>
            <w:r>
              <w:t>Experience</w:t>
            </w:r>
          </w:p>
        </w:tc>
        <w:tc>
          <w:tcPr>
            <w:tcW w:type="dxa" w:w="6192"/>
            <w:vAlign w:val="center"/>
          </w:tcPr>
          <w:p>
            <w:pPr>
              <w:spacing w:after="40" w:before="40"/>
            </w:pPr>
            <w:r>
              <w:t>1 Less than 5; 2 5-10; 3 11-20; 4 More than 20</w:t>
            </w:r>
          </w:p>
        </w:tc>
      </w:tr>
      <w:tr>
        <w:tc>
          <w:tcPr>
            <w:tcW w:type="dxa" w:w="3024"/>
            <w:vAlign w:val="center"/>
            <w:shd w:fill="F2F6FA"/>
          </w:tcPr>
          <w:p>
            <w:pPr>
              <w:spacing w:after="40" w:before="40"/>
            </w:pPr>
            <w:r>
              <w:t>Cadre</w:t>
            </w:r>
          </w:p>
        </w:tc>
        <w:tc>
          <w:tcPr>
            <w:tcW w:type="dxa" w:w="6192"/>
            <w:vAlign w:val="center"/>
            <w:shd w:fill="F2F6FA"/>
          </w:tcPr>
          <w:p>
            <w:pPr>
              <w:spacing w:after="40" w:before="40"/>
            </w:pPr>
            <w:r>
              <w:t>Use approved cadre categories</w:t>
            </w:r>
          </w:p>
        </w:tc>
      </w:tr>
      <w:tr>
        <w:tc>
          <w:tcPr>
            <w:tcW w:type="dxa" w:w="3024"/>
            <w:vAlign w:val="center"/>
          </w:tcPr>
          <w:p>
            <w:pPr>
              <w:spacing w:after="40" w:before="40"/>
            </w:pPr>
            <w:r>
              <w:t>Training frequency</w:t>
            </w:r>
          </w:p>
        </w:tc>
        <w:tc>
          <w:tcPr>
            <w:tcW w:type="dxa" w:w="6192"/>
            <w:vAlign w:val="center"/>
          </w:tcPr>
          <w:p>
            <w:pPr>
              <w:spacing w:after="40" w:before="40"/>
            </w:pPr>
            <w:r>
              <w:t>1 Never to 5 Very Frequently</w:t>
            </w:r>
          </w:p>
        </w:tc>
      </w:tr>
      <w:tr>
        <w:tc>
          <w:tcPr>
            <w:tcW w:type="dxa" w:w="3024"/>
            <w:vAlign w:val="center"/>
            <w:shd w:fill="F2F6FA"/>
          </w:tcPr>
          <w:p>
            <w:pPr>
              <w:spacing w:after="40" w:before="40"/>
            </w:pPr>
            <w:r>
              <w:t>Q6-Q30</w:t>
            </w:r>
          </w:p>
        </w:tc>
        <w:tc>
          <w:tcPr>
            <w:tcW w:type="dxa" w:w="6192"/>
            <w:vAlign w:val="center"/>
            <w:shd w:fill="F2F6FA"/>
          </w:tcPr>
          <w:p>
            <w:pPr>
              <w:spacing w:after="40" w:before="40"/>
            </w:pPr>
            <w:r>
              <w:t>1 Strongly Disagree to 5 Strongly Agree</w:t>
            </w:r>
          </w:p>
        </w:tc>
      </w:tr>
    </w:tbl>
    <w:p>
      <w:pPr>
        <w:pStyle w:val="Heading2"/>
      </w:pPr>
      <w:r>
        <w:t>Final submission checks</w:t>
      </w:r>
    </w:p>
    <w:p>
      <w:pPr>
        <w:pStyle w:val="ListBullet"/>
        <w:spacing w:after="60"/>
      </w:pPr>
      <w:r>
        <w:t>Replace all title-page and certificate placeholders.</w:t>
      </w:r>
    </w:p>
    <w:p>
      <w:pPr>
        <w:pStyle w:val="ListBullet"/>
        <w:spacing w:after="60"/>
      </w:pPr>
      <w:r>
        <w:t>Obtain institutional and organisational approval where required.</w:t>
      </w:r>
    </w:p>
    <w:p>
      <w:pPr>
        <w:pStyle w:val="ListBullet"/>
        <w:spacing w:after="60"/>
      </w:pPr>
      <w:r>
        <w:t>Insert actual sample details and data-collection dates.</w:t>
      </w:r>
    </w:p>
    <w:p>
      <w:pPr>
        <w:pStyle w:val="ListBullet"/>
        <w:spacing w:after="60"/>
      </w:pPr>
      <w:r>
        <w:t>Populate Chapter 5 only from the verified dataset.</w:t>
      </w:r>
    </w:p>
    <w:p>
      <w:pPr>
        <w:pStyle w:val="ListBullet"/>
        <w:spacing w:after="60"/>
      </w:pPr>
      <w:r>
        <w:t>Update the contents and lists if pagination changes.</w:t>
      </w:r>
    </w:p>
    <w:p>
      <w:pPr>
        <w:pStyle w:val="ListBullet"/>
        <w:spacing w:after="60"/>
      </w:pPr>
      <w:r>
        <w:t>Review citations against the university style guide.</w:t>
      </w:r>
    </w:p>
    <w:p>
      <w:pPr>
        <w:pStyle w:val="ListBullet"/>
        <w:spacing w:after="60"/>
      </w:pPr>
      <w:r>
        <w:t>Run originality and language checks required by the institution.</w:t>
      </w:r>
    </w:p>
    <w:p>
      <w:r>
        <w:t>Document status: academically structured report with analysis templates; no empirical findings have been invented.</w:t>
      </w:r>
    </w:p>
    <w:sectPr w:rsidR="00FC693F" w:rsidRPr="0006063C" w:rsidSect="00034616">
      <w:headerReference w:type="default" r:id="rId9"/>
      <w:footerReference w:type="default" r:id="rId10"/>
      <w:pgSz w:w="12240" w:h="15840"/>
      <w:pgMar w:top="1037" w:right="1037"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Effectiveness of Blended Learning in Union Bank of India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color w:val="4646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Blended Learning in a Public Sector Bank</dc:title>
  <dc:subject>A Study of Employees of Union Bank of India</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