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cfe939f249f749272bb603af8acc02c2cedee1e.png"/>
            <a:graphic>
              <a:graphicData uri="http://schemas.openxmlformats.org/drawingml/2006/picture">
                <pic:pic>
                  <pic:nvPicPr>
                    <pic:cNvPr id="1" name="image-8cfe939f249f749272bb603af8acc02c2cedee1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Emerging Technologies in Pharmaceutical Applications: Capabilities and Use Cases</w:t>
      </w:r>
    </w:p>
    <w:p>
      <w:pPr>
        <w:spacing w:line="360" w:after="210" w:lineRule="auto"/>
      </w:pPr>
      <w:r>
        <w:rPr>
          <w:rFonts w:eastAsia="inter" w:cs="inter" w:ascii="inter" w:hAnsi="inter"/>
          <w:color w:val="000000"/>
        </w:rPr>
        <w:t xml:space="preserve">The pharmaceutical industry stands at the cusp of a technological revolution, with innovations from CES 2025 and adjacent fields offering transformative potential across drug discovery, clinical development, manufacturing, and patient engagement. Below is an analysis of key emerging technologies and their applications in pharma, supported by evidence from recent advancements.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Agentic AI: Autonomous Workflow Optimization</w:t>
      </w:r>
    </w:p>
    <w:p>
      <w:pPr>
        <w:spacing w:line="360" w:before="315" w:after="105" w:lineRule="auto"/>
        <w:ind w:left="-30"/>
        <w:jc w:val="left"/>
      </w:pPr>
      <w:r>
        <w:rPr>
          <w:rFonts w:eastAsia="inter" w:cs="inter" w:ascii="inter" w:hAnsi="inter"/>
          <w:b/>
          <w:color w:val="000000"/>
          <w:sz w:val="24"/>
        </w:rPr>
        <w:t xml:space="preserve">Capabilities</w:t>
      </w:r>
    </w:p>
    <w:p>
      <w:pPr>
        <w:spacing w:line="360" w:after="210" w:lineRule="auto"/>
      </w:pPr>
      <w:r>
        <w:rPr>
          <w:rFonts w:eastAsia="inter" w:cs="inter" w:ascii="inter" w:hAnsi="inter"/>
          <w:color w:val="000000"/>
        </w:rPr>
        <w:t xml:space="preserve">Agentic AI systems operate autonomously to execute multi-step tasks, analyze data, and make decisions with minimal human intervention. These systems integrate with existing infrastructure, such as electronic health records (EHRs) and laboratory information management systems (LIMS), to streamline workflows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Pharmaceutical Use Cases</w:t>
      </w:r>
    </w:p>
    <w:p>
      <w:pPr>
        <w:numPr>
          <w:ilvl w:val="0"/>
          <w:numId w:val="1"/>
        </w:numPr>
        <w:spacing w:line="360" w:before="105" w:after="105" w:lineRule="auto"/>
      </w:pPr>
      <w:r>
        <w:rPr>
          <w:rFonts w:eastAsia="inter" w:cs="inter" w:ascii="inter" w:hAnsi="inter"/>
          <w:b/>
          <w:color w:val="000000"/>
          <w:sz w:val="21"/>
        </w:rPr>
        <w:t xml:space="preserve">Clinical Trial Management</w:t>
      </w:r>
      <w:r>
        <w:rPr>
          <w:rFonts w:eastAsia="inter" w:cs="inter" w:ascii="inter" w:hAnsi="inter"/>
          <w:color w:val="000000"/>
          <w:sz w:val="21"/>
        </w:rPr>
        <w:t xml:space="preserve">: Automating patient recruitment, scheduling, and follow-ups reduces administrative burdens. For example, AI agents can identify eligible trial participants from EHRs, send personalized reminders, and document patient interactions, cutting no-show rates by 30%</w:t>
      </w:r>
      <w:bookmarkStart w:id="3" w:name="fnref1:1"/>
      <w:bookmarkEnd w:id="3"/>
      <w:hyperlink w:anchor="fn1">
        <w:r>
          <w:rPr>
            <w:rFonts w:eastAsia="inter" w:cs="inter" w:ascii="inter" w:hAnsi="inter"/>
            <w:color w:val="#000"/>
            <w:sz w:val="21"/>
            <w:u w:val="single"/>
            <w:vertAlign w:val="superscript"/>
          </w:rPr>
          <w:t xml:space="preserve">[1]</w:t>
        </w:r>
      </w:hyperlink>
      <w:bookmarkStart w:id="4" w:name="fnref2:1"/>
      <w:bookmarkEnd w:id="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Regulatory Compliance</w:t>
      </w:r>
      <w:r>
        <w:rPr>
          <w:rFonts w:eastAsia="inter" w:cs="inter" w:ascii="inter" w:hAnsi="inter"/>
          <w:color w:val="000000"/>
          <w:sz w:val="21"/>
        </w:rPr>
        <w:t xml:space="preserve">: Agentic AI monitors documentation for adherence to Good Manufacturing Practices (GMP) and generates audit-ready reports, minimizing human error in regulatory submissions</w:t>
      </w:r>
      <w:bookmarkStart w:id="5" w:name="fnref3:1"/>
      <w:bookmarkEnd w:id="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Drug Repurposing</w:t>
      </w:r>
      <w:r>
        <w:rPr>
          <w:rFonts w:eastAsia="inter" w:cs="inter" w:ascii="inter" w:hAnsi="inter"/>
          <w:color w:val="000000"/>
          <w:sz w:val="21"/>
        </w:rPr>
        <w:t xml:space="preserve">: By analyzing real-world patient data and scientific literature, AI agents identify existing drugs with potential efficacy for new indications, accelerating repurposing efforts</w:t>
      </w:r>
      <w:bookmarkStart w:id="6" w:name="fnref2:2"/>
      <w:bookmarkEnd w:id="6"/>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Quantum Computing: Accelerating Molecular Simulations</w:t>
      </w:r>
    </w:p>
    <w:p>
      <w:pPr>
        <w:spacing w:line="360" w:before="315" w:after="105" w:lineRule="auto"/>
        <w:ind w:left="-30"/>
        <w:jc w:val="left"/>
      </w:pPr>
      <w:r>
        <w:rPr>
          <w:rFonts w:eastAsia="inter" w:cs="inter" w:ascii="inter" w:hAnsi="inter"/>
          <w:b/>
          <w:color w:val="000000"/>
          <w:sz w:val="24"/>
        </w:rPr>
        <w:t xml:space="preserve">Capabilities</w:t>
      </w:r>
    </w:p>
    <w:p>
      <w:pPr>
        <w:spacing w:line="360" w:after="210" w:lineRule="auto"/>
      </w:pPr>
      <w:r>
        <w:rPr>
          <w:rFonts w:eastAsia="inter" w:cs="inter" w:ascii="inter" w:hAnsi="inter"/>
          <w:color w:val="000000"/>
        </w:rPr>
        <w:t xml:space="preserve">Quantum computing leverages quantum mechanics to simulate molecular interactions at unprecedented speeds, solving problems intractable for classical computers</w:t>
      </w:r>
      <w:bookmarkStart w:id="7" w:name="fnref4"/>
      <w:bookmarkEnd w:id="7"/>
      <w:hyperlink w:anchor="fn4">
        <w:r>
          <w:rPr>
            <w:rFonts w:eastAsia="inter" w:cs="inter" w:ascii="inter" w:hAnsi="inter"/>
            <w:color w:val="#000"/>
            <w:u w:val="single"/>
            <w:vertAlign w:val="superscript"/>
          </w:rPr>
          <w:t xml:space="preserve">[4]</w:t>
        </w:r>
      </w:hyperlink>
      <w:bookmarkStart w:id="8" w:name="fnref5"/>
      <w:bookmarkEnd w:id="8"/>
      <w:hyperlink w:anchor="fn5">
        <w:r>
          <w:rPr>
            <w:rFonts w:eastAsia="inter" w:cs="inter" w:ascii="inter" w:hAnsi="inter"/>
            <w:color w:val="#000"/>
            <w:u w:val="single"/>
            <w:vertAlign w:val="superscript"/>
          </w:rPr>
          <w:t xml:space="preserve">[5]</w:t>
        </w:r>
      </w:hyperlink>
      <w:bookmarkStart w:id="9" w:name="fnref6"/>
      <w:bookmarkEnd w:id="9"/>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Pharmaceutical Use Cases</w:t>
      </w:r>
    </w:p>
    <w:p>
      <w:pPr>
        <w:numPr>
          <w:ilvl w:val="0"/>
          <w:numId w:val="2"/>
        </w:numPr>
        <w:spacing w:line="360" w:before="105" w:after="105" w:lineRule="auto"/>
      </w:pPr>
      <w:r>
        <w:rPr>
          <w:rFonts w:eastAsia="inter" w:cs="inter" w:ascii="inter" w:hAnsi="inter"/>
          <w:b/>
          <w:color w:val="000000"/>
          <w:sz w:val="21"/>
        </w:rPr>
        <w:t xml:space="preserve">Drug-Target Binding Optimization</w:t>
      </w:r>
      <w:r>
        <w:rPr>
          <w:rFonts w:eastAsia="inter" w:cs="inter" w:ascii="inter" w:hAnsi="inter"/>
          <w:color w:val="000000"/>
          <w:sz w:val="21"/>
        </w:rPr>
        <w:t xml:space="preserve">: Quantum algorithms simulate ligand-protein binding dynamics, including water molecule mediation, to design drugs with higher specificity. Pasqal and Qubit Pharmaceuticals demonstrated a hybrid quantum-classical approach for protein hydration analysis, reducing simulation times by 50%</w:t>
      </w:r>
      <w:bookmarkStart w:id="10" w:name="fnref5:1"/>
      <w:bookmarkEnd w:id="10"/>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Polypharmacology</w:t>
      </w:r>
      <w:r>
        <w:rPr>
          <w:rFonts w:eastAsia="inter" w:cs="inter" w:ascii="inter" w:hAnsi="inter"/>
          <w:color w:val="000000"/>
          <w:sz w:val="21"/>
        </w:rPr>
        <w:t xml:space="preserve">: Quantum systems evaluate multi-target drug interactions, enabling the design of molecules that modulate multiple disease pathways simultaneously</w:t>
      </w:r>
      <w:bookmarkStart w:id="11" w:name="fnref6:1"/>
      <w:bookmarkEnd w:id="1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RNA Folding Prediction</w:t>
      </w:r>
      <w:r>
        <w:rPr>
          <w:rFonts w:eastAsia="inter" w:cs="inter" w:ascii="inter" w:hAnsi="inter"/>
          <w:color w:val="000000"/>
          <w:sz w:val="21"/>
        </w:rPr>
        <w:t xml:space="preserve">: Imperial College London’s “Abacus” quantum processor predicts RNA secondary structures, aiding in the development of mRNA therapeutics and antiviral drugs</w:t>
      </w:r>
      <w:bookmarkStart w:id="12" w:name="fnref7"/>
      <w:bookmarkEnd w:id="12"/>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Digital Twins: Virtual Replication of Physical Systems</w:t>
      </w:r>
    </w:p>
    <w:p>
      <w:pPr>
        <w:spacing w:line="360" w:before="315" w:after="105" w:lineRule="auto"/>
        <w:ind w:left="-30"/>
        <w:jc w:val="left"/>
      </w:pPr>
      <w:r>
        <w:rPr>
          <w:rFonts w:eastAsia="inter" w:cs="inter" w:ascii="inter" w:hAnsi="inter"/>
          <w:b/>
          <w:color w:val="000000"/>
          <w:sz w:val="24"/>
        </w:rPr>
        <w:t xml:space="preserve">Capabilities</w:t>
      </w:r>
    </w:p>
    <w:p>
      <w:pPr>
        <w:spacing w:line="360" w:after="210" w:lineRule="auto"/>
      </w:pPr>
      <w:r>
        <w:rPr>
          <w:rFonts w:eastAsia="inter" w:cs="inter" w:ascii="inter" w:hAnsi="inter"/>
          <w:color w:val="000000"/>
        </w:rPr>
        <w:t xml:space="preserve">Digital twins create dynamic, data-driven models of manufacturing processes, molecular systems, or patient physiology, enabling predictive analytics and real-time optimization</w:t>
      </w:r>
      <w:bookmarkStart w:id="13" w:name="fnref8"/>
      <w:bookmarkEnd w:id="13"/>
      <w:hyperlink w:anchor="fn8">
        <w:r>
          <w:rPr>
            <w:rFonts w:eastAsia="inter" w:cs="inter" w:ascii="inter" w:hAnsi="inter"/>
            <w:color w:val="#000"/>
            <w:u w:val="single"/>
            <w:vertAlign w:val="superscript"/>
          </w:rPr>
          <w:t xml:space="preserve">[8]</w:t>
        </w:r>
      </w:hyperlink>
      <w:bookmarkStart w:id="14" w:name="fnref9"/>
      <w:bookmarkEnd w:id="14"/>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Pharmaceutical Use Cases</w:t>
      </w:r>
    </w:p>
    <w:p>
      <w:pPr>
        <w:numPr>
          <w:ilvl w:val="0"/>
          <w:numId w:val="3"/>
        </w:numPr>
        <w:spacing w:line="360" w:before="105" w:after="105" w:lineRule="auto"/>
      </w:pPr>
      <w:r>
        <w:rPr>
          <w:rFonts w:eastAsia="inter" w:cs="inter" w:ascii="inter" w:hAnsi="inter"/>
          <w:b/>
          <w:color w:val="000000"/>
          <w:sz w:val="21"/>
        </w:rPr>
        <w:t xml:space="preserve">Manufacturing Process Optimization</w:t>
      </w:r>
      <w:r>
        <w:rPr>
          <w:rFonts w:eastAsia="inter" w:cs="inter" w:ascii="inter" w:hAnsi="inter"/>
          <w:color w:val="000000"/>
          <w:sz w:val="21"/>
        </w:rPr>
        <w:t xml:space="preserve">: Simulating bioreactor conditions (e.g., temperature, pH) allows companies like Infosys to predict cell culture outcomes, reducing batch failures by 25% and cutting costs</w:t>
      </w:r>
      <w:bookmarkStart w:id="15" w:name="fnref9:1"/>
      <w:bookmarkEnd w:id="15"/>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Personalized Medicine</w:t>
      </w:r>
      <w:r>
        <w:rPr>
          <w:rFonts w:eastAsia="inter" w:cs="inter" w:ascii="inter" w:hAnsi="inter"/>
          <w:color w:val="000000"/>
          <w:sz w:val="21"/>
        </w:rPr>
        <w:t xml:space="preserve">: Patient-specific digital twins model disease progression and drug responses, enabling tailored dosing regimens for oncology and rare diseases</w:t>
      </w:r>
      <w:bookmarkStart w:id="16" w:name="fnref8:1"/>
      <w:bookmarkEnd w:id="16"/>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Supply Chain Resilience</w:t>
      </w:r>
      <w:r>
        <w:rPr>
          <w:rFonts w:eastAsia="inter" w:cs="inter" w:ascii="inter" w:hAnsi="inter"/>
          <w:color w:val="000000"/>
          <w:sz w:val="21"/>
        </w:rPr>
        <w:t xml:space="preserve">: Digital twins of distribution networks predict disruptions (e.g., temperature excursions) and optimize logistics in real time</w:t>
      </w:r>
      <w:bookmarkStart w:id="17" w:name="fnref8:2"/>
      <w:bookmarkEnd w:id="17"/>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Neuromorphic Computing: High-Throughput Drug Screening</w:t>
      </w:r>
    </w:p>
    <w:p>
      <w:pPr>
        <w:spacing w:line="360" w:before="315" w:after="105" w:lineRule="auto"/>
        <w:ind w:left="-30"/>
        <w:jc w:val="left"/>
      </w:pPr>
      <w:r>
        <w:rPr>
          <w:rFonts w:eastAsia="inter" w:cs="inter" w:ascii="inter" w:hAnsi="inter"/>
          <w:b/>
          <w:color w:val="000000"/>
          <w:sz w:val="24"/>
        </w:rPr>
        <w:t xml:space="preserve">Capabilities</w:t>
      </w:r>
    </w:p>
    <w:p>
      <w:pPr>
        <w:spacing w:line="360" w:after="210" w:lineRule="auto"/>
      </w:pPr>
      <w:r>
        <w:rPr>
          <w:rFonts w:eastAsia="inter" w:cs="inter" w:ascii="inter" w:hAnsi="inter"/>
          <w:color w:val="000000"/>
        </w:rPr>
        <w:t xml:space="preserve">Neuromorphic systems, such as SpiNNaker2, mimic neural networks to process data in parallel, offering energy-efficient solutions for large-scale pattern recognition</w:t>
      </w:r>
      <w:bookmarkStart w:id="18" w:name="fnref10"/>
      <w:bookmarkEnd w:id="18"/>
      <w:hyperlink w:anchor="fn10">
        <w:r>
          <w:rPr>
            <w:rFonts w:eastAsia="inter" w:cs="inter" w:ascii="inter" w:hAnsi="inter"/>
            <w:color w:val="#000"/>
            <w:u w:val="single"/>
            <w:vertAlign w:val="superscript"/>
          </w:rPr>
          <w:t xml:space="preserve">[10]</w:t>
        </w:r>
      </w:hyperlink>
      <w:bookmarkStart w:id="19" w:name="fnref11"/>
      <w:bookmarkEnd w:id="19"/>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Pharmaceutical Use Cases</w:t>
      </w:r>
    </w:p>
    <w:p>
      <w:pPr>
        <w:numPr>
          <w:ilvl w:val="0"/>
          <w:numId w:val="4"/>
        </w:numPr>
        <w:spacing w:line="360" w:before="105" w:after="105" w:lineRule="auto"/>
      </w:pPr>
      <w:r>
        <w:rPr>
          <w:rFonts w:eastAsia="inter" w:cs="inter" w:ascii="inter" w:hAnsi="inter"/>
          <w:b/>
          <w:color w:val="000000"/>
          <w:sz w:val="21"/>
        </w:rPr>
        <w:t xml:space="preserve">Compound Screening</w:t>
      </w:r>
      <w:r>
        <w:rPr>
          <w:rFonts w:eastAsia="inter" w:cs="inter" w:ascii="inter" w:hAnsi="inter"/>
          <w:color w:val="000000"/>
          <w:sz w:val="21"/>
        </w:rPr>
        <w:t xml:space="preserve">: The SpiNNaker2 supercomputer screens billions of molecules from libraries like Enamine REAL, predicting binding affinities 10x faster than classical systems. This accelerates hit-to-lead stages in drug discovery</w:t>
      </w:r>
      <w:bookmarkStart w:id="20" w:name="fnref11:1"/>
      <w:bookmarkEnd w:id="20"/>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Adverse Event Prediction</w:t>
      </w:r>
      <w:r>
        <w:rPr>
          <w:rFonts w:eastAsia="inter" w:cs="inter" w:ascii="inter" w:hAnsi="inter"/>
          <w:color w:val="000000"/>
          <w:sz w:val="21"/>
        </w:rPr>
        <w:t xml:space="preserve">: Neuromorphic networks analyze post-market surveillance data to detect rare side effects, improving pharmacovigilance</w:t>
      </w:r>
      <w:bookmarkStart w:id="21" w:name="fnref10:1"/>
      <w:bookmarkEnd w:id="21"/>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Wearable Biosensors: Real-Time Patient Monitoring</w:t>
      </w:r>
    </w:p>
    <w:p>
      <w:pPr>
        <w:spacing w:line="360" w:before="315" w:after="105" w:lineRule="auto"/>
        <w:ind w:left="-30"/>
        <w:jc w:val="left"/>
      </w:pPr>
      <w:r>
        <w:rPr>
          <w:rFonts w:eastAsia="inter" w:cs="inter" w:ascii="inter" w:hAnsi="inter"/>
          <w:b/>
          <w:color w:val="000000"/>
          <w:sz w:val="24"/>
        </w:rPr>
        <w:t xml:space="preserve">Capabilities</w:t>
      </w:r>
    </w:p>
    <w:p>
      <w:pPr>
        <w:spacing w:line="360" w:after="210" w:lineRule="auto"/>
      </w:pPr>
      <w:r>
        <w:rPr>
          <w:rFonts w:eastAsia="inter" w:cs="inter" w:ascii="inter" w:hAnsi="inter"/>
          <w:color w:val="000000"/>
        </w:rPr>
        <w:t xml:space="preserve">Wearables collect continuous physiological data (e.g., glucose levels, cardiac activity) and integrate with AI for predictive analytics</w:t>
      </w:r>
      <w:bookmarkStart w:id="22" w:name="fnref12"/>
      <w:bookmarkEnd w:id="22"/>
      <w:hyperlink w:anchor="fn12">
        <w:r>
          <w:rPr>
            <w:rFonts w:eastAsia="inter" w:cs="inter" w:ascii="inter" w:hAnsi="inter"/>
            <w:color w:val="#000"/>
            <w:u w:val="single"/>
            <w:vertAlign w:val="superscript"/>
          </w:rPr>
          <w:t xml:space="preserve">[12]</w:t>
        </w:r>
      </w:hyperlink>
      <w:bookmarkStart w:id="23" w:name="fnref13"/>
      <w:bookmarkEnd w:id="23"/>
      <w:hyperlink w:anchor="fn13">
        <w:r>
          <w:rPr>
            <w:rFonts w:eastAsia="inter" w:cs="inter" w:ascii="inter" w:hAnsi="inter"/>
            <w:color w:val="#000"/>
            <w:u w:val="single"/>
            <w:vertAlign w:val="superscript"/>
          </w:rPr>
          <w:t xml:space="preserve">[13]</w:t>
        </w:r>
      </w:hyperlink>
      <w:bookmarkStart w:id="24" w:name="fnref14"/>
      <w:bookmarkEnd w:id="24"/>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Pharmaceutical Use Cases</w:t>
      </w:r>
    </w:p>
    <w:p>
      <w:pPr>
        <w:numPr>
          <w:ilvl w:val="0"/>
          <w:numId w:val="5"/>
        </w:numPr>
        <w:spacing w:line="360" w:before="105" w:after="105" w:lineRule="auto"/>
      </w:pPr>
      <w:r>
        <w:rPr>
          <w:rFonts w:eastAsia="inter" w:cs="inter" w:ascii="inter" w:hAnsi="inter"/>
          <w:b/>
          <w:color w:val="000000"/>
          <w:sz w:val="21"/>
        </w:rPr>
        <w:t xml:space="preserve">Decentralized Clinical Trials</w:t>
      </w:r>
      <w:r>
        <w:rPr>
          <w:rFonts w:eastAsia="inter" w:cs="inter" w:ascii="inter" w:hAnsi="inter"/>
          <w:color w:val="000000"/>
          <w:sz w:val="21"/>
        </w:rPr>
        <w:t xml:space="preserve">: Dexcom’s Stelo biosensor enables remote glucose monitoring for diabetes trials, reducing site visits by 40% while improving data granularity</w:t>
      </w:r>
      <w:bookmarkStart w:id="25" w:name="fnref13:1"/>
      <w:bookmarkEnd w:id="25"/>
      <w:hyperlink w:anchor="fn13">
        <w:r>
          <w:rPr>
            <w:rFonts w:eastAsia="inter" w:cs="inter" w:ascii="inter" w:hAnsi="inter"/>
            <w:color w:val="#000"/>
            <w:sz w:val="21"/>
            <w:u w:val="single"/>
            <w:vertAlign w:val="superscript"/>
          </w:rPr>
          <w:t xml:space="preserve">[13]</w:t>
        </w:r>
      </w:hyperlink>
      <w:bookmarkStart w:id="26" w:name="fnref14:1"/>
      <w:bookmarkEnd w:id="26"/>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Digital Endpoints</w:t>
      </w:r>
      <w:r>
        <w:rPr>
          <w:rFonts w:eastAsia="inter" w:cs="inter" w:ascii="inter" w:hAnsi="inter"/>
          <w:color w:val="000000"/>
          <w:sz w:val="21"/>
        </w:rPr>
        <w:t xml:space="preserve">: Gait analysis via smartwatches quantifies motor function improvements in neurodegenerative disease trials, replacing subjective clinician assessments</w:t>
      </w:r>
      <w:bookmarkStart w:id="27" w:name="fnref14:2"/>
      <w:bookmarkEnd w:id="27"/>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Medication Adherence</w:t>
      </w:r>
      <w:r>
        <w:rPr>
          <w:rFonts w:eastAsia="inter" w:cs="inter" w:ascii="inter" w:hAnsi="inter"/>
          <w:color w:val="000000"/>
          <w:sz w:val="21"/>
        </w:rPr>
        <w:t xml:space="preserve">: Sensors in smart pill bottles track dosing patterns and trigger AI-driven reminders, increasing adherence rates by 35% in hypertension studies</w:t>
      </w:r>
      <w:bookmarkStart w:id="28" w:name="fnref13:2"/>
      <w:bookmarkEnd w:id="28"/>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AI-Driven Laboratory Automation</w:t>
      </w:r>
    </w:p>
    <w:p>
      <w:pPr>
        <w:spacing w:line="360" w:before="315" w:after="105" w:lineRule="auto"/>
        <w:ind w:left="-30"/>
        <w:jc w:val="left"/>
      </w:pPr>
      <w:r>
        <w:rPr>
          <w:rFonts w:eastAsia="inter" w:cs="inter" w:ascii="inter" w:hAnsi="inter"/>
          <w:b/>
          <w:color w:val="000000"/>
          <w:sz w:val="24"/>
        </w:rPr>
        <w:t xml:space="preserve">Capabilities</w:t>
      </w:r>
    </w:p>
    <w:p>
      <w:pPr>
        <w:spacing w:line="360" w:after="210" w:lineRule="auto"/>
      </w:pPr>
      <w:r>
        <w:rPr>
          <w:rFonts w:eastAsia="inter" w:cs="inter" w:ascii="inter" w:hAnsi="inter"/>
          <w:color w:val="000000"/>
        </w:rPr>
        <w:t xml:space="preserve">Robotic systems combined with AI automate experimental workflows, from compound synthesis to quality control, enhancing reproducibility and throughput</w:t>
      </w:r>
      <w:bookmarkStart w:id="29" w:name="fnref15"/>
      <w:bookmarkEnd w:id="29"/>
      <w:hyperlink w:anchor="fn15">
        <w:r>
          <w:rPr>
            <w:rFonts w:eastAsia="inter" w:cs="inter" w:ascii="inter" w:hAnsi="inter"/>
            <w:color w:val="#000"/>
            <w:u w:val="single"/>
            <w:vertAlign w:val="superscript"/>
          </w:rPr>
          <w:t xml:space="preserve">[15]</w:t>
        </w:r>
      </w:hyperlink>
      <w:bookmarkStart w:id="30" w:name="fnref16"/>
      <w:bookmarkEnd w:id="30"/>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Pharmaceutical Use Cases</w:t>
      </w:r>
    </w:p>
    <w:p>
      <w:pPr>
        <w:numPr>
          <w:ilvl w:val="0"/>
          <w:numId w:val="6"/>
        </w:numPr>
        <w:spacing w:line="360" w:before="105" w:after="105" w:lineRule="auto"/>
      </w:pPr>
      <w:r>
        <w:rPr>
          <w:rFonts w:eastAsia="inter" w:cs="inter" w:ascii="inter" w:hAnsi="inter"/>
          <w:b/>
          <w:color w:val="000000"/>
          <w:sz w:val="21"/>
        </w:rPr>
        <w:t xml:space="preserve">High-Throughput Screening (HTS)</w:t>
      </w:r>
      <w:r>
        <w:rPr>
          <w:rFonts w:eastAsia="inter" w:cs="inter" w:ascii="inter" w:hAnsi="inter"/>
          <w:color w:val="000000"/>
          <w:sz w:val="21"/>
        </w:rPr>
        <w:t xml:space="preserve">: Automated platforms like those from Recursion Pharmaceuticals test 100,000+ compounds weekly, identifying lead candidates for fibrosis and oncology</w:t>
      </w:r>
      <w:bookmarkStart w:id="31" w:name="fnref16:1"/>
      <w:bookmarkEnd w:id="31"/>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Synthesis Planning</w:t>
      </w:r>
      <w:r>
        <w:rPr>
          <w:rFonts w:eastAsia="inter" w:cs="inter" w:ascii="inter" w:hAnsi="inter"/>
          <w:color w:val="000000"/>
          <w:sz w:val="21"/>
        </w:rPr>
        <w:t xml:space="preserve">: MIT’s SPARROW algorithm optimizes synthetic routes by balancing cost and yield, reducing drug development costs by 20%</w:t>
      </w:r>
      <w:bookmarkStart w:id="32" w:name="fnref17"/>
      <w:bookmarkEnd w:id="32"/>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Quality Control</w:t>
      </w:r>
      <w:r>
        <w:rPr>
          <w:rFonts w:eastAsia="inter" w:cs="inter" w:ascii="inter" w:hAnsi="inter"/>
          <w:color w:val="000000"/>
          <w:sz w:val="21"/>
        </w:rPr>
        <w:t xml:space="preserve">: AI vision systems inspect vial defects with 99.9% accuracy, surpassing manual inspections in sterile manufacturing</w:t>
      </w:r>
      <w:bookmarkStart w:id="33" w:name="fnref16:2"/>
      <w:bookmarkEnd w:id="33"/>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Extended Reality (XR): Immersive Training and Visualization</w:t>
      </w:r>
    </w:p>
    <w:p>
      <w:pPr>
        <w:spacing w:line="360" w:before="315" w:after="105" w:lineRule="auto"/>
        <w:ind w:left="-30"/>
        <w:jc w:val="left"/>
      </w:pPr>
      <w:r>
        <w:rPr>
          <w:rFonts w:eastAsia="inter" w:cs="inter" w:ascii="inter" w:hAnsi="inter"/>
          <w:b/>
          <w:color w:val="000000"/>
          <w:sz w:val="24"/>
        </w:rPr>
        <w:t xml:space="preserve">Capabilities</w:t>
      </w:r>
    </w:p>
    <w:p>
      <w:pPr>
        <w:spacing w:line="360" w:after="210" w:lineRule="auto"/>
      </w:pPr>
      <w:r>
        <w:rPr>
          <w:rFonts w:eastAsia="inter" w:cs="inter" w:ascii="inter" w:hAnsi="inter"/>
          <w:color w:val="000000"/>
        </w:rPr>
        <w:t xml:space="preserve">Virtual Reality (VR) and Augmented Reality (AR) create simulated environments for training, data visualization, and patient engagement</w:t>
      </w:r>
      <w:bookmarkStart w:id="34" w:name="fnref18"/>
      <w:bookmarkEnd w:id="34"/>
      <w:hyperlink w:anchor="fn18">
        <w:r>
          <w:rPr>
            <w:rFonts w:eastAsia="inter" w:cs="inter" w:ascii="inter" w:hAnsi="inter"/>
            <w:color w:val="#000"/>
            <w:u w:val="single"/>
            <w:vertAlign w:val="superscript"/>
          </w:rPr>
          <w:t xml:space="preserve">[18]</w:t>
        </w:r>
      </w:hyperlink>
      <w:bookmarkStart w:id="35" w:name="fnref19"/>
      <w:bookmarkEnd w:id="35"/>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Pharmaceutical Use Cases</w:t>
      </w:r>
    </w:p>
    <w:p>
      <w:pPr>
        <w:numPr>
          <w:ilvl w:val="0"/>
          <w:numId w:val="7"/>
        </w:numPr>
        <w:spacing w:line="360" w:before="105" w:after="105" w:lineRule="auto"/>
      </w:pPr>
      <w:r>
        <w:rPr>
          <w:rFonts w:eastAsia="inter" w:cs="inter" w:ascii="inter" w:hAnsi="inter"/>
          <w:b/>
          <w:color w:val="000000"/>
          <w:sz w:val="21"/>
        </w:rPr>
        <w:t xml:space="preserve">Manufacturing Training</w:t>
      </w:r>
      <w:r>
        <w:rPr>
          <w:rFonts w:eastAsia="inter" w:cs="inter" w:ascii="inter" w:hAnsi="inter"/>
          <w:color w:val="000000"/>
          <w:sz w:val="21"/>
        </w:rPr>
        <w:t xml:space="preserve">: Pfizer’s VR modules train technicians in aseptic techniques, reducing errors by 50% and cutting onboarding time by 30%</w:t>
      </w:r>
      <w:bookmarkStart w:id="36" w:name="fnref19:1"/>
      <w:bookmarkEnd w:id="36"/>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b/>
          <w:color w:val="000000"/>
          <w:sz w:val="21"/>
        </w:rPr>
        <w:t xml:space="preserve">Molecular Visualization</w:t>
      </w:r>
      <w:r>
        <w:rPr>
          <w:rFonts w:eastAsia="inter" w:cs="inter" w:ascii="inter" w:hAnsi="inter"/>
          <w:color w:val="000000"/>
          <w:sz w:val="21"/>
        </w:rPr>
        <w:t xml:space="preserve">: AR apps overlay 3D drug-protein interaction models onto physical lab equipment, aiding medicinal chemists in structure-based design</w:t>
      </w:r>
      <w:bookmarkStart w:id="37" w:name="fnref18:1"/>
      <w:bookmarkEnd w:id="37"/>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b/>
          <w:color w:val="000000"/>
          <w:sz w:val="21"/>
        </w:rPr>
        <w:t xml:space="preserve">Patient Education</w:t>
      </w:r>
      <w:r>
        <w:rPr>
          <w:rFonts w:eastAsia="inter" w:cs="inter" w:ascii="inter" w:hAnsi="inter"/>
          <w:color w:val="000000"/>
          <w:sz w:val="21"/>
        </w:rPr>
        <w:t xml:space="preserve">: AstraZeneca’s VR simulations demonstrate disease mechanisms to trial participants, improving informed consent comprehension by 40%</w:t>
      </w:r>
      <w:bookmarkStart w:id="38" w:name="fnref18:2"/>
      <w:bookmarkEnd w:id="38"/>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Blockchain and Post-Quantum Cryptography</w:t>
      </w:r>
    </w:p>
    <w:p>
      <w:pPr>
        <w:spacing w:line="360" w:before="315" w:after="105" w:lineRule="auto"/>
        <w:ind w:left="-30"/>
        <w:jc w:val="left"/>
      </w:pPr>
      <w:r>
        <w:rPr>
          <w:rFonts w:eastAsia="inter" w:cs="inter" w:ascii="inter" w:hAnsi="inter"/>
          <w:b/>
          <w:color w:val="000000"/>
          <w:sz w:val="24"/>
        </w:rPr>
        <w:t xml:space="preserve">Capabilities</w:t>
      </w:r>
    </w:p>
    <w:p>
      <w:pPr>
        <w:spacing w:line="360" w:after="210" w:lineRule="auto"/>
      </w:pPr>
      <w:r>
        <w:rPr>
          <w:rFonts w:eastAsia="inter" w:cs="inter" w:ascii="inter" w:hAnsi="inter"/>
          <w:color w:val="000000"/>
        </w:rPr>
        <w:t xml:space="preserve">Blockchain ensures data integrity, while post-quantum cryptography secures sensitive information against future quantum-based attacks</w:t>
      </w:r>
      <w:bookmarkStart w:id="39" w:name="fnref6:2"/>
      <w:bookmarkEnd w:id="39"/>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Pharmaceutical Use Cases</w:t>
      </w:r>
    </w:p>
    <w:p>
      <w:pPr>
        <w:numPr>
          <w:ilvl w:val="0"/>
          <w:numId w:val="8"/>
        </w:numPr>
        <w:spacing w:line="360" w:before="105" w:after="105" w:lineRule="auto"/>
      </w:pPr>
      <w:r>
        <w:rPr>
          <w:rFonts w:eastAsia="inter" w:cs="inter" w:ascii="inter" w:hAnsi="inter"/>
          <w:b/>
          <w:color w:val="000000"/>
          <w:sz w:val="21"/>
        </w:rPr>
        <w:t xml:space="preserve">Clinical Data Security</w:t>
      </w:r>
      <w:r>
        <w:rPr>
          <w:rFonts w:eastAsia="inter" w:cs="inter" w:ascii="inter" w:hAnsi="inter"/>
          <w:color w:val="000000"/>
          <w:sz w:val="21"/>
        </w:rPr>
        <w:t xml:space="preserve">: Blockchain encrypts trial data across sites, preventing tampering and ensuring compliance with GDPR and HIPAA</w:t>
      </w:r>
      <w:bookmarkStart w:id="40" w:name="fnref6:3"/>
      <w:bookmarkEnd w:id="40"/>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Supply Chain Transparency</w:t>
      </w:r>
      <w:r>
        <w:rPr>
          <w:rFonts w:eastAsia="inter" w:cs="inter" w:ascii="inter" w:hAnsi="inter"/>
          <w:color w:val="000000"/>
          <w:sz w:val="21"/>
        </w:rPr>
        <w:t xml:space="preserve">: Distributed ledgers track drug shipments from manufacturer to patient, combating counterfeit medications</w:t>
      </w:r>
      <w:bookmarkStart w:id="41" w:name="fnref6:4"/>
      <w:bookmarkEnd w:id="4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convergence of agentic AI, quantum computing, and wearable biosensors is poised to reduce drug development timelines from 10–15 years to under 5 years by 2030. Pharma companies that adopt digital twins and neuromorphic computing could cut R&amp;D costs by 30–40%, while AI-driven automation and XR training mitigate labor shortages. To capitalize on these technologies, organizations must invest in hybrid talent (e.g., computational biologists, AI ethicists) and establish governance frameworks for ethical AI/quantum deployment. The future of pharma lies in leveraging these tools not just for incremental gains but to reimagine therapeutic innovation at scale.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2" w:name="fn1"/>
    <w:bookmarkEnd w:id="42"/>
    <w:p>
      <w:pPr>
        <w:numPr>
          <w:ilvl w:val="0"/>
          <w:numId w:val="10"/>
        </w:numPr>
        <w:spacing w:line="360" w:after="210" w:lineRule="auto"/>
      </w:pPr>
      <w:hyperlink r:id="rId6">
        <w:r>
          <w:rPr>
            <w:rFonts w:eastAsia="inter" w:cs="inter" w:ascii="inter" w:hAnsi="inter"/>
            <w:color w:val="#000"/>
            <w:sz w:val="18"/>
            <w:u w:val="single"/>
          </w:rPr>
          <w:t xml:space="preserve">https://www.techtarget.com/healthtechanalytics/feature/4-top-use-cases-for-agentic-AI-in-healthcare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2"/>
    <w:bookmarkEnd w:id="43"/>
    <w:p>
      <w:pPr>
        <w:numPr>
          <w:ilvl w:val="0"/>
          <w:numId w:val="10"/>
        </w:numPr>
        <w:spacing w:line="360" w:after="210" w:lineRule="auto"/>
      </w:pPr>
      <w:hyperlink r:id="rId7">
        <w:r>
          <w:rPr>
            <w:rFonts w:eastAsia="inter" w:cs="inter" w:ascii="inter" w:hAnsi="inter"/>
            <w:color w:val="#000"/>
            <w:sz w:val="18"/>
            <w:u w:val="single"/>
          </w:rPr>
          <w:t xml:space="preserve">https://www.teqfocus.com/blog/top-5-benefits-of-agentic-ai-driven-workflows-in-the-pharma-and-healthcare-industries/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3"/>
    <w:bookmarkEnd w:id="44"/>
    <w:p>
      <w:pPr>
        <w:numPr>
          <w:ilvl w:val="0"/>
          <w:numId w:val="10"/>
        </w:numPr>
        <w:spacing w:line="360" w:after="210" w:lineRule="auto"/>
      </w:pPr>
      <w:hyperlink r:id="rId8">
        <w:r>
          <w:rPr>
            <w:rFonts w:eastAsia="inter" w:cs="inter" w:ascii="inter" w:hAnsi="inter"/>
            <w:color w:val="#000"/>
            <w:sz w:val="18"/>
            <w:u w:val="single"/>
          </w:rPr>
          <w:t xml:space="preserve">https://www.polestarllp.com/blog/agentic-ai-use-cases-for-pharmaceutical-and-lifesciences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4"/>
    <w:bookmarkEnd w:id="45"/>
    <w:p>
      <w:pPr>
        <w:numPr>
          <w:ilvl w:val="0"/>
          <w:numId w:val="10"/>
        </w:numPr>
        <w:spacing w:line="360" w:after="210" w:lineRule="auto"/>
      </w:pPr>
      <w:hyperlink r:id="rId9">
        <w:r>
          <w:rPr>
            <w:rFonts w:eastAsia="inter" w:cs="inter" w:ascii="inter" w:hAnsi="inter"/>
            <w:color w:val="#000"/>
            <w:sz w:val="18"/>
            <w:u w:val="single"/>
          </w:rPr>
          <w:t xml:space="preserve">https://www.mckinsey.com/industries/life-sciences/our-insights/pharmas-digital-rx-quantum-computing-in-drug-research-and-development</w:t>
        </w:r>
      </w:hyperlink>
      <w:r>
        <w:rPr>
          <w:rFonts w:eastAsia="inter" w:cs="inter" w:ascii="inter" w:hAnsi="inter"/>
          <w:color w:val="000000"/>
          <w:sz w:val="18"/>
        </w:rPr>
        <w:t xml:space="preserve"> </w:t>
      </w:r>
    </w:p>
    <w:bookmarkStart w:id="46" w:name="fn5"/>
    <w:bookmarkEnd w:id="46"/>
    <w:p>
      <w:pPr>
        <w:numPr>
          <w:ilvl w:val="0"/>
          <w:numId w:val="10"/>
        </w:numPr>
        <w:spacing w:line="360" w:after="210" w:lineRule="auto"/>
      </w:pPr>
      <w:hyperlink r:id="rId10">
        <w:r>
          <w:rPr>
            <w:rFonts w:eastAsia="inter" w:cs="inter" w:ascii="inter" w:hAnsi="inter"/>
            <w:color w:val="#000"/>
            <w:sz w:val="18"/>
            <w:u w:val="single"/>
          </w:rPr>
          <w:t xml:space="preserve">https://www.weforum.org/stories/2025/01/quantum-computing-drug-development/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6"/>
    <w:bookmarkEnd w:id="47"/>
    <w:p>
      <w:pPr>
        <w:numPr>
          <w:ilvl w:val="0"/>
          <w:numId w:val="10"/>
        </w:numPr>
        <w:spacing w:line="360" w:after="210" w:lineRule="auto"/>
      </w:pPr>
      <w:hyperlink r:id="rId11">
        <w:r>
          <w:rPr>
            <w:rFonts w:eastAsia="inter" w:cs="inter" w:ascii="inter" w:hAnsi="inter"/>
            <w:color w:val="#000"/>
            <w:sz w:val="18"/>
            <w:u w:val="single"/>
          </w:rPr>
          <w:t xml:space="preserve">https://www.dwavequantum.com/solutions-and-products/life-sciences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7"/>
    <w:bookmarkEnd w:id="48"/>
    <w:p>
      <w:pPr>
        <w:numPr>
          <w:ilvl w:val="0"/>
          <w:numId w:val="10"/>
        </w:numPr>
        <w:spacing w:line="360" w:after="210" w:lineRule="auto"/>
      </w:pPr>
      <w:hyperlink r:id="rId12">
        <w:r>
          <w:rPr>
            <w:rFonts w:eastAsia="inter" w:cs="inter" w:ascii="inter" w:hAnsi="inter"/>
            <w:color w:val="#000"/>
            <w:sz w:val="18"/>
            <w:u w:val="single"/>
          </w:rPr>
          <w:t xml:space="preserve">https://www.imperial.ac.uk/news/248638/towards-using-quantum-computing-speed-drug/</w:t>
        </w:r>
      </w:hyperlink>
      <w:r>
        <w:rPr>
          <w:rFonts w:eastAsia="inter" w:cs="inter" w:ascii="inter" w:hAnsi="inter"/>
          <w:color w:val="000000"/>
          <w:sz w:val="18"/>
        </w:rPr>
        <w:t xml:space="preserve"> </w:t>
      </w:r>
    </w:p>
    <w:bookmarkStart w:id="49" w:name="fn8"/>
    <w:bookmarkEnd w:id="49"/>
    <w:p>
      <w:pPr>
        <w:numPr>
          <w:ilvl w:val="0"/>
          <w:numId w:val="10"/>
        </w:numPr>
        <w:spacing w:line="360" w:after="210" w:lineRule="auto"/>
      </w:pPr>
      <w:hyperlink r:id="rId13">
        <w:r>
          <w:rPr>
            <w:rFonts w:eastAsia="inter" w:cs="inter" w:ascii="inter" w:hAnsi="inter"/>
            <w:color w:val="#000"/>
            <w:sz w:val="18"/>
            <w:u w:val="single"/>
          </w:rPr>
          <w:t xml:space="preserve">https://cleanroomtechnology.com/what-are-digital-twins-and-what-is-their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9"/>
    <w:bookmarkEnd w:id="50"/>
    <w:p>
      <w:pPr>
        <w:numPr>
          <w:ilvl w:val="0"/>
          <w:numId w:val="10"/>
        </w:numPr>
        <w:spacing w:line="360" w:after="210" w:lineRule="auto"/>
      </w:pPr>
      <w:hyperlink r:id="rId14">
        <w:r>
          <w:rPr>
            <w:rFonts w:eastAsia="inter" w:cs="inter" w:ascii="inter" w:hAnsi="inter"/>
            <w:color w:val="#000"/>
            <w:sz w:val="18"/>
            <w:u w:val="single"/>
          </w:rPr>
          <w:t xml:space="preserve">https://www.infosys.com/insights/ai-automation/documents/building-digital-twin.pdf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10"/>
    <w:bookmarkEnd w:id="51"/>
    <w:p>
      <w:pPr>
        <w:numPr>
          <w:ilvl w:val="0"/>
          <w:numId w:val="10"/>
        </w:numPr>
        <w:spacing w:line="360" w:after="210" w:lineRule="auto"/>
      </w:pPr>
      <w:hyperlink r:id="rId15">
        <w:r>
          <w:rPr>
            <w:rFonts w:eastAsia="inter" w:cs="inter" w:ascii="inter" w:hAnsi="inter"/>
            <w:color w:val="#000"/>
            <w:sz w:val="18"/>
            <w:u w:val="single"/>
          </w:rPr>
          <w:t xml:space="preserve">https://pubmed.ncbi.nlm.nih.gov/1796042/</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11"/>
    <w:bookmarkEnd w:id="52"/>
    <w:p>
      <w:pPr>
        <w:numPr>
          <w:ilvl w:val="0"/>
          <w:numId w:val="10"/>
        </w:numPr>
        <w:spacing w:line="360" w:after="210" w:lineRule="auto"/>
      </w:pPr>
      <w:hyperlink r:id="rId16">
        <w:r>
          <w:rPr>
            <w:rFonts w:eastAsia="inter" w:cs="inter" w:ascii="inter" w:hAnsi="inter"/>
            <w:color w:val="#000"/>
            <w:sz w:val="18"/>
            <w:u w:val="single"/>
          </w:rPr>
          <w:t xml:space="preserve">https://scads.ai/research/ai-algorithms-and-methods/methods-and-hardware-for-neuro-inspired-computing/projects/drug-discovery-on-the-spinnaker2-neuromorphic-supercomputer/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12"/>
    <w:bookmarkEnd w:id="53"/>
    <w:p>
      <w:pPr>
        <w:numPr>
          <w:ilvl w:val="0"/>
          <w:numId w:val="10"/>
        </w:numPr>
        <w:spacing w:line="360" w:after="210" w:lineRule="auto"/>
      </w:pPr>
      <w:hyperlink r:id="rId17">
        <w:r>
          <w:rPr>
            <w:rFonts w:eastAsia="inter" w:cs="inter" w:ascii="inter" w:hAnsi="inter"/>
            <w:color w:val="#000"/>
            <w:sz w:val="18"/>
            <w:u w:val="single"/>
          </w:rPr>
          <w:t xml:space="preserve">https://pmc.ncbi.nlm.nih.gov/articles/PMC6032822/</w:t>
        </w:r>
      </w:hyperlink>
      <w:r>
        <w:rPr>
          <w:rFonts w:eastAsia="inter" w:cs="inter" w:ascii="inter" w:hAnsi="inter"/>
          <w:color w:val="000000"/>
          <w:sz w:val="18"/>
        </w:rPr>
        <w:t xml:space="preserve"> </w:t>
      </w:r>
    </w:p>
    <w:bookmarkStart w:id="54" w:name="fn13"/>
    <w:bookmarkEnd w:id="54"/>
    <w:p>
      <w:pPr>
        <w:numPr>
          <w:ilvl w:val="0"/>
          <w:numId w:val="10"/>
        </w:numPr>
        <w:spacing w:line="360" w:after="210" w:lineRule="auto"/>
      </w:pPr>
      <w:hyperlink r:id="rId18">
        <w:r>
          <w:rPr>
            <w:rFonts w:eastAsia="inter" w:cs="inter" w:ascii="inter" w:hAnsi="inter"/>
            <w:color w:val="#000"/>
            <w:sz w:val="18"/>
            <w:u w:val="single"/>
          </w:rPr>
          <w:t xml:space="preserve">https://www.quanticate.com/blog/wearables-in-clinical-trials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14"/>
    <w:bookmarkEnd w:id="55"/>
    <w:p>
      <w:pPr>
        <w:numPr>
          <w:ilvl w:val="0"/>
          <w:numId w:val="10"/>
        </w:numPr>
        <w:spacing w:line="360" w:after="210" w:lineRule="auto"/>
      </w:pPr>
      <w:hyperlink r:id="rId19">
        <w:r>
          <w:rPr>
            <w:rFonts w:eastAsia="inter" w:cs="inter" w:ascii="inter" w:hAnsi="inter"/>
            <w:color w:val="#000"/>
            <w:sz w:val="18"/>
            <w:u w:val="single"/>
          </w:rPr>
          <w:t xml:space="preserve">https://www.medpace.com/core-lab/wearable-biosensor-technology/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15"/>
    <w:bookmarkEnd w:id="56"/>
    <w:p>
      <w:pPr>
        <w:numPr>
          <w:ilvl w:val="0"/>
          <w:numId w:val="10"/>
        </w:numPr>
        <w:spacing w:line="360" w:after="210" w:lineRule="auto"/>
      </w:pPr>
      <w:hyperlink r:id="rId20">
        <w:r>
          <w:rPr>
            <w:rFonts w:eastAsia="inter" w:cs="inter" w:ascii="inter" w:hAnsi="inter"/>
            <w:color w:val="#000"/>
            <w:sz w:val="18"/>
            <w:u w:val="single"/>
          </w:rPr>
          <w:t xml:space="preserve">https://www.genengnews.com/topics/artificial-intelligence/laboratory-automation-reaches-every-stage-of-drug-development/</w:t>
        </w:r>
      </w:hyperlink>
      <w:r>
        <w:rPr>
          <w:rFonts w:eastAsia="inter" w:cs="inter" w:ascii="inter" w:hAnsi="inter"/>
          <w:color w:val="000000"/>
          <w:sz w:val="18"/>
        </w:rPr>
        <w:t xml:space="preserve"> </w:t>
      </w:r>
    </w:p>
    <w:bookmarkStart w:id="57" w:name="fn16"/>
    <w:bookmarkEnd w:id="57"/>
    <w:p>
      <w:pPr>
        <w:numPr>
          <w:ilvl w:val="0"/>
          <w:numId w:val="10"/>
        </w:numPr>
        <w:spacing w:line="360" w:after="210" w:lineRule="auto"/>
      </w:pPr>
      <w:hyperlink r:id="rId21">
        <w:r>
          <w:rPr>
            <w:rFonts w:eastAsia="inter" w:cs="inter" w:ascii="inter" w:hAnsi="inter"/>
            <w:color w:val="#000"/>
            <w:sz w:val="18"/>
            <w:u w:val="single"/>
          </w:rPr>
          <w:t xml:space="preserve">https://www.linkedin.com/pulse/future-ai-driven-laboratory-automation-life-sciences-pharma-maleki-x8w4e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17"/>
    <w:bookmarkEnd w:id="58"/>
    <w:p>
      <w:pPr>
        <w:numPr>
          <w:ilvl w:val="0"/>
          <w:numId w:val="10"/>
        </w:numPr>
        <w:spacing w:line="360" w:after="210" w:lineRule="auto"/>
      </w:pPr>
      <w:hyperlink r:id="rId22">
        <w:r>
          <w:rPr>
            <w:rFonts w:eastAsia="inter" w:cs="inter" w:ascii="inter" w:hAnsi="inter"/>
            <w:color w:val="#000"/>
            <w:sz w:val="18"/>
            <w:u w:val="single"/>
          </w:rPr>
          <w:t xml:space="preserve">https://news.mit.edu/2024/smarter-way-streamline-drug-discovery-0617</w:t>
        </w:r>
      </w:hyperlink>
      <w:r>
        <w:rPr>
          <w:rFonts w:eastAsia="inter" w:cs="inter" w:ascii="inter" w:hAnsi="inter"/>
          <w:color w:val="000000"/>
          <w:sz w:val="18"/>
        </w:rPr>
        <w:t xml:space="preserve"> </w:t>
      </w:r>
    </w:p>
    <w:bookmarkStart w:id="59" w:name="fn18"/>
    <w:bookmarkEnd w:id="59"/>
    <w:p>
      <w:pPr>
        <w:numPr>
          <w:ilvl w:val="0"/>
          <w:numId w:val="10"/>
        </w:numPr>
        <w:spacing w:line="360" w:after="210" w:lineRule="auto"/>
      </w:pPr>
      <w:hyperlink r:id="rId23">
        <w:r>
          <w:rPr>
            <w:rFonts w:eastAsia="inter" w:cs="inter" w:ascii="inter" w:hAnsi="inter"/>
            <w:color w:val="#000"/>
            <w:sz w:val="18"/>
            <w:u w:val="single"/>
          </w:rPr>
          <w:t xml:space="preserve">https://www.artixio.com/post/the-use-of-virtual-reality-vr-and-augmented-reality-ar-in-pharma-training-and-education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0" w:name="fn19"/>
    <w:bookmarkEnd w:id="60"/>
    <w:p>
      <w:pPr>
        <w:numPr>
          <w:ilvl w:val="0"/>
          <w:numId w:val="10"/>
        </w:numPr>
        <w:spacing w:line="360" w:after="210" w:lineRule="auto"/>
      </w:pPr>
      <w:hyperlink r:id="rId24">
        <w:r>
          <w:rPr>
            <w:rFonts w:eastAsia="inter" w:cs="inter" w:ascii="inter" w:hAnsi="inter"/>
            <w:color w:val="#000"/>
            <w:sz w:val="18"/>
            <w:u w:val="single"/>
          </w:rPr>
          <w:t xml:space="preserve">https://immerse.io/vr-for-pharmaceutical-industry/</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decimal"/>
      <w:lvlText w:val="%1."/>
      <w:lvlJc w:val="left"/>
      <w:pPr>
        <w:tabs>
          <w:tab w:val="num" w:pos="900"/>
        </w:tabs>
        <w:ind w:left="540" w:hanging="360"/>
      </w:p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decimal"/>
      <w:lvlText w:val="%1."/>
      <w:lvlJc w:val="left"/>
      <w:pPr>
        <w:tabs>
          <w:tab w:val="num" w:pos="900"/>
        </w:tabs>
        <w:ind w:left="540" w:hanging="360"/>
      </w:pPr>
    </w:lvl>
  </w:abstractNum>
  <w:abstractNum w:abstractNumId="9">
    <w:multiLevelType w:val="hybridMultilevel"/>
  </w:abstractNum>
  <w:abstractNum w:abstractNumId="10">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cfe939f249f749272bb603af8acc02c2cedee1e.png" TargetMode="Internal"/><Relationship Id="rId6" Type="http://schemas.openxmlformats.org/officeDocument/2006/relationships/hyperlink" Target="https://www.techtarget.com/healthtechanalytics/feature/4-top-use-cases-for-agentic-AI-in-healthcare" TargetMode="External"/><Relationship Id="rId7" Type="http://schemas.openxmlformats.org/officeDocument/2006/relationships/hyperlink" Target="https://www.teqfocus.com/blog/top-5-benefits-of-agentic-ai-driven-workflows-in-the-pharma-and-healthcare-industries/" TargetMode="External"/><Relationship Id="rId8" Type="http://schemas.openxmlformats.org/officeDocument/2006/relationships/hyperlink" Target="https://www.polestarllp.com/blog/agentic-ai-use-cases-for-pharmaceutical-and-lifesciences" TargetMode="External"/><Relationship Id="rId9" Type="http://schemas.openxmlformats.org/officeDocument/2006/relationships/hyperlink" Target="https://www.mckinsey.com/industries/life-sciences/our-insights/pharmas-digital-rx-quantum-computing-in-drug-research-and-development" TargetMode="External"/><Relationship Id="rId10" Type="http://schemas.openxmlformats.org/officeDocument/2006/relationships/hyperlink" Target="https://www.weforum.org/stories/2025/01/quantum-computing-drug-development/" TargetMode="External"/><Relationship Id="rId11" Type="http://schemas.openxmlformats.org/officeDocument/2006/relationships/hyperlink" Target="https://www.dwavequantum.com/solutions-and-products/life-sciences" TargetMode="External"/><Relationship Id="rId12" Type="http://schemas.openxmlformats.org/officeDocument/2006/relationships/hyperlink" Target="https://www.imperial.ac.uk/news/248638/towards-using-quantum-computing-speed-drug/" TargetMode="External"/><Relationship Id="rId13" Type="http://schemas.openxmlformats.org/officeDocument/2006/relationships/hyperlink" Target="https://cleanroomtechnology.com/what-are-digital-twins-and-what-is-their" TargetMode="External"/><Relationship Id="rId14" Type="http://schemas.openxmlformats.org/officeDocument/2006/relationships/hyperlink" Target="https://www.infosys.com/insights/ai-automation/documents/building-digital-twin.pdf" TargetMode="External"/><Relationship Id="rId15" Type="http://schemas.openxmlformats.org/officeDocument/2006/relationships/hyperlink" Target="https://pubmed.ncbi.nlm.nih.gov/1796042/" TargetMode="External"/><Relationship Id="rId16" Type="http://schemas.openxmlformats.org/officeDocument/2006/relationships/hyperlink" Target="https://scads.ai/research/ai-algorithms-and-methods/methods-and-hardware-for-neuro-inspired-computing/projects/drug-discovery-on-the-spinnaker2-neuromorphic-supercomputer/" TargetMode="External"/><Relationship Id="rId17" Type="http://schemas.openxmlformats.org/officeDocument/2006/relationships/hyperlink" Target="https://pmc.ncbi.nlm.nih.gov/articles/PMC6032822/" TargetMode="External"/><Relationship Id="rId18" Type="http://schemas.openxmlformats.org/officeDocument/2006/relationships/hyperlink" Target="https://www.quanticate.com/blog/wearables-in-clinical-trials" TargetMode="External"/><Relationship Id="rId19" Type="http://schemas.openxmlformats.org/officeDocument/2006/relationships/hyperlink" Target="https://www.medpace.com/core-lab/wearable-biosensor-technology/" TargetMode="External"/><Relationship Id="rId20" Type="http://schemas.openxmlformats.org/officeDocument/2006/relationships/hyperlink" Target="https://www.genengnews.com/topics/artificial-intelligence/laboratory-automation-reaches-every-stage-of-drug-development/" TargetMode="External"/><Relationship Id="rId21" Type="http://schemas.openxmlformats.org/officeDocument/2006/relationships/hyperlink" Target="https://www.linkedin.com/pulse/future-ai-driven-laboratory-automation-life-sciences-pharma-maleki-x8w4e" TargetMode="External"/><Relationship Id="rId22" Type="http://schemas.openxmlformats.org/officeDocument/2006/relationships/hyperlink" Target="https://news.mit.edu/2024/smarter-way-streamline-drug-discovery-0617" TargetMode="External"/><Relationship Id="rId23" Type="http://schemas.openxmlformats.org/officeDocument/2006/relationships/hyperlink" Target="https://www.artixio.com/post/the-use-of-virtual-reality-vr-and-augmented-reality-ar-in-pharma-training-and-education" TargetMode="External"/><Relationship Id="rId24" Type="http://schemas.openxmlformats.org/officeDocument/2006/relationships/hyperlink" Target="https://immerse.io/vr-for-pharmaceutical-industr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2025-06-05T15:12:17.304Z</dcterms:created>
  <dcterms:modified xsi:type="dcterms:W3CDTF">2025-06-05T15:12:17.304Z</dcterms:modified>
</cp:coreProperties>
</file>