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da5d5840b089cde2a8be710b1d0b481675af84ec.png"/>
            <a:graphic>
              <a:graphicData uri="http://schemas.openxmlformats.org/drawingml/2006/picture">
                <pic:pic>
                  <pic:nvPicPr>
                    <pic:cNvPr id="1" name="image-da5d5840b089cde2a8be710b1d0b481675af84ec.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I want to understand the current emerging techs and ideas in the CES 2025 or from other places, as my senior research fellow, chart out all the techs, ideas in a tabular format, mentioning the emerging techs / ideas / tools. Use case where it can be used for. Particularly for Pharma industry and mentioning which all places it can applied too. Add in the tech limitations and challenges and ways of implementation</w:t>
      </w:r>
    </w:p>
    <w:p>
      <w:pPr>
        <w:spacing w:line="360" w:after="210" w:lineRule="auto"/>
      </w:pPr>
      <w:r>
        <w:rPr>
          <w:rFonts w:eastAsia="inter" w:cs="inter" w:ascii="inter" w:hAnsi="inter"/>
          <w:color w:val="000000"/>
        </w:rPr>
        <w:t xml:space="preserve">Here’s a structured analysis of emerging technologies from CES 2025 and adjacent innovations, focusing on pharmaceutical applications, limitations, and implementation strategies:</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1902"/>
        <w:gridCol w:w="1902"/>
        <w:gridCol w:w="1902"/>
        <w:gridCol w:w="1902"/>
        <w:gridCol w:w="1902"/>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Emerging Tech/Idea</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Pharma Use Cases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Other Applications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Tech Limitations/Challenges</w:t>
            </w:r>
          </w:p>
        </w:tc>
        <w:tc>
          <w:tcPr>
            <w:tcBorders>
              <w:top w:val="single" w:sz="1" w:space="0" w:color="000000"/>
              <w:bottom w:val="single" w:sz="1" w:space="0" w:color="000000"/>
            </w:tcBorders>
          </w:tcPr>
          <w:p>
            <w:pPr>
              <w:spacing w:line="360" w:lineRule="auto"/>
            </w:pPr>
            <w:r>
              <w:rPr>
                <w:rFonts w:eastAsia="inter" w:cs="inter" w:ascii="inter" w:hAnsi="inter"/>
                <w:b/>
                <w:color w:val="000000"/>
                <w:sz w:val="17"/>
              </w:rPr>
              <w:t xml:space="preserve">Implementation Strategies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Agentic AI</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 Autonomous clinical trial management</w:t>
            </w:r>
          </w:p>
          <w:p>
            <w:pPr>
              <w:spacing w:line="360" w:lineRule="auto"/>
            </w:pPr>
            <w:r>
              <w:rPr>
                <w:rFonts w:eastAsia="inter" w:cs="inter" w:ascii="inter" w:hAnsi="inter"/>
                <w:color w:val="000000"/>
                <w:sz w:val="17"/>
              </w:rPr>
              <w:t xml:space="preserve"> - Drug repurposing via real-world data analysis</w:t>
            </w:r>
          </w:p>
          <w:p>
            <w:pPr>
              <w:spacing w:line="360" w:lineRule="auto"/>
            </w:pPr>
            <w:r>
              <w:rPr>
                <w:rFonts w:eastAsia="inter" w:cs="inter" w:ascii="inter" w:hAnsi="inter"/>
                <w:color w:val="000000"/>
                <w:sz w:val="17"/>
              </w:rPr>
              <w:t xml:space="preserve"> - Pharmacovigilance automation </w:t>
            </w:r>
            <w:hyperlink w:anchor="fn1">
              <w:r>
                <w:rPr>
                  <w:rFonts w:eastAsia="inter" w:cs="inter" w:ascii="inter" w:hAnsi="inter"/>
                  <w:color w:val="#000"/>
                  <w:sz w:val="17"/>
                  <w:u w:val="single"/>
                  <w:vertAlign w:val="superscript"/>
                </w:rPr>
                <w:t xml:space="preserve">[1]</w:t>
              </w:r>
            </w:hyperlink>
            <w:hyperlink w:anchor="fn2">
              <w:r>
                <w:rPr>
                  <w:rFonts w:eastAsia="inter" w:cs="inter" w:ascii="inter" w:hAnsi="inter"/>
                  <w:color w:val="#000"/>
                  <w:sz w:val="17"/>
                  <w:u w:val="single"/>
                  <w:vertAlign w:val="superscript"/>
                </w:rPr>
                <w:t xml:space="preserve">[2]</w:t>
              </w:r>
            </w:hyperlink>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Healthcare diagnostics, Supply chain optimization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 Regulatory compliance risks</w:t>
            </w:r>
          </w:p>
          <w:p>
            <w:pPr>
              <w:spacing w:line="360" w:lineRule="auto"/>
            </w:pPr>
            <w:r>
              <w:rPr>
                <w:rFonts w:eastAsia="inter" w:cs="inter" w:ascii="inter" w:hAnsi="inter"/>
                <w:color w:val="000000"/>
                <w:sz w:val="17"/>
              </w:rPr>
              <w:t xml:space="preserve"> - Data privacy concerns</w:t>
            </w:r>
          </w:p>
          <w:p>
            <w:pPr>
              <w:spacing w:line="360" w:lineRule="auto"/>
            </w:pPr>
            <w:r>
              <w:rPr>
                <w:rFonts w:eastAsia="inter" w:cs="inter" w:ascii="inter" w:hAnsi="inter"/>
                <w:color w:val="000000"/>
                <w:sz w:val="17"/>
              </w:rPr>
              <w:t xml:space="preserve"> - High computational costs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 Integrate with EHR/LIMS systems</w:t>
            </w:r>
          </w:p>
          <w:p>
            <w:pPr>
              <w:spacing w:line="360" w:lineRule="auto"/>
            </w:pPr>
            <w:r>
              <w:rPr>
                <w:rFonts w:eastAsia="inter" w:cs="inter" w:ascii="inter" w:hAnsi="inter"/>
                <w:color w:val="000000"/>
                <w:sz w:val="17"/>
              </w:rPr>
              <w:t xml:space="preserve"> - Develop ethical AI governance frameworks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Quantum Computing</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 Simulating ligand-protein binding dynamics</w:t>
            </w:r>
          </w:p>
          <w:p>
            <w:pPr>
              <w:spacing w:line="360" w:lineRule="auto"/>
            </w:pPr>
            <w:r>
              <w:rPr>
                <w:rFonts w:eastAsia="inter" w:cs="inter" w:ascii="inter" w:hAnsi="inter"/>
                <w:color w:val="000000"/>
                <w:sz w:val="17"/>
              </w:rPr>
              <w:t xml:space="preserve"> - RNA folding prediction for mRNA drugs </w:t>
            </w:r>
            <w:hyperlink w:anchor="fn3">
              <w:r>
                <w:rPr>
                  <w:rFonts w:eastAsia="inter" w:cs="inter" w:ascii="inter" w:hAnsi="inter"/>
                  <w:color w:val="#000"/>
                  <w:sz w:val="17"/>
                  <w:u w:val="single"/>
                  <w:vertAlign w:val="superscript"/>
                </w:rPr>
                <w:t xml:space="preserve">[3]</w:t>
              </w:r>
            </w:hyperlink>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Cryptography, Financial modeling</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 Limited qubit stability</w:t>
            </w:r>
          </w:p>
          <w:p>
            <w:pPr>
              <w:spacing w:line="360" w:lineRule="auto"/>
            </w:pPr>
            <w:r>
              <w:rPr>
                <w:rFonts w:eastAsia="inter" w:cs="inter" w:ascii="inter" w:hAnsi="inter"/>
                <w:color w:val="000000"/>
                <w:sz w:val="17"/>
              </w:rPr>
              <w:t xml:space="preserve"> - High infrastructure costs</w:t>
            </w:r>
          </w:p>
          <w:p>
            <w:pPr>
              <w:spacing w:line="360" w:lineRule="auto"/>
            </w:pPr>
            <w:r>
              <w:rPr>
                <w:rFonts w:eastAsia="inter" w:cs="inter" w:ascii="inter" w:hAnsi="inter"/>
                <w:color w:val="000000"/>
                <w:sz w:val="17"/>
              </w:rPr>
              <w:t xml:space="preserve"> - Specialized skill gaps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 Partner with quantum providers (IBM, Pasqal)</w:t>
            </w:r>
          </w:p>
          <w:p>
            <w:pPr>
              <w:spacing w:line="360" w:lineRule="auto"/>
            </w:pPr>
            <w:r>
              <w:rPr>
                <w:rFonts w:eastAsia="inter" w:cs="inter" w:ascii="inter" w:hAnsi="inter"/>
                <w:color w:val="000000"/>
                <w:sz w:val="17"/>
              </w:rPr>
              <w:t xml:space="preserve"> - Adopt hybrid quantum-classical systems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Digital Twins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 Bioreactor process optimization</w:t>
            </w:r>
          </w:p>
          <w:p>
            <w:pPr>
              <w:spacing w:line="360" w:lineRule="auto"/>
            </w:pPr>
            <w:r>
              <w:rPr>
                <w:rFonts w:eastAsia="inter" w:cs="inter" w:ascii="inter" w:hAnsi="inter"/>
                <w:color w:val="000000"/>
                <w:sz w:val="17"/>
              </w:rPr>
              <w:t xml:space="preserve"> - Patient-specific treatment simulations </w:t>
            </w:r>
            <w:hyperlink w:anchor="fn4">
              <w:r>
                <w:rPr>
                  <w:rFonts w:eastAsia="inter" w:cs="inter" w:ascii="inter" w:hAnsi="inter"/>
                  <w:color w:val="#000"/>
                  <w:sz w:val="17"/>
                  <w:u w:val="single"/>
                  <w:vertAlign w:val="superscript"/>
                </w:rPr>
                <w:t xml:space="preserve">[4]</w:t>
              </w:r>
            </w:hyperlink>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Manufacturing, Smart cities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 Data integration complexity</w:t>
            </w:r>
          </w:p>
          <w:p>
            <w:pPr>
              <w:spacing w:line="360" w:lineRule="auto"/>
            </w:pPr>
            <w:r>
              <w:rPr>
                <w:rFonts w:eastAsia="inter" w:cs="inter" w:ascii="inter" w:hAnsi="inter"/>
                <w:color w:val="000000"/>
                <w:sz w:val="17"/>
              </w:rPr>
              <w:t xml:space="preserve"> - High computational demand</w:t>
            </w:r>
          </w:p>
          <w:p>
            <w:pPr>
              <w:spacing w:line="360" w:lineRule="auto"/>
            </w:pPr>
            <w:r>
              <w:rPr>
                <w:rFonts w:eastAsia="inter" w:cs="inter" w:ascii="inter" w:hAnsi="inter"/>
                <w:color w:val="000000"/>
                <w:sz w:val="17"/>
              </w:rPr>
              <w:t xml:space="preserve"> - Model validation issues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 Deploy IoT sensors in labs</w:t>
            </w:r>
          </w:p>
          <w:p>
            <w:pPr>
              <w:spacing w:line="360" w:lineRule="auto"/>
            </w:pPr>
            <w:r>
              <w:rPr>
                <w:rFonts w:eastAsia="inter" w:cs="inter" w:ascii="inter" w:hAnsi="inter"/>
                <w:color w:val="000000"/>
                <w:sz w:val="17"/>
              </w:rPr>
              <w:t xml:space="preserve"> - Use ML for predictive analytics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Neuromorphic Computing</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 High-throughput compound screening (e.g., SpiNNaker2)</w:t>
            </w:r>
          </w:p>
          <w:p>
            <w:pPr>
              <w:spacing w:line="360" w:lineRule="auto"/>
            </w:pPr>
            <w:r>
              <w:rPr>
                <w:rFonts w:eastAsia="inter" w:cs="inter" w:ascii="inter" w:hAnsi="inter"/>
                <w:color w:val="000000"/>
                <w:sz w:val="17"/>
              </w:rPr>
              <w:t xml:space="preserve"> - Adverse event prediction </w:t>
            </w:r>
            <w:hyperlink w:anchor="fn5">
              <w:r>
                <w:rPr>
                  <w:rFonts w:eastAsia="inter" w:cs="inter" w:ascii="inter" w:hAnsi="inter"/>
                  <w:color w:val="#000"/>
                  <w:sz w:val="17"/>
                  <w:u w:val="single"/>
                  <w:vertAlign w:val="superscript"/>
                </w:rPr>
                <w:t xml:space="preserve">[5]</w:t>
              </w:r>
            </w:hyperlink>
            <w:hyperlink w:anchor="fn6">
              <w:r>
                <w:rPr>
                  <w:rFonts w:eastAsia="inter" w:cs="inter" w:ascii="inter" w:hAnsi="inter"/>
                  <w:color w:val="#000"/>
                  <w:sz w:val="17"/>
                  <w:u w:val="single"/>
                  <w:vertAlign w:val="superscript"/>
                </w:rPr>
                <w:t xml:space="preserve">[6]</w:t>
              </w:r>
            </w:hyperlink>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Autonomous vehicles, IoT devices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 Limited hardware availability</w:t>
            </w:r>
          </w:p>
          <w:p>
            <w:pPr>
              <w:spacing w:line="360" w:lineRule="auto"/>
            </w:pPr>
            <w:r>
              <w:rPr>
                <w:rFonts w:eastAsia="inter" w:cs="inter" w:ascii="inter" w:hAnsi="inter"/>
                <w:color w:val="000000"/>
                <w:sz w:val="17"/>
              </w:rPr>
              <w:t xml:space="preserve"> - Algorithm compatibility issues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 Collaborate with neuromorphic chip developers</w:t>
            </w:r>
          </w:p>
          <w:p>
            <w:pPr>
              <w:spacing w:line="360" w:lineRule="auto"/>
            </w:pPr>
            <w:r>
              <w:rPr>
                <w:rFonts w:eastAsia="inter" w:cs="inter" w:ascii="inter" w:hAnsi="inter"/>
                <w:color w:val="000000"/>
                <w:sz w:val="17"/>
              </w:rPr>
              <w:t xml:space="preserve"> - Optimize DNNs for parallel processing</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Wearable Biosensors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 Decentralized trial glucose monitoring (Dexcom Stelo)</w:t>
            </w:r>
          </w:p>
          <w:p>
            <w:pPr>
              <w:spacing w:line="360" w:lineRule="auto"/>
            </w:pPr>
            <w:r>
              <w:rPr>
                <w:rFonts w:eastAsia="inter" w:cs="inter" w:ascii="inter" w:hAnsi="inter"/>
                <w:color w:val="000000"/>
                <w:sz w:val="17"/>
              </w:rPr>
              <w:t xml:space="preserve"> - Digital endpoints for neurodegeneration </w:t>
            </w:r>
            <w:hyperlink w:anchor="fn7">
              <w:r>
                <w:rPr>
                  <w:rFonts w:eastAsia="inter" w:cs="inter" w:ascii="inter" w:hAnsi="inter"/>
                  <w:color w:val="#000"/>
                  <w:sz w:val="17"/>
                  <w:u w:val="single"/>
                  <w:vertAlign w:val="superscript"/>
                </w:rPr>
                <w:t xml:space="preserve">[7]</w:t>
              </w:r>
            </w:hyperlink>
            <w:hyperlink w:anchor="fn8">
              <w:r>
                <w:rPr>
                  <w:rFonts w:eastAsia="inter" w:cs="inter" w:ascii="inter" w:hAnsi="inter"/>
                  <w:color w:val="#000"/>
                  <w:sz w:val="17"/>
                  <w:u w:val="single"/>
                  <w:vertAlign w:val="superscript"/>
                </w:rPr>
                <w:t xml:space="preserve">[8]</w:t>
              </w:r>
            </w:hyperlink>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Fitness tracking, Chronic disease management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 Biofluid-blood correlation gaps</w:t>
            </w:r>
          </w:p>
          <w:p>
            <w:pPr>
              <w:spacing w:line="360" w:lineRule="auto"/>
            </w:pPr>
            <w:r>
              <w:rPr>
                <w:rFonts w:eastAsia="inter" w:cs="inter" w:ascii="inter" w:hAnsi="inter"/>
                <w:color w:val="000000"/>
                <w:sz w:val="17"/>
              </w:rPr>
              <w:t xml:space="preserve"> - Short battery life</w:t>
            </w:r>
          </w:p>
          <w:p>
            <w:pPr>
              <w:spacing w:line="360" w:lineRule="auto"/>
            </w:pPr>
            <w:r>
              <w:rPr>
                <w:rFonts w:eastAsia="inter" w:cs="inter" w:ascii="inter" w:hAnsi="inter"/>
                <w:color w:val="000000"/>
                <w:sz w:val="17"/>
              </w:rPr>
              <w:t xml:space="preserve"> - User compliance challenges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 Integrate with AI analytics platforms</w:t>
            </w:r>
          </w:p>
          <w:p>
            <w:pPr>
              <w:spacing w:line="360" w:lineRule="auto"/>
            </w:pPr>
            <w:r>
              <w:rPr>
                <w:rFonts w:eastAsia="inter" w:cs="inter" w:ascii="inter" w:hAnsi="inter"/>
                <w:color w:val="000000"/>
                <w:sz w:val="17"/>
              </w:rPr>
              <w:t xml:space="preserve"> - Train healthcare staff on data interpretation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AI-Driven Lab Automation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 High-throughput screening (Recursion Pharma)</w:t>
            </w:r>
          </w:p>
          <w:p>
            <w:pPr>
              <w:spacing w:line="360" w:lineRule="auto"/>
            </w:pPr>
            <w:r>
              <w:rPr>
                <w:rFonts w:eastAsia="inter" w:cs="inter" w:ascii="inter" w:hAnsi="inter"/>
                <w:color w:val="000000"/>
                <w:sz w:val="17"/>
              </w:rPr>
              <w:t xml:space="preserve"> - Robotic synthesis planning </w:t>
            </w:r>
            <w:hyperlink w:anchor="fn9">
              <w:r>
                <w:rPr>
                  <w:rFonts w:eastAsia="inter" w:cs="inter" w:ascii="inter" w:hAnsi="inter"/>
                  <w:color w:val="#000"/>
                  <w:sz w:val="17"/>
                  <w:u w:val="single"/>
                  <w:vertAlign w:val="superscript"/>
                </w:rPr>
                <w:t xml:space="preserve">[9]</w:t>
              </w:r>
            </w:hyperlink>
            <w:hyperlink w:anchor="fn10">
              <w:r>
                <w:rPr>
                  <w:rFonts w:eastAsia="inter" w:cs="inter" w:ascii="inter" w:hAnsi="inter"/>
                  <w:color w:val="#000"/>
                  <w:sz w:val="17"/>
                  <w:u w:val="single"/>
                  <w:vertAlign w:val="superscript"/>
                </w:rPr>
                <w:t xml:space="preserve">[10]</w:t>
              </w:r>
            </w:hyperlink>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Chemical engineering, Materials science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 High upfront costs ($2M+/lab)</w:t>
            </w:r>
          </w:p>
          <w:p>
            <w:pPr>
              <w:spacing w:line="360" w:lineRule="auto"/>
            </w:pPr>
            <w:r>
              <w:rPr>
                <w:rFonts w:eastAsia="inter" w:cs="inter" w:ascii="inter" w:hAnsi="inter"/>
                <w:color w:val="000000"/>
                <w:sz w:val="17"/>
              </w:rPr>
              <w:t xml:space="preserve"> - Maintenance complexity</w:t>
            </w:r>
          </w:p>
          <w:p>
            <w:pPr>
              <w:spacing w:line="360" w:lineRule="auto"/>
            </w:pPr>
            <w:r>
              <w:rPr>
                <w:rFonts w:eastAsia="inter" w:cs="inter" w:ascii="inter" w:hAnsi="inter"/>
                <w:color w:val="000000"/>
                <w:sz w:val="17"/>
              </w:rPr>
              <w:t xml:space="preserve"> - Limited flexibility</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 Adopt modular robotic systems</w:t>
            </w:r>
          </w:p>
          <w:p>
            <w:pPr>
              <w:spacing w:line="360" w:lineRule="auto"/>
            </w:pPr>
            <w:r>
              <w:rPr>
                <w:rFonts w:eastAsia="inter" w:cs="inter" w:ascii="inter" w:hAnsi="inter"/>
                <w:color w:val="000000"/>
                <w:sz w:val="17"/>
              </w:rPr>
              <w:t xml:space="preserve"> - Upskill lab technicians in AI oversight</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Extended Reality (XR)</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 Surgical training simulations</w:t>
            </w:r>
          </w:p>
          <w:p>
            <w:pPr>
              <w:spacing w:line="360" w:lineRule="auto"/>
            </w:pPr>
            <w:r>
              <w:rPr>
                <w:rFonts w:eastAsia="inter" w:cs="inter" w:ascii="inter" w:hAnsi="inter"/>
                <w:color w:val="000000"/>
                <w:sz w:val="17"/>
              </w:rPr>
              <w:t xml:space="preserve"> - Molecular structure visualization </w:t>
            </w:r>
            <w:hyperlink w:anchor="fn11">
              <w:r>
                <w:rPr>
                  <w:rFonts w:eastAsia="inter" w:cs="inter" w:ascii="inter" w:hAnsi="inter"/>
                  <w:color w:val="#000"/>
                  <w:sz w:val="17"/>
                  <w:u w:val="single"/>
                  <w:vertAlign w:val="superscript"/>
                </w:rPr>
                <w:t xml:space="preserve">[11]</w:t>
              </w:r>
            </w:hyperlink>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Engineering design, Retail</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 Hardware bulkiness</w:t>
            </w:r>
          </w:p>
          <w:p>
            <w:pPr>
              <w:spacing w:line="360" w:lineRule="auto"/>
            </w:pPr>
            <w:r>
              <w:rPr>
                <w:rFonts w:eastAsia="inter" w:cs="inter" w:ascii="inter" w:hAnsi="inter"/>
                <w:color w:val="000000"/>
                <w:sz w:val="17"/>
              </w:rPr>
              <w:t xml:space="preserve"> - Motion sickness</w:t>
            </w:r>
          </w:p>
          <w:p>
            <w:pPr>
              <w:spacing w:line="360" w:lineRule="auto"/>
            </w:pPr>
            <w:r>
              <w:rPr>
                <w:rFonts w:eastAsia="inter" w:cs="inter" w:ascii="inter" w:hAnsi="inter"/>
                <w:color w:val="000000"/>
                <w:sz w:val="17"/>
              </w:rPr>
              <w:t xml:space="preserve"> - High GPU requirements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 Start with AR-assisted equipment training</w:t>
            </w:r>
          </w:p>
          <w:p>
            <w:pPr>
              <w:spacing w:line="360" w:lineRule="auto"/>
            </w:pPr>
            <w:r>
              <w:rPr>
                <w:rFonts w:eastAsia="inter" w:cs="inter" w:ascii="inter" w:hAnsi="inter"/>
                <w:color w:val="000000"/>
                <w:sz w:val="17"/>
              </w:rPr>
              <w:t xml:space="preserve"> - Partner with XR platforms (Microsoft HoloLens)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Blockchain &amp; Post-Quantum Cryptography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 Clinical trial data security</w:t>
            </w:r>
          </w:p>
          <w:p>
            <w:pPr>
              <w:spacing w:line="360" w:lineRule="auto"/>
            </w:pPr>
            <w:r>
              <w:rPr>
                <w:rFonts w:eastAsia="inter" w:cs="inter" w:ascii="inter" w:hAnsi="inter"/>
                <w:color w:val="000000"/>
                <w:sz w:val="17"/>
              </w:rPr>
              <w:t xml:space="preserve"> - Anti-counterfeit drug tracking </w:t>
            </w:r>
            <w:hyperlink w:anchor="fn12">
              <w:r>
                <w:rPr>
                  <w:rFonts w:eastAsia="inter" w:cs="inter" w:ascii="inter" w:hAnsi="inter"/>
                  <w:color w:val="#000"/>
                  <w:sz w:val="17"/>
                  <w:u w:val="single"/>
                  <w:vertAlign w:val="superscript"/>
                </w:rPr>
                <w:t xml:space="preserve">[12]</w:t>
              </w:r>
            </w:hyperlink>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Financial transactions, IoT security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 Scalability issues</w:t>
            </w:r>
          </w:p>
          <w:p>
            <w:pPr>
              <w:spacing w:line="360" w:lineRule="auto"/>
            </w:pPr>
            <w:r>
              <w:rPr>
                <w:rFonts w:eastAsia="inter" w:cs="inter" w:ascii="inter" w:hAnsi="inter"/>
                <w:color w:val="000000"/>
                <w:sz w:val="17"/>
              </w:rPr>
              <w:t xml:space="preserve"> - Energy-intensive consensus mechanisms</w:t>
            </w:r>
          </w:p>
          <w:p>
            <w:pPr>
              <w:spacing w:line="360" w:lineRule="auto"/>
            </w:pPr>
            <w:r>
              <w:rPr>
                <w:rFonts w:eastAsia="inter" w:cs="inter" w:ascii="inter" w:hAnsi="inter"/>
                <w:color w:val="000000"/>
                <w:sz w:val="17"/>
              </w:rPr>
              <w:t xml:space="preserve"> - Regulatory uncertainty</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 Pilot private/permissioned chains</w:t>
            </w:r>
          </w:p>
          <w:p>
            <w:pPr>
              <w:spacing w:line="360" w:lineRule="auto"/>
            </w:pPr>
            <w:r>
              <w:rPr>
                <w:rFonts w:eastAsia="inter" w:cs="inter" w:ascii="inter" w:hAnsi="inter"/>
                <w:color w:val="000000"/>
                <w:sz w:val="17"/>
              </w:rPr>
              <w:t xml:space="preserve"> - Train IT teams on quantum-resistant algorithms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Robotic Process Automation (RPA)</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 Automated batch record reviews</w:t>
            </w:r>
          </w:p>
          <w:p>
            <w:pPr>
              <w:spacing w:line="360" w:lineRule="auto"/>
            </w:pPr>
            <w:r>
              <w:rPr>
                <w:rFonts w:eastAsia="inter" w:cs="inter" w:ascii="inter" w:hAnsi="inter"/>
                <w:color w:val="000000"/>
                <w:sz w:val="17"/>
              </w:rPr>
              <w:t xml:space="preserve"> - Regulatory submission formatting </w:t>
            </w:r>
            <w:hyperlink w:anchor="fn10">
              <w:r>
                <w:rPr>
                  <w:rFonts w:eastAsia="inter" w:cs="inter" w:ascii="inter" w:hAnsi="inter"/>
                  <w:color w:val="#000"/>
                  <w:sz w:val="17"/>
                  <w:u w:val="single"/>
                  <w:vertAlign w:val="superscript"/>
                </w:rPr>
                <w:t xml:space="preserve">[10]</w:t>
              </w:r>
            </w:hyperlink>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Banking, Insurance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 Struggles with unstructured data</w:t>
            </w:r>
          </w:p>
          <w:p>
            <w:pPr>
              <w:spacing w:line="360" w:lineRule="auto"/>
            </w:pPr>
            <w:r>
              <w:rPr>
                <w:rFonts w:eastAsia="inter" w:cs="inter" w:ascii="inter" w:hAnsi="inter"/>
                <w:color w:val="000000"/>
                <w:sz w:val="17"/>
              </w:rPr>
              <w:t xml:space="preserve"> - Requires process standardization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 Map high-volume repetitive tasks first</w:t>
            </w:r>
          </w:p>
          <w:p>
            <w:pPr>
              <w:spacing w:line="360" w:lineRule="auto"/>
            </w:pPr>
            <w:r>
              <w:rPr>
                <w:rFonts w:eastAsia="inter" w:cs="inter" w:ascii="inter" w:hAnsi="inter"/>
                <w:color w:val="000000"/>
                <w:sz w:val="17"/>
              </w:rPr>
              <w:t xml:space="preserve"> - Implement RPA with human validation checkpoints</w:t>
            </w:r>
          </w:p>
        </w:tc>
      </w:tr>
    </w:tbl>
    <w:p>
      <w:pPr>
        <w:spacing w:lineRule="auto"/>
      </w:pPr>
    </w:p>
    <w:p>
      <w:pPr>
        <w:spacing w:line="360" w:before="315" w:after="105" w:lineRule="auto"/>
        <w:ind w:left="-30"/>
        <w:jc w:val="left"/>
      </w:pPr>
      <w:r>
        <w:rPr>
          <w:rFonts w:eastAsia="inter" w:cs="inter" w:ascii="inter" w:hAnsi="inter"/>
          <w:b/>
          <w:color w:val="000000"/>
          <w:sz w:val="24"/>
        </w:rPr>
        <w:t xml:space="preserve">Key Observations for Pharma:</w:t>
      </w:r>
    </w:p>
    <w:p>
      <w:pPr>
        <w:numPr>
          <w:ilvl w:val="0"/>
          <w:numId w:val="1"/>
        </w:numPr>
        <w:spacing w:line="360" w:before="105" w:after="105" w:lineRule="auto"/>
      </w:pPr>
      <w:r>
        <w:rPr>
          <w:rFonts w:eastAsia="inter" w:cs="inter" w:ascii="inter" w:hAnsi="inter"/>
          <w:b/>
          <w:color w:val="000000"/>
          <w:sz w:val="21"/>
        </w:rPr>
        <w:t xml:space="preserve">Cost vs. ROI</w:t>
      </w:r>
      <w:r>
        <w:rPr>
          <w:rFonts w:eastAsia="inter" w:cs="inter" w:ascii="inter" w:hAnsi="inter"/>
          <w:color w:val="000000"/>
          <w:sz w:val="21"/>
        </w:rPr>
        <w:t xml:space="preserve">: Quantum computing and neuromorphic systems require significant investment but promise 30-50% faster drug discovery cycles </w:t>
      </w:r>
      <w:bookmarkStart w:id="0" w:name="fnref3:1"/>
      <w:bookmarkEnd w:id="0"/>
      <w:hyperlink w:anchor="fn3">
        <w:r>
          <w:rPr>
            <w:rFonts w:eastAsia="inter" w:cs="inter" w:ascii="inter" w:hAnsi="inter"/>
            <w:color w:val="#000"/>
            <w:sz w:val="21"/>
            <w:u w:val="single"/>
            <w:vertAlign w:val="superscript"/>
          </w:rPr>
          <w:t xml:space="preserve">[3]</w:t>
        </w:r>
      </w:hyperlink>
      <w:bookmarkStart w:id="1" w:name="fnref6:1"/>
      <w:bookmarkEnd w:id="1"/>
      <w:hyperlink w:anchor="fn6">
        <w:r>
          <w:rPr>
            <w:rFonts w:eastAsia="inter" w:cs="inter" w:ascii="inter" w:hAnsi="inter"/>
            <w:color w:val="#000"/>
            <w:sz w:val="21"/>
            <w:u w:val="single"/>
            <w:vertAlign w:val="superscript"/>
          </w:rPr>
          <w:t xml:space="preserve">[6]</w:t>
        </w:r>
      </w:hyperlink>
      <w:r>
        <w:rPr>
          <w:rFonts w:eastAsia="inter" w:cs="inter" w:ascii="inter" w:hAnsi="inter"/>
          <w:color w:val="000000"/>
          <w:sz w:val="21"/>
        </w:rPr>
        <w:t xml:space="preserve">.</w:t>
      </w:r>
    </w:p>
    <w:p>
      <w:pPr>
        <w:numPr>
          <w:ilvl w:val="0"/>
          <w:numId w:val="1"/>
        </w:numPr>
        <w:spacing w:line="360" w:before="105" w:after="105" w:lineRule="auto"/>
      </w:pPr>
      <w:r>
        <w:rPr>
          <w:rFonts w:eastAsia="inter" w:cs="inter" w:ascii="inter" w:hAnsi="inter"/>
          <w:b/>
          <w:color w:val="000000"/>
          <w:sz w:val="21"/>
        </w:rPr>
        <w:t xml:space="preserve">Regulatory Hurdles</w:t>
      </w:r>
      <w:r>
        <w:rPr>
          <w:rFonts w:eastAsia="inter" w:cs="inter" w:ascii="inter" w:hAnsi="inter"/>
          <w:color w:val="000000"/>
          <w:sz w:val="21"/>
        </w:rPr>
        <w:t xml:space="preserve">: Agentic AI and blockchain need alignment with FDA 21 CFR Part 11 and GDPR compliance </w:t>
      </w:r>
      <w:bookmarkStart w:id="2" w:name="fnref1:1"/>
      <w:bookmarkEnd w:id="2"/>
      <w:hyperlink w:anchor="fn1">
        <w:r>
          <w:rPr>
            <w:rFonts w:eastAsia="inter" w:cs="inter" w:ascii="inter" w:hAnsi="inter"/>
            <w:color w:val="#000"/>
            <w:sz w:val="21"/>
            <w:u w:val="single"/>
            <w:vertAlign w:val="superscript"/>
          </w:rPr>
          <w:t xml:space="preserve">[1]</w:t>
        </w:r>
      </w:hyperlink>
      <w:bookmarkStart w:id="3" w:name="fnref2:1"/>
      <w:bookmarkEnd w:id="3"/>
      <w:hyperlink w:anchor="fn2">
        <w:r>
          <w:rPr>
            <w:rFonts w:eastAsia="inter" w:cs="inter" w:ascii="inter" w:hAnsi="inter"/>
            <w:color w:val="#000"/>
            <w:sz w:val="21"/>
            <w:u w:val="single"/>
            <w:vertAlign w:val="superscript"/>
          </w:rPr>
          <w:t xml:space="preserve">[2]</w:t>
        </w:r>
      </w:hyperlink>
      <w:r>
        <w:rPr>
          <w:rFonts w:eastAsia="inter" w:cs="inter" w:ascii="inter" w:hAnsi="inter"/>
          <w:color w:val="000000"/>
          <w:sz w:val="21"/>
        </w:rPr>
        <w:t xml:space="preserve">.</w:t>
      </w:r>
    </w:p>
    <w:p>
      <w:pPr>
        <w:numPr>
          <w:ilvl w:val="0"/>
          <w:numId w:val="1"/>
        </w:numPr>
        <w:spacing w:line="360" w:before="105" w:after="105" w:lineRule="auto"/>
      </w:pPr>
      <w:r>
        <w:rPr>
          <w:rFonts w:eastAsia="inter" w:cs="inter" w:ascii="inter" w:hAnsi="inter"/>
          <w:b/>
          <w:color w:val="000000"/>
          <w:sz w:val="21"/>
        </w:rPr>
        <w:t xml:space="preserve">Skill Gaps</w:t>
      </w:r>
      <w:r>
        <w:rPr>
          <w:rFonts w:eastAsia="inter" w:cs="inter" w:ascii="inter" w:hAnsi="inter"/>
          <w:color w:val="000000"/>
          <w:sz w:val="21"/>
        </w:rPr>
        <w:t xml:space="preserve">: 68% of pharma firms lack in-house expertise for AI/quantum integration; partnerships with tech firms are critical </w:t>
      </w:r>
      <w:bookmarkStart w:id="4" w:name="fnref4:1"/>
      <w:bookmarkEnd w:id="4"/>
      <w:hyperlink w:anchor="fn4">
        <w:r>
          <w:rPr>
            <w:rFonts w:eastAsia="inter" w:cs="inter" w:ascii="inter" w:hAnsi="inter"/>
            <w:color w:val="#000"/>
            <w:sz w:val="21"/>
            <w:u w:val="single"/>
            <w:vertAlign w:val="superscript"/>
          </w:rPr>
          <w:t xml:space="preserve">[4]</w:t>
        </w:r>
      </w:hyperlink>
      <w:bookmarkStart w:id="5" w:name="fnref9:1"/>
      <w:bookmarkEnd w:id="5"/>
      <w:hyperlink w:anchor="fn9">
        <w:r>
          <w:rPr>
            <w:rFonts w:eastAsia="inter" w:cs="inter" w:ascii="inter" w:hAnsi="inter"/>
            <w:color w:val="#000"/>
            <w:sz w:val="21"/>
            <w:u w:val="single"/>
            <w:vertAlign w:val="superscript"/>
          </w:rPr>
          <w:t xml:space="preserve">[9]</w:t>
        </w:r>
      </w:hyperlink>
      <w:r>
        <w:rPr>
          <w:rFonts w:eastAsia="inter" w:cs="inter" w:ascii="inter" w:hAnsi="inter"/>
          <w:color w:val="000000"/>
          <w:sz w:val="21"/>
        </w:rPr>
        <w:t xml:space="preserve">.</w:t>
      </w:r>
    </w:p>
    <w:p>
      <w:pPr>
        <w:numPr>
          <w:ilvl w:val="0"/>
          <w:numId w:val="1"/>
        </w:numPr>
        <w:spacing w:line="360" w:before="105" w:after="105" w:lineRule="auto"/>
      </w:pPr>
      <w:r>
        <w:rPr>
          <w:rFonts w:eastAsia="inter" w:cs="inter" w:ascii="inter" w:hAnsi="inter"/>
          <w:b/>
          <w:color w:val="000000"/>
          <w:sz w:val="21"/>
        </w:rPr>
        <w:t xml:space="preserve">Data Challenges</w:t>
      </w:r>
      <w:r>
        <w:rPr>
          <w:rFonts w:eastAsia="inter" w:cs="inter" w:ascii="inter" w:hAnsi="inter"/>
          <w:color w:val="000000"/>
          <w:sz w:val="21"/>
        </w:rPr>
        <w:t xml:space="preserve">: Wearables and digital twins generate 2-5TB/day per trial site, necessitating edge computing solutions </w:t>
      </w:r>
      <w:bookmarkStart w:id="6" w:name="fnref7:1"/>
      <w:bookmarkEnd w:id="6"/>
      <w:hyperlink w:anchor="fn7">
        <w:r>
          <w:rPr>
            <w:rFonts w:eastAsia="inter" w:cs="inter" w:ascii="inter" w:hAnsi="inter"/>
            <w:color w:val="#000"/>
            <w:sz w:val="21"/>
            <w:u w:val="single"/>
            <w:vertAlign w:val="superscript"/>
          </w:rPr>
          <w:t xml:space="preserve">[7]</w:t>
        </w:r>
      </w:hyperlink>
      <w:bookmarkStart w:id="7" w:name="fnref8:1"/>
      <w:bookmarkEnd w:id="7"/>
      <w:hyperlink w:anchor="fn8">
        <w:r>
          <w:rPr>
            <w:rFonts w:eastAsia="inter" w:cs="inter" w:ascii="inter" w:hAnsi="inter"/>
            <w:color w:val="#000"/>
            <w:sz w:val="21"/>
            <w:u w:val="single"/>
            <w:vertAlign w:val="superscript"/>
          </w:rPr>
          <w:t xml:space="preserve">[8]</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Implementation Roadmap:</w:t>
      </w:r>
    </w:p>
    <w:p>
      <w:pPr>
        <w:numPr>
          <w:ilvl w:val="0"/>
          <w:numId w:val="2"/>
        </w:numPr>
        <w:spacing w:line="360" w:before="105" w:after="105" w:lineRule="auto"/>
      </w:pPr>
      <w:r>
        <w:rPr>
          <w:rFonts w:eastAsia="inter" w:cs="inter" w:ascii="inter" w:hAnsi="inter"/>
          <w:b/>
          <w:color w:val="000000"/>
          <w:sz w:val="21"/>
        </w:rPr>
        <w:t xml:space="preserve">Pilot Programs</w:t>
      </w:r>
      <w:r>
        <w:rPr>
          <w:rFonts w:eastAsia="inter" w:cs="inter" w:ascii="inter" w:hAnsi="inter"/>
          <w:color w:val="000000"/>
          <w:sz w:val="21"/>
        </w:rPr>
        <w:t xml:space="preserve">: Start with low-risk areas (e.g., RPA for batch records) before scaling to AI/quantum systems.</w:t>
      </w:r>
    </w:p>
    <w:p>
      <w:pPr>
        <w:numPr>
          <w:ilvl w:val="0"/>
          <w:numId w:val="2"/>
        </w:numPr>
        <w:spacing w:line="360" w:before="105" w:after="105" w:lineRule="auto"/>
      </w:pPr>
      <w:r>
        <w:rPr>
          <w:rFonts w:eastAsia="inter" w:cs="inter" w:ascii="inter" w:hAnsi="inter"/>
          <w:b/>
          <w:color w:val="000000"/>
          <w:sz w:val="21"/>
        </w:rPr>
        <w:t xml:space="preserve">Cross-Industry Collaboration</w:t>
      </w:r>
      <w:r>
        <w:rPr>
          <w:rFonts w:eastAsia="inter" w:cs="inter" w:ascii="inter" w:hAnsi="inter"/>
          <w:color w:val="000000"/>
          <w:sz w:val="21"/>
        </w:rPr>
        <w:t xml:space="preserve">: Partner with NVIDIA (Cosmos AI), IBM Quantum, or startups like Qubit Pharmaceuticals </w:t>
      </w:r>
      <w:bookmarkStart w:id="8" w:name="fnref3:2"/>
      <w:bookmarkEnd w:id="8"/>
      <w:hyperlink w:anchor="fn3">
        <w:r>
          <w:rPr>
            <w:rFonts w:eastAsia="inter" w:cs="inter" w:ascii="inter" w:hAnsi="inter"/>
            <w:color w:val="#000"/>
            <w:sz w:val="21"/>
            <w:u w:val="single"/>
            <w:vertAlign w:val="superscript"/>
          </w:rPr>
          <w:t xml:space="preserve">[3]</w:t>
        </w:r>
      </w:hyperlink>
      <w:bookmarkStart w:id="9" w:name="fnref13"/>
      <w:bookmarkEnd w:id="9"/>
      <w:hyperlink w:anchor="fn13">
        <w:r>
          <w:rPr>
            <w:rFonts w:eastAsia="inter" w:cs="inter" w:ascii="inter" w:hAnsi="inter"/>
            <w:color w:val="#000"/>
            <w:sz w:val="21"/>
            <w:u w:val="single"/>
            <w:vertAlign w:val="superscript"/>
          </w:rPr>
          <w:t xml:space="preserve">[13]</w:t>
        </w:r>
      </w:hyperlink>
      <w:r>
        <w:rPr>
          <w:rFonts w:eastAsia="inter" w:cs="inter" w:ascii="inter" w:hAnsi="inter"/>
          <w:color w:val="000000"/>
          <w:sz w:val="21"/>
        </w:rPr>
        <w:t xml:space="preserve">.</w:t>
      </w:r>
    </w:p>
    <w:p>
      <w:pPr>
        <w:numPr>
          <w:ilvl w:val="0"/>
          <w:numId w:val="2"/>
        </w:numPr>
        <w:spacing w:line="360" w:before="105" w:after="105" w:lineRule="auto"/>
      </w:pPr>
      <w:r>
        <w:rPr>
          <w:rFonts w:eastAsia="inter" w:cs="inter" w:ascii="inter" w:hAnsi="inter"/>
          <w:b/>
          <w:color w:val="000000"/>
          <w:sz w:val="21"/>
        </w:rPr>
        <w:t xml:space="preserve">Talent Development</w:t>
      </w:r>
      <w:r>
        <w:rPr>
          <w:rFonts w:eastAsia="inter" w:cs="inter" w:ascii="inter" w:hAnsi="inter"/>
          <w:color w:val="000000"/>
          <w:sz w:val="21"/>
        </w:rPr>
        <w:t xml:space="preserve">: Invest in upskilling programs for computational biologists and AI ethicists.</w:t>
      </w:r>
    </w:p>
    <w:p>
      <w:pPr>
        <w:numPr>
          <w:ilvl w:val="0"/>
          <w:numId w:val="2"/>
        </w:numPr>
        <w:spacing w:line="360" w:before="105" w:after="105" w:lineRule="auto"/>
      </w:pPr>
      <w:r>
        <w:rPr>
          <w:rFonts w:eastAsia="inter" w:cs="inter" w:ascii="inter" w:hAnsi="inter"/>
          <w:b/>
          <w:color w:val="000000"/>
          <w:sz w:val="21"/>
        </w:rPr>
        <w:t xml:space="preserve">Infrastructure Modernization</w:t>
      </w:r>
      <w:r>
        <w:rPr>
          <w:rFonts w:eastAsia="inter" w:cs="inter" w:ascii="inter" w:hAnsi="inter"/>
          <w:color w:val="000000"/>
          <w:sz w:val="21"/>
        </w:rPr>
        <w:t xml:space="preserve">: Transition to cloud-native platforms with quantum-safe encryption by 2026 </w:t>
      </w:r>
      <w:bookmarkStart w:id="10" w:name="fnref12:1"/>
      <w:bookmarkEnd w:id="10"/>
      <w:hyperlink w:anchor="fn12">
        <w:r>
          <w:rPr>
            <w:rFonts w:eastAsia="inter" w:cs="inter" w:ascii="inter" w:hAnsi="inter"/>
            <w:color w:val="#000"/>
            <w:sz w:val="21"/>
            <w:u w:val="single"/>
            <w:vertAlign w:val="superscript"/>
          </w:rPr>
          <w:t xml:space="preserve">[12]</w:t>
        </w:r>
      </w:hyperlink>
      <w:bookmarkStart w:id="11" w:name="fnref14"/>
      <w:bookmarkEnd w:id="11"/>
      <w:hyperlink w:anchor="fn14">
        <w:r>
          <w:rPr>
            <w:rFonts w:eastAsia="inter" w:cs="inter" w:ascii="inter" w:hAnsi="inter"/>
            <w:color w:val="#000"/>
            <w:sz w:val="21"/>
            <w:u w:val="single"/>
            <w:vertAlign w:val="superscript"/>
          </w:rPr>
          <w:t xml:space="preserve">[14]</w:t>
        </w:r>
      </w:hyperlink>
      <w:r>
        <w:rPr>
          <w:rFonts w:eastAsia="inter" w:cs="inter" w:ascii="inter" w:hAnsi="inter"/>
          <w:color w:val="000000"/>
          <w:sz w:val="21"/>
        </w:rPr>
        <w:t xml:space="preserve">.</w:t>
      </w:r>
    </w:p>
    <w:p>
      <w:pPr>
        <w:spacing w:line="360" w:after="210" w:lineRule="auto"/>
      </w:pPr>
      <w:r>
        <w:rPr>
          <w:rFonts w:eastAsia="inter" w:cs="inter" w:ascii="inter" w:hAnsi="inter"/>
          <w:color w:val="000000"/>
        </w:rPr>
        <w:t xml:space="preserve">This analysis synthesizes CES 2025 innovations with practical pharma applications, addressing technical constraints and actionable adoption pathways.</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12" w:name="fn1"/>
    <w:bookmarkEnd w:id="12"/>
    <w:p>
      <w:pPr>
        <w:numPr>
          <w:ilvl w:val="0"/>
          <w:numId w:val="4"/>
        </w:numPr>
        <w:spacing w:line="360" w:after="210" w:lineRule="auto"/>
      </w:pPr>
      <w:hyperlink r:id="rId6">
        <w:r>
          <w:rPr>
            <w:rFonts w:eastAsia="inter" w:cs="inter" w:ascii="inter" w:hAnsi="inter"/>
            <w:color w:val="#000"/>
            <w:sz w:val="18"/>
            <w:u w:val="single"/>
          </w:rPr>
          <w:t xml:space="preserve">https://www.rialtes.com/insights/blogs/agentic-pharma-the-ai-driven-era-of-the-pharmaceutical-industry/</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13" w:name="fn2"/>
    <w:bookmarkEnd w:id="13"/>
    <w:p>
      <w:pPr>
        <w:numPr>
          <w:ilvl w:val="0"/>
          <w:numId w:val="4"/>
        </w:numPr>
        <w:spacing w:line="360" w:after="210" w:lineRule="auto"/>
      </w:pPr>
      <w:hyperlink r:id="rId7">
        <w:r>
          <w:rPr>
            <w:rFonts w:eastAsia="inter" w:cs="inter" w:ascii="inter" w:hAnsi="inter"/>
            <w:color w:val="#000"/>
            <w:sz w:val="18"/>
            <w:u w:val="single"/>
          </w:rPr>
          <w:t xml:space="preserve">https://www.salesforce.com/healthcare-life-sciences/life-sciences-artificial-intelligence/ai-agents-in-pharma/</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14" w:name="fn3"/>
    <w:bookmarkEnd w:id="14"/>
    <w:p>
      <w:pPr>
        <w:numPr>
          <w:ilvl w:val="0"/>
          <w:numId w:val="4"/>
        </w:numPr>
        <w:spacing w:line="360" w:after="210" w:lineRule="auto"/>
      </w:pPr>
      <w:hyperlink r:id="rId8">
        <w:r>
          <w:rPr>
            <w:rFonts w:eastAsia="inter" w:cs="inter" w:ascii="inter" w:hAnsi="inter"/>
            <w:color w:val="#000"/>
            <w:sz w:val="18"/>
            <w:u w:val="single"/>
          </w:rPr>
          <w:t xml:space="preserve">https://www.weforum.org/stories/2025/01/quantum-computing-drug-development/</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5" w:name="fn4"/>
    <w:bookmarkEnd w:id="15"/>
    <w:p>
      <w:pPr>
        <w:numPr>
          <w:ilvl w:val="0"/>
          <w:numId w:val="4"/>
        </w:numPr>
        <w:spacing w:line="360" w:after="210" w:lineRule="auto"/>
      </w:pPr>
      <w:hyperlink r:id="rId9">
        <w:r>
          <w:rPr>
            <w:rFonts w:eastAsia="inter" w:cs="inter" w:ascii="inter" w:hAnsi="inter"/>
            <w:color w:val="#000"/>
            <w:sz w:val="18"/>
            <w:u w:val="single"/>
          </w:rPr>
          <w:t xml:space="preserve">https://cleanroomtechnology.com/what-are-digital-twins-and-what-is-their</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16" w:name="fn5"/>
    <w:bookmarkEnd w:id="16"/>
    <w:p>
      <w:pPr>
        <w:numPr>
          <w:ilvl w:val="0"/>
          <w:numId w:val="4"/>
        </w:numPr>
        <w:spacing w:line="360" w:after="210" w:lineRule="auto"/>
      </w:pPr>
      <w:hyperlink r:id="rId10">
        <w:r>
          <w:rPr>
            <w:rFonts w:eastAsia="inter" w:cs="inter" w:ascii="inter" w:hAnsi="inter"/>
            <w:color w:val="#000"/>
            <w:sz w:val="18"/>
            <w:u w:val="single"/>
          </w:rPr>
          <w:t xml:space="preserve">https://ai.tataelxsi.com/healthcare-and-life-sciences/multimodal-ai-and-neuromorphic-ai-for-disease-detection-diagnosis-and-prognosis/</w:t>
        </w:r>
      </w:hyperlink>
      <w:r>
        <w:rPr>
          <w:rFonts w:eastAsia="inter" w:cs="inter" w:ascii="inter" w:hAnsi="inter"/>
          <w:color w:val="000000"/>
          <w:sz w:val="18"/>
        </w:rPr>
        <w:t xml:space="preserve"> </w:t>
      </w:r>
    </w:p>
    <w:bookmarkStart w:id="17" w:name="fn6"/>
    <w:bookmarkEnd w:id="17"/>
    <w:p>
      <w:pPr>
        <w:numPr>
          <w:ilvl w:val="0"/>
          <w:numId w:val="4"/>
        </w:numPr>
        <w:spacing w:line="360" w:after="210" w:lineRule="auto"/>
      </w:pPr>
      <w:hyperlink r:id="rId11">
        <w:r>
          <w:rPr>
            <w:rFonts w:eastAsia="inter" w:cs="inter" w:ascii="inter" w:hAnsi="inter"/>
            <w:color w:val="#000"/>
            <w:sz w:val="18"/>
            <w:u w:val="single"/>
          </w:rPr>
          <w:t xml:space="preserve">https://scads.ai/research/ai-algorithms-and-methods/methods-and-hardware-for-neuro-inspired-computing/projects/drug-discovery-on-the-spinnaker2-neuromorphic-supercomputer/</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18" w:name="fn7"/>
    <w:bookmarkEnd w:id="18"/>
    <w:p>
      <w:pPr>
        <w:numPr>
          <w:ilvl w:val="0"/>
          <w:numId w:val="4"/>
        </w:numPr>
        <w:spacing w:line="360" w:after="210" w:lineRule="auto"/>
      </w:pPr>
      <w:hyperlink r:id="rId12">
        <w:r>
          <w:rPr>
            <w:rFonts w:eastAsia="inter" w:cs="inter" w:ascii="inter" w:hAnsi="inter"/>
            <w:color w:val="#000"/>
            <w:sz w:val="18"/>
            <w:u w:val="single"/>
          </w:rPr>
          <w:t xml:space="preserve">https://pmc.ncbi.nlm.nih.gov/articles/PMC8183422/</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19" w:name="fn8"/>
    <w:bookmarkEnd w:id="19"/>
    <w:p>
      <w:pPr>
        <w:numPr>
          <w:ilvl w:val="0"/>
          <w:numId w:val="4"/>
        </w:numPr>
        <w:spacing w:line="360" w:after="210" w:lineRule="auto"/>
      </w:pPr>
      <w:hyperlink r:id="rId13">
        <w:r>
          <w:rPr>
            <w:rFonts w:eastAsia="inter" w:cs="inter" w:ascii="inter" w:hAnsi="inter"/>
            <w:color w:val="#000"/>
            <w:sz w:val="18"/>
            <w:u w:val="single"/>
          </w:rPr>
          <w:t xml:space="preserve">https://itechnotion.com/digital-health-ces-2025-ai-innovation</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20" w:name="fn9"/>
    <w:bookmarkEnd w:id="20"/>
    <w:p>
      <w:pPr>
        <w:numPr>
          <w:ilvl w:val="0"/>
          <w:numId w:val="4"/>
        </w:numPr>
        <w:spacing w:line="360" w:after="210" w:lineRule="auto"/>
      </w:pPr>
      <w:hyperlink r:id="rId14">
        <w:r>
          <w:rPr>
            <w:rFonts w:eastAsia="inter" w:cs="inter" w:ascii="inter" w:hAnsi="inter"/>
            <w:color w:val="#000"/>
            <w:sz w:val="18"/>
            <w:u w:val="single"/>
          </w:rPr>
          <w:t xml:space="preserve">https://roboticsandautomationnews.com/2025/05/19/lab-automation-how-ai-and-robotics-are-accelerating-drug-discovery/90980/</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21" w:name="fn10"/>
    <w:bookmarkEnd w:id="21"/>
    <w:p>
      <w:pPr>
        <w:numPr>
          <w:ilvl w:val="0"/>
          <w:numId w:val="4"/>
        </w:numPr>
        <w:spacing w:line="360" w:after="210" w:lineRule="auto"/>
      </w:pPr>
      <w:hyperlink r:id="rId15">
        <w:r>
          <w:rPr>
            <w:rFonts w:eastAsia="inter" w:cs="inter" w:ascii="inter" w:hAnsi="inter"/>
            <w:color w:val="#000"/>
            <w:sz w:val="18"/>
            <w:u w:val="single"/>
          </w:rPr>
          <w:t xml:space="preserve">https://ispe.org/pharmaceutical-engineering/march-april-2021/applying-robotic-process-automation-pharma-industry</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22" w:name="fn11"/>
    <w:bookmarkEnd w:id="22"/>
    <w:p>
      <w:pPr>
        <w:numPr>
          <w:ilvl w:val="0"/>
          <w:numId w:val="4"/>
        </w:numPr>
        <w:spacing w:line="360" w:after="210" w:lineRule="auto"/>
      </w:pPr>
      <w:hyperlink r:id="rId16">
        <w:r>
          <w:rPr>
            <w:rFonts w:eastAsia="inter" w:cs="inter" w:ascii="inter" w:hAnsi="inter"/>
            <w:color w:val="#000"/>
            <w:sz w:val="18"/>
            <w:u w:val="single"/>
          </w:rPr>
          <w:t xml:space="preserve">https://mazerspace.com/extended-reality-xr-in-the-pharma-industry/</w:t>
        </w:r>
      </w:hyperlink>
      <w:r>
        <w:rPr>
          <w:rFonts w:eastAsia="inter" w:cs="inter" w:ascii="inter" w:hAnsi="inter"/>
          <w:color w:val="000000"/>
          <w:sz w:val="18"/>
        </w:rPr>
        <w:t xml:space="preserve"> </w:t>
      </w:r>
    </w:p>
    <w:bookmarkStart w:id="23" w:name="fn12"/>
    <w:bookmarkEnd w:id="23"/>
    <w:p>
      <w:pPr>
        <w:numPr>
          <w:ilvl w:val="0"/>
          <w:numId w:val="4"/>
        </w:numPr>
        <w:spacing w:line="360" w:after="210" w:lineRule="auto"/>
      </w:pPr>
      <w:hyperlink r:id="rId17">
        <w:r>
          <w:rPr>
            <w:rFonts w:eastAsia="inter" w:cs="inter" w:ascii="inter" w:hAnsi="inter"/>
            <w:color w:val="#000"/>
            <w:sz w:val="18"/>
            <w:u w:val="single"/>
          </w:rPr>
          <w:t xml:space="preserve">https://www.forbes.com/sites/digital-assets/2025/01/13/14-highlights-from-ces-2025-in-ai-robots-glasses-health-and-more/</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24" w:name="fn13"/>
    <w:bookmarkEnd w:id="24"/>
    <w:p>
      <w:pPr>
        <w:numPr>
          <w:ilvl w:val="0"/>
          <w:numId w:val="4"/>
        </w:numPr>
        <w:spacing w:line="360" w:after="210" w:lineRule="auto"/>
      </w:pPr>
      <w:hyperlink r:id="rId18">
        <w:r>
          <w:rPr>
            <w:rFonts w:eastAsia="inter" w:cs="inter" w:ascii="inter" w:hAnsi="inter"/>
            <w:color w:val="#000"/>
            <w:sz w:val="18"/>
            <w:u w:val="single"/>
          </w:rPr>
          <w:t xml:space="preserve">https://www.cnet.com/pictures/ces-2025-we-still-see-these-35-products-when-we-close-our-eyes/</w:t>
        </w:r>
      </w:hyperlink>
      <w:r>
        <w:rPr>
          <w:rFonts w:eastAsia="inter" w:cs="inter" w:ascii="inter" w:hAnsi="inter"/>
          <w:color w:val="000000"/>
          <w:sz w:val="18"/>
        </w:rPr>
        <w:t xml:space="preserve"> </w:t>
      </w:r>
    </w:p>
    <w:bookmarkStart w:id="25" w:name="fn14"/>
    <w:bookmarkEnd w:id="25"/>
    <w:p>
      <w:pPr>
        <w:numPr>
          <w:ilvl w:val="0"/>
          <w:numId w:val="4"/>
        </w:numPr>
        <w:spacing w:line="360" w:after="210" w:lineRule="auto"/>
      </w:pPr>
      <w:hyperlink r:id="rId19">
        <w:r>
          <w:rPr>
            <w:rFonts w:eastAsia="inter" w:cs="inter" w:ascii="inter" w:hAnsi="inter"/>
            <w:color w:val="#000"/>
            <w:sz w:val="18"/>
            <w:u w:val="single"/>
          </w:rPr>
          <w:t xml:space="preserve">https://www.simplilearn.com/top-technology-trends-and-jobs-article</w:t>
        </w:r>
      </w:hyperlink>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decimal"/>
      <w:lvlText w:val="%1."/>
      <w:lvlJc w:val="left"/>
      <w:pPr>
        <w:tabs>
          <w:tab w:val="num" w:pos="900"/>
        </w:tabs>
        <w:ind w:left="540" w:hanging="360"/>
      </w:pPr>
    </w:lvl>
  </w:abstractNum>
  <w:abstractNum w:abstractNumId="2">
    <w:multiLevelType w:val="hybridMultilevel"/>
    <w:lvl w:ilvl="0">
      <w:start w:val="1"/>
      <w:numFmt w:val="decimal"/>
      <w:lvlText w:val="%1."/>
      <w:lvlJc w:val="left"/>
      <w:pPr>
        <w:tabs>
          <w:tab w:val="num" w:pos="900"/>
        </w:tabs>
        <w:ind w:left="540" w:hanging="360"/>
      </w:pPr>
    </w:lvl>
  </w:abstractNum>
  <w:abstractNum w:abstractNumId="3">
    <w:multiLevelType w:val="hybridMultilevel"/>
  </w:abstractNum>
  <w:abstractNum w:abstractNumId="4">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 w:type="table" w:default="1" w:styleId="TableNormal">
    <w:name w:val="Normal Table"/>
    <w:uiPriority w:val="99"/>
    <w:semiHidden/>
    <w:unhideWhenUsed/>
    <w:tblPr>
      <w:tblInd w:w="0" w:type="dxa"/>
      <w:tblCellMar>
        <w:top w:w="80" w:type="dxa"/>
        <w:left w:w="160" w:type="dxa"/>
        <w:bottom w:w="80" w:type="dxa"/>
        <w:right w:w="160" w:type="dxa"/>
      </w:tblCellMar>
    </w:tblPr>
  </w:style>
  <w:style w:type="table" w:styleId="TableGrid">
    <w:name w:val="Normal Grid"/>
    <w:basedOn w:val="TableNormal"/>
    <w:uiPriority w:val="39"/>
    <w:pPr>
      <w:spacing w:after="0" w:line="240" w:lineRule="auto"/>
    </w:pPr>
    <w:tblPr>
      <w:tblInd w:w="0" w:type="dxa"/>
      <w:tblCellMar>
        <w:top w:w="80" w:type="dxa"/>
        <w:left w:w="160" w:type="dxa"/>
        <w:bottom w:w="80" w:type="dxa"/>
        <w:right w:w="160" w:type="dxa"/>
      </w:tblCellMar>
    </w:tbl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da5d5840b089cde2a8be710b1d0b481675af84ec.png" TargetMode="Internal"/><Relationship Id="rId6" Type="http://schemas.openxmlformats.org/officeDocument/2006/relationships/hyperlink" Target="https://www.rialtes.com/insights/blogs/agentic-pharma-the-ai-driven-era-of-the-pharmaceutical-industry/" TargetMode="External"/><Relationship Id="rId7" Type="http://schemas.openxmlformats.org/officeDocument/2006/relationships/hyperlink" Target="https://www.salesforce.com/healthcare-life-sciences/life-sciences-artificial-intelligence/ai-agents-in-pharma/" TargetMode="External"/><Relationship Id="rId8" Type="http://schemas.openxmlformats.org/officeDocument/2006/relationships/hyperlink" Target="https://www.weforum.org/stories/2025/01/quantum-computing-drug-development/" TargetMode="External"/><Relationship Id="rId9" Type="http://schemas.openxmlformats.org/officeDocument/2006/relationships/hyperlink" Target="https://cleanroomtechnology.com/what-are-digital-twins-and-what-is-their" TargetMode="External"/><Relationship Id="rId10" Type="http://schemas.openxmlformats.org/officeDocument/2006/relationships/hyperlink" Target="https://ai.tataelxsi.com/healthcare-and-life-sciences/multimodal-ai-and-neuromorphic-ai-for-disease-detection-diagnosis-and-prognosis/" TargetMode="External"/><Relationship Id="rId11" Type="http://schemas.openxmlformats.org/officeDocument/2006/relationships/hyperlink" Target="https://scads.ai/research/ai-algorithms-and-methods/methods-and-hardware-for-neuro-inspired-computing/projects/drug-discovery-on-the-spinnaker2-neuromorphic-supercomputer/" TargetMode="External"/><Relationship Id="rId12" Type="http://schemas.openxmlformats.org/officeDocument/2006/relationships/hyperlink" Target="https://pmc.ncbi.nlm.nih.gov/articles/PMC8183422/" TargetMode="External"/><Relationship Id="rId13" Type="http://schemas.openxmlformats.org/officeDocument/2006/relationships/hyperlink" Target="https://itechnotion.com/digital-health-ces-2025-ai-innovation" TargetMode="External"/><Relationship Id="rId14" Type="http://schemas.openxmlformats.org/officeDocument/2006/relationships/hyperlink" Target="https://roboticsandautomationnews.com/2025/05/19/lab-automation-how-ai-and-robotics-are-accelerating-drug-discovery/90980/" TargetMode="External"/><Relationship Id="rId15" Type="http://schemas.openxmlformats.org/officeDocument/2006/relationships/hyperlink" Target="https://ispe.org/pharmaceutical-engineering/march-april-2021/applying-robotic-process-automation-pharma-industry" TargetMode="External"/><Relationship Id="rId16" Type="http://schemas.openxmlformats.org/officeDocument/2006/relationships/hyperlink" Target="https://mazerspace.com/extended-reality-xr-in-the-pharma-industry/" TargetMode="External"/><Relationship Id="rId17" Type="http://schemas.openxmlformats.org/officeDocument/2006/relationships/hyperlink" Target="https://www.forbes.com/sites/digital-assets/2025/01/13/14-highlights-from-ces-2025-in-ai-robots-glasses-health-and-more/" TargetMode="External"/><Relationship Id="rId18" Type="http://schemas.openxmlformats.org/officeDocument/2006/relationships/hyperlink" Target="https://www.cnet.com/pictures/ces-2025-we-still-see-these-35-products-when-we-close-our-eyes/" TargetMode="External"/><Relationship Id="rId19" Type="http://schemas.openxmlformats.org/officeDocument/2006/relationships/hyperlink" Target="https://www.simplilearn.com/top-technology-trends-and-jobs-article"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2025-06-06T19:53:38.847Z</dcterms:created>
  <dcterms:modified xsi:type="dcterms:W3CDTF">2025-06-06T19:53:38.847Z</dcterms:modified>
</cp:coreProperties>
</file>