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61B8" w14:textId="77777777" w:rsidR="00711273" w:rsidRDefault="00A537C0">
      <w:pPr>
        <w:pStyle w:val="Heading1"/>
        <w:spacing w:before="200" w:after="160"/>
      </w:pPr>
      <w:bookmarkStart w:id="0" w:name="_Toc237967340"/>
      <w:r>
        <w:rPr>
          <w:b/>
          <w:bCs/>
          <w:color w:val="1F3557"/>
        </w:rPr>
        <w:t>1. Engagement Snapshot</w:t>
      </w:r>
      <w:bookmarkEnd w:id="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21"/>
        <w:gridCol w:w="6739"/>
      </w:tblGrid>
      <w:tr w:rsidR="00711273" w14:paraId="358D61BB" w14:textId="77777777">
        <w:trPr>
          <w:tblHeader/>
        </w:trPr>
        <w:tc>
          <w:tcPr>
            <w:tcW w:w="2621" w:type="dxa"/>
            <w:shd w:val="clear" w:color="auto" w:fill="1F3557"/>
            <w:tcMar>
              <w:top w:w="60" w:type="dxa"/>
              <w:left w:w="100" w:type="dxa"/>
              <w:bottom w:w="60" w:type="dxa"/>
              <w:right w:w="100" w:type="dxa"/>
            </w:tcMar>
            <w:vAlign w:val="center"/>
          </w:tcPr>
          <w:p w14:paraId="358D61B9" w14:textId="77777777" w:rsidR="00711273" w:rsidRDefault="00A537C0">
            <w:pPr>
              <w:spacing w:before="20" w:after="20"/>
            </w:pPr>
            <w:r>
              <w:rPr>
                <w:b/>
                <w:bCs/>
                <w:color w:val="FFFFFF"/>
                <w:sz w:val="19"/>
                <w:szCs w:val="19"/>
              </w:rPr>
              <w:t>Dimension</w:t>
            </w:r>
          </w:p>
        </w:tc>
        <w:tc>
          <w:tcPr>
            <w:tcW w:w="6739" w:type="dxa"/>
            <w:shd w:val="clear" w:color="auto" w:fill="1F3557"/>
            <w:tcMar>
              <w:top w:w="60" w:type="dxa"/>
              <w:left w:w="100" w:type="dxa"/>
              <w:bottom w:w="60" w:type="dxa"/>
              <w:right w:w="100" w:type="dxa"/>
            </w:tcMar>
            <w:vAlign w:val="center"/>
          </w:tcPr>
          <w:p w14:paraId="358D61BA" w14:textId="77777777" w:rsidR="00711273" w:rsidRDefault="00A537C0">
            <w:pPr>
              <w:spacing w:before="20" w:after="20"/>
            </w:pPr>
            <w:r>
              <w:rPr>
                <w:b/>
                <w:bCs/>
                <w:color w:val="FFFFFF"/>
                <w:sz w:val="19"/>
                <w:szCs w:val="19"/>
              </w:rPr>
              <w:t>Detail</w:t>
            </w:r>
          </w:p>
        </w:tc>
      </w:tr>
      <w:tr w:rsidR="00711273" w14:paraId="358D61BE" w14:textId="77777777">
        <w:tc>
          <w:tcPr>
            <w:tcW w:w="2621" w:type="dxa"/>
            <w:tcMar>
              <w:top w:w="60" w:type="dxa"/>
              <w:left w:w="100" w:type="dxa"/>
              <w:bottom w:w="60" w:type="dxa"/>
              <w:right w:w="100" w:type="dxa"/>
            </w:tcMar>
            <w:vAlign w:val="center"/>
          </w:tcPr>
          <w:p w14:paraId="358D61BC" w14:textId="77777777" w:rsidR="00711273" w:rsidRDefault="00A537C0">
            <w:pPr>
              <w:spacing w:before="20" w:after="20"/>
            </w:pPr>
            <w:r>
              <w:rPr>
                <w:sz w:val="19"/>
                <w:szCs w:val="19"/>
              </w:rPr>
              <w:t>Client</w:t>
            </w:r>
          </w:p>
        </w:tc>
        <w:tc>
          <w:tcPr>
            <w:tcW w:w="6739" w:type="dxa"/>
            <w:tcMar>
              <w:top w:w="60" w:type="dxa"/>
              <w:left w:w="100" w:type="dxa"/>
              <w:bottom w:w="60" w:type="dxa"/>
              <w:right w:w="100" w:type="dxa"/>
            </w:tcMar>
            <w:vAlign w:val="center"/>
          </w:tcPr>
          <w:p w14:paraId="358D61BD" w14:textId="77777777" w:rsidR="00711273" w:rsidRDefault="00A537C0">
            <w:pPr>
              <w:spacing w:before="20" w:after="20"/>
            </w:pPr>
            <w:r>
              <w:rPr>
                <w:sz w:val="19"/>
                <w:szCs w:val="19"/>
              </w:rPr>
              <w:t>Collectors (Collectors Holdings) — collectibles authentication, grading, vaulting, marketplace</w:t>
            </w:r>
          </w:p>
        </w:tc>
      </w:tr>
      <w:tr w:rsidR="00711273" w14:paraId="358D61C1" w14:textId="77777777">
        <w:tc>
          <w:tcPr>
            <w:tcW w:w="2621" w:type="dxa"/>
            <w:shd w:val="clear" w:color="auto" w:fill="F2F2F2"/>
            <w:tcMar>
              <w:top w:w="60" w:type="dxa"/>
              <w:left w:w="100" w:type="dxa"/>
              <w:bottom w:w="60" w:type="dxa"/>
              <w:right w:w="100" w:type="dxa"/>
            </w:tcMar>
            <w:vAlign w:val="center"/>
          </w:tcPr>
          <w:p w14:paraId="358D61BF" w14:textId="77777777" w:rsidR="00711273" w:rsidRDefault="00A537C0">
            <w:pPr>
              <w:spacing w:before="20" w:after="20"/>
            </w:pPr>
            <w:r>
              <w:rPr>
                <w:sz w:val="19"/>
                <w:szCs w:val="19"/>
              </w:rPr>
              <w:t>Client contact</w:t>
            </w:r>
          </w:p>
        </w:tc>
        <w:tc>
          <w:tcPr>
            <w:tcW w:w="6739" w:type="dxa"/>
            <w:shd w:val="clear" w:color="auto" w:fill="F2F2F2"/>
            <w:tcMar>
              <w:top w:w="60" w:type="dxa"/>
              <w:left w:w="100" w:type="dxa"/>
              <w:bottom w:w="60" w:type="dxa"/>
              <w:right w:w="100" w:type="dxa"/>
            </w:tcMar>
            <w:vAlign w:val="center"/>
          </w:tcPr>
          <w:p w14:paraId="358D61C0" w14:textId="77777777" w:rsidR="00711273" w:rsidRDefault="00A537C0">
            <w:pPr>
              <w:spacing w:before="20" w:after="20"/>
            </w:pPr>
            <w:r>
              <w:rPr>
                <w:sz w:val="19"/>
                <w:szCs w:val="19"/>
              </w:rPr>
              <w:t xml:space="preserve">Stephen — owns marketing tracking &amp; measurement across PSA, PCGS, </w:t>
            </w:r>
            <w:proofErr w:type="spellStart"/>
            <w:r>
              <w:rPr>
                <w:sz w:val="19"/>
                <w:szCs w:val="19"/>
              </w:rPr>
              <w:t>PowerPacks</w:t>
            </w:r>
            <w:proofErr w:type="spellEnd"/>
            <w:r>
              <w:rPr>
                <w:sz w:val="19"/>
                <w:szCs w:val="19"/>
              </w:rPr>
              <w:t>, BGS, Marketplace</w:t>
            </w:r>
          </w:p>
        </w:tc>
      </w:tr>
      <w:tr w:rsidR="00711273" w14:paraId="358D61C4" w14:textId="77777777">
        <w:tc>
          <w:tcPr>
            <w:tcW w:w="2621" w:type="dxa"/>
            <w:tcMar>
              <w:top w:w="60" w:type="dxa"/>
              <w:left w:w="100" w:type="dxa"/>
              <w:bottom w:w="60" w:type="dxa"/>
              <w:right w:w="100" w:type="dxa"/>
            </w:tcMar>
            <w:vAlign w:val="center"/>
          </w:tcPr>
          <w:p w14:paraId="358D61C2" w14:textId="77777777" w:rsidR="00711273" w:rsidRDefault="00A537C0">
            <w:pPr>
              <w:spacing w:before="20" w:after="20"/>
            </w:pPr>
            <w:r>
              <w:rPr>
                <w:sz w:val="19"/>
                <w:szCs w:val="19"/>
              </w:rPr>
              <w:t>Engagement type</w:t>
            </w:r>
          </w:p>
        </w:tc>
        <w:tc>
          <w:tcPr>
            <w:tcW w:w="6739" w:type="dxa"/>
            <w:tcMar>
              <w:top w:w="60" w:type="dxa"/>
              <w:left w:w="100" w:type="dxa"/>
              <w:bottom w:w="60" w:type="dxa"/>
              <w:right w:w="100" w:type="dxa"/>
            </w:tcMar>
            <w:vAlign w:val="center"/>
          </w:tcPr>
          <w:p w14:paraId="358D61C3" w14:textId="77777777" w:rsidR="00711273" w:rsidRDefault="00A537C0">
            <w:pPr>
              <w:spacing w:before="20" w:after="20"/>
            </w:pPr>
            <w:r>
              <w:rPr>
                <w:sz w:val="19"/>
                <w:szCs w:val="19"/>
              </w:rPr>
              <w:t>Proof of Concept — implementation support ("Stephen / EXL" column of his Q3 priorities sheet)</w:t>
            </w:r>
          </w:p>
        </w:tc>
      </w:tr>
      <w:tr w:rsidR="00711273" w14:paraId="358D61C7" w14:textId="77777777">
        <w:tc>
          <w:tcPr>
            <w:tcW w:w="2621" w:type="dxa"/>
            <w:shd w:val="clear" w:color="auto" w:fill="F2F2F2"/>
            <w:tcMar>
              <w:top w:w="60" w:type="dxa"/>
              <w:left w:w="100" w:type="dxa"/>
              <w:bottom w:w="60" w:type="dxa"/>
              <w:right w:w="100" w:type="dxa"/>
            </w:tcMar>
            <w:vAlign w:val="center"/>
          </w:tcPr>
          <w:p w14:paraId="358D61C5" w14:textId="77777777" w:rsidR="00711273" w:rsidRDefault="00A537C0">
            <w:pPr>
              <w:spacing w:before="20" w:after="20"/>
            </w:pPr>
            <w:r>
              <w:rPr>
                <w:sz w:val="19"/>
                <w:szCs w:val="19"/>
              </w:rPr>
              <w:t>First meeting</w:t>
            </w:r>
          </w:p>
        </w:tc>
        <w:tc>
          <w:tcPr>
            <w:tcW w:w="6739" w:type="dxa"/>
            <w:shd w:val="clear" w:color="auto" w:fill="F2F2F2"/>
            <w:tcMar>
              <w:top w:w="60" w:type="dxa"/>
              <w:left w:w="100" w:type="dxa"/>
              <w:bottom w:w="60" w:type="dxa"/>
              <w:right w:w="100" w:type="dxa"/>
            </w:tcMar>
            <w:vAlign w:val="center"/>
          </w:tcPr>
          <w:p w14:paraId="358D61C6" w14:textId="77777777" w:rsidR="00711273" w:rsidRDefault="00A537C0">
            <w:pPr>
              <w:spacing w:before="20" w:after="20"/>
            </w:pPr>
            <w:r>
              <w:rPr>
                <w:sz w:val="19"/>
                <w:szCs w:val="19"/>
              </w:rPr>
              <w:t>12 August 2026; EXL positioned as new implementation support contractors</w:t>
            </w:r>
          </w:p>
        </w:tc>
      </w:tr>
      <w:tr w:rsidR="00711273" w14:paraId="358D61CA" w14:textId="77777777">
        <w:tc>
          <w:tcPr>
            <w:tcW w:w="2621" w:type="dxa"/>
            <w:tcMar>
              <w:top w:w="60" w:type="dxa"/>
              <w:left w:w="100" w:type="dxa"/>
              <w:bottom w:w="60" w:type="dxa"/>
              <w:right w:w="100" w:type="dxa"/>
            </w:tcMar>
            <w:vAlign w:val="center"/>
          </w:tcPr>
          <w:p w14:paraId="358D61C8" w14:textId="77777777" w:rsidR="00711273" w:rsidRDefault="00A537C0">
            <w:pPr>
              <w:spacing w:before="20" w:after="20"/>
            </w:pPr>
            <w:r>
              <w:rPr>
                <w:sz w:val="19"/>
                <w:szCs w:val="19"/>
              </w:rPr>
              <w:t>Core mandate</w:t>
            </w:r>
          </w:p>
        </w:tc>
        <w:tc>
          <w:tcPr>
            <w:tcW w:w="6739" w:type="dxa"/>
            <w:tcMar>
              <w:top w:w="60" w:type="dxa"/>
              <w:left w:w="100" w:type="dxa"/>
              <w:bottom w:w="60" w:type="dxa"/>
              <w:right w:w="100" w:type="dxa"/>
            </w:tcMar>
            <w:vAlign w:val="center"/>
          </w:tcPr>
          <w:p w14:paraId="358D61C9" w14:textId="77777777" w:rsidR="00711273" w:rsidRDefault="00A537C0">
            <w:pPr>
              <w:spacing w:before="20" w:after="20"/>
            </w:pPr>
            <w:r>
              <w:rPr>
                <w:sz w:val="19"/>
                <w:szCs w:val="19"/>
              </w:rPr>
              <w:t>Full tracking audit + documentation, mobile attribution (</w:t>
            </w:r>
            <w:proofErr w:type="spellStart"/>
            <w:r>
              <w:rPr>
                <w:sz w:val="19"/>
                <w:szCs w:val="19"/>
              </w:rPr>
              <w:t>Branch→AppsFlyer</w:t>
            </w:r>
            <w:proofErr w:type="spellEnd"/>
            <w:r>
              <w:rPr>
                <w:sz w:val="19"/>
                <w:szCs w:val="19"/>
              </w:rPr>
              <w:t>), paid media tracking (server-side GTM / CAPI), reporting automation, privacy/data-integrity thought partnership</w:t>
            </w:r>
          </w:p>
        </w:tc>
      </w:tr>
      <w:tr w:rsidR="00711273" w14:paraId="358D61CD" w14:textId="77777777">
        <w:tc>
          <w:tcPr>
            <w:tcW w:w="2621" w:type="dxa"/>
            <w:shd w:val="clear" w:color="auto" w:fill="F2F2F2"/>
            <w:tcMar>
              <w:top w:w="60" w:type="dxa"/>
              <w:left w:w="100" w:type="dxa"/>
              <w:bottom w:w="60" w:type="dxa"/>
              <w:right w:w="100" w:type="dxa"/>
            </w:tcMar>
            <w:vAlign w:val="center"/>
          </w:tcPr>
          <w:p w14:paraId="358D61CB" w14:textId="77777777" w:rsidR="00711273" w:rsidRDefault="00A537C0">
            <w:pPr>
              <w:spacing w:before="20" w:after="20"/>
            </w:pPr>
            <w:r>
              <w:rPr>
                <w:sz w:val="19"/>
                <w:szCs w:val="19"/>
              </w:rPr>
              <w:t>Your role</w:t>
            </w:r>
          </w:p>
        </w:tc>
        <w:tc>
          <w:tcPr>
            <w:tcW w:w="6739" w:type="dxa"/>
            <w:shd w:val="clear" w:color="auto" w:fill="F2F2F2"/>
            <w:tcMar>
              <w:top w:w="60" w:type="dxa"/>
              <w:left w:w="100" w:type="dxa"/>
              <w:bottom w:w="60" w:type="dxa"/>
              <w:right w:w="100" w:type="dxa"/>
            </w:tcMar>
            <w:vAlign w:val="center"/>
          </w:tcPr>
          <w:p w14:paraId="358D61CC" w14:textId="77777777" w:rsidR="00711273" w:rsidRDefault="00A537C0">
            <w:pPr>
              <w:spacing w:before="20" w:after="20"/>
            </w:pPr>
            <w:r>
              <w:rPr>
                <w:sz w:val="19"/>
                <w:szCs w:val="19"/>
              </w:rPr>
              <w:t>Offshore delivery lead (SPOC), plus hiring the offshore implementation resource</w:t>
            </w:r>
          </w:p>
        </w:tc>
      </w:tr>
      <w:tr w:rsidR="00711273" w14:paraId="358D61D0" w14:textId="77777777">
        <w:tc>
          <w:tcPr>
            <w:tcW w:w="2621" w:type="dxa"/>
            <w:tcMar>
              <w:top w:w="60" w:type="dxa"/>
              <w:left w:w="100" w:type="dxa"/>
              <w:bottom w:w="60" w:type="dxa"/>
              <w:right w:w="100" w:type="dxa"/>
            </w:tcMar>
            <w:vAlign w:val="center"/>
          </w:tcPr>
          <w:p w14:paraId="358D61CE" w14:textId="77777777" w:rsidR="00711273" w:rsidRDefault="00A537C0">
            <w:pPr>
              <w:spacing w:before="20" w:after="20"/>
            </w:pPr>
            <w:r>
              <w:rPr>
                <w:sz w:val="19"/>
                <w:szCs w:val="19"/>
              </w:rPr>
              <w:t>Hardest external date</w:t>
            </w:r>
          </w:p>
        </w:tc>
        <w:tc>
          <w:tcPr>
            <w:tcW w:w="6739" w:type="dxa"/>
            <w:tcMar>
              <w:top w:w="60" w:type="dxa"/>
              <w:left w:w="100" w:type="dxa"/>
              <w:bottom w:w="60" w:type="dxa"/>
              <w:right w:w="100" w:type="dxa"/>
            </w:tcMar>
            <w:vAlign w:val="center"/>
          </w:tcPr>
          <w:p w14:paraId="358D61CF" w14:textId="77777777" w:rsidR="00711273" w:rsidRDefault="00A537C0">
            <w:pPr>
              <w:spacing w:before="20" w:after="20"/>
            </w:pPr>
            <w:r>
              <w:rPr>
                <w:b/>
                <w:bCs/>
                <w:sz w:val="19"/>
                <w:szCs w:val="19"/>
              </w:rPr>
              <w:t>29 Sep 2026 — Branch.io contract end-of-contract (EOC)</w:t>
            </w:r>
            <w:r>
              <w:rPr>
                <w:sz w:val="19"/>
                <w:szCs w:val="19"/>
              </w:rPr>
              <w:t xml:space="preserve">; </w:t>
            </w:r>
            <w:proofErr w:type="spellStart"/>
            <w:r>
              <w:rPr>
                <w:sz w:val="19"/>
                <w:szCs w:val="19"/>
              </w:rPr>
              <w:t>AppsFlyer</w:t>
            </w:r>
            <w:proofErr w:type="spellEnd"/>
            <w:r>
              <w:rPr>
                <w:sz w:val="19"/>
                <w:szCs w:val="19"/>
              </w:rPr>
              <w:t xml:space="preserve"> decision must land before this</w:t>
            </w:r>
          </w:p>
        </w:tc>
      </w:tr>
      <w:tr w:rsidR="00711273" w14:paraId="358D61D3" w14:textId="77777777">
        <w:tc>
          <w:tcPr>
            <w:tcW w:w="2621" w:type="dxa"/>
            <w:shd w:val="clear" w:color="auto" w:fill="F2F2F2"/>
            <w:tcMar>
              <w:top w:w="60" w:type="dxa"/>
              <w:left w:w="100" w:type="dxa"/>
              <w:bottom w:w="60" w:type="dxa"/>
              <w:right w:w="100" w:type="dxa"/>
            </w:tcMar>
            <w:vAlign w:val="center"/>
          </w:tcPr>
          <w:p w14:paraId="358D61D1" w14:textId="77777777" w:rsidR="00711273" w:rsidRDefault="00A537C0">
            <w:pPr>
              <w:spacing w:before="20" w:after="20"/>
            </w:pPr>
            <w:r>
              <w:rPr>
                <w:sz w:val="19"/>
                <w:szCs w:val="19"/>
              </w:rPr>
              <w:t>Nearest delivery dates</w:t>
            </w:r>
          </w:p>
        </w:tc>
        <w:tc>
          <w:tcPr>
            <w:tcW w:w="6739" w:type="dxa"/>
            <w:shd w:val="clear" w:color="auto" w:fill="F2F2F2"/>
            <w:tcMar>
              <w:top w:w="60" w:type="dxa"/>
              <w:left w:w="100" w:type="dxa"/>
              <w:bottom w:w="60" w:type="dxa"/>
              <w:right w:w="100" w:type="dxa"/>
            </w:tcMar>
            <w:vAlign w:val="center"/>
          </w:tcPr>
          <w:p w14:paraId="358D61D2" w14:textId="77777777" w:rsidR="00711273" w:rsidRDefault="00A537C0">
            <w:pPr>
              <w:spacing w:before="20" w:after="20"/>
            </w:pPr>
            <w:r>
              <w:rPr>
                <w:sz w:val="19"/>
                <w:szCs w:val="19"/>
              </w:rPr>
              <w:t>8/19 (</w:t>
            </w:r>
            <w:proofErr w:type="spellStart"/>
            <w:r>
              <w:rPr>
                <w:sz w:val="19"/>
                <w:szCs w:val="19"/>
              </w:rPr>
              <w:t>AppsFlyer</w:t>
            </w:r>
            <w:proofErr w:type="spellEnd"/>
            <w:r>
              <w:rPr>
                <w:sz w:val="19"/>
                <w:szCs w:val="19"/>
              </w:rPr>
              <w:t xml:space="preserve"> PP validation), 8/31 (PP paid reporting 99% automation, Redline launch QA, docs/audit milestones)</w:t>
            </w:r>
          </w:p>
        </w:tc>
      </w:tr>
    </w:tbl>
    <w:p w14:paraId="358D61D4" w14:textId="77777777" w:rsidR="00711273" w:rsidRDefault="00711273">
      <w:pPr>
        <w:spacing w:after="120"/>
      </w:pPr>
    </w:p>
    <w:p w14:paraId="358D61D6" w14:textId="357876E5" w:rsidR="00711273" w:rsidRDefault="00A537C0" w:rsidP="00C06700">
      <w:pPr>
        <w:spacing w:after="120" w:line="276" w:lineRule="auto"/>
      </w:pPr>
      <w:r>
        <w:t xml:space="preserve">The operating assumption written into the EXL working copy: </w:t>
      </w:r>
      <w:r>
        <w:rPr>
          <w:b/>
          <w:bCs/>
        </w:rPr>
        <w:t>EXL picks up everything in the "Stephen / EXL" column; Stephen guides and coordinates with internal teams (Data, Engineering, IT, Legal).</w:t>
      </w:r>
      <w:r>
        <w:t xml:space="preserve"> Stephen is a single individual carrying tracking for five brands — the reason EXL exists on this account is that he cannot execute all of it himself. Your job is to make him feel like his execution capacity just tripled without his quality bar dropping.</w:t>
      </w:r>
    </w:p>
    <w:p w14:paraId="358D61D7" w14:textId="77777777" w:rsidR="00711273" w:rsidRDefault="00A537C0">
      <w:pPr>
        <w:pStyle w:val="Heading1"/>
        <w:spacing w:before="200" w:after="160"/>
      </w:pPr>
      <w:bookmarkStart w:id="1" w:name="_Toc237967341"/>
      <w:r>
        <w:rPr>
          <w:b/>
          <w:bCs/>
          <w:color w:val="1F3557"/>
        </w:rPr>
        <w:t>2. The Client: Who Collectors Is</w:t>
      </w:r>
      <w:bookmarkEnd w:id="1"/>
    </w:p>
    <w:p w14:paraId="358D61D8" w14:textId="77777777" w:rsidR="00711273" w:rsidRDefault="00A537C0">
      <w:pPr>
        <w:pStyle w:val="Heading2"/>
        <w:pBdr>
          <w:bottom w:val="single" w:sz="6" w:space="2" w:color="F37021"/>
        </w:pBdr>
        <w:spacing w:before="240" w:after="120"/>
      </w:pPr>
      <w:bookmarkStart w:id="2" w:name="_Toc237967342"/>
      <w:r>
        <w:rPr>
          <w:b/>
          <w:bCs/>
          <w:color w:val="1F3557"/>
        </w:rPr>
        <w:t>2.1 Company overview</w:t>
      </w:r>
      <w:bookmarkEnd w:id="2"/>
    </w:p>
    <w:p w14:paraId="358D61D9" w14:textId="77777777" w:rsidR="00711273" w:rsidRDefault="00A537C0">
      <w:pPr>
        <w:spacing w:after="120" w:line="276" w:lineRule="auto"/>
      </w:pPr>
      <w:r>
        <w:t>Collectors (Collectors Holdings, headquartered in Santa Ana, California) is the dominant company in collectibles authentication and grading. The core business: collectors and dealers ship trading cards, coins, autographs, and memorabilia to Collectors; expert graders authenticate the item and assign a condition grade; the item is sealed in a tamper-evident plastic case ("slab") with a certification label; graded items command far higher and more liquid resale prices than ungraded ("raw") items. Grading fees are the revenue engine, with vaulting, marketplace/auction commissions, and data products layered on top.</w:t>
      </w:r>
    </w:p>
    <w:p w14:paraId="358D61DA" w14:textId="77777777" w:rsidR="00711273" w:rsidRDefault="00A537C0">
      <w:pPr>
        <w:spacing w:after="120" w:line="276" w:lineRule="auto"/>
      </w:pPr>
      <w:r>
        <w:t>Key facts to hold in your head:</w:t>
      </w:r>
    </w:p>
    <w:p w14:paraId="358D61DB" w14:textId="77777777" w:rsidR="00711273" w:rsidRDefault="00A537C0">
      <w:pPr>
        <w:pStyle w:val="ListParagraph"/>
        <w:numPr>
          <w:ilvl w:val="0"/>
          <w:numId w:val="2"/>
        </w:numPr>
        <w:spacing w:after="60"/>
      </w:pPr>
      <w:r>
        <w:t xml:space="preserve">Formerly Collectors Universe, publicly traded (NASDAQ: CLCT). Taken private in 2021 by an investor group led by entrepreneur and card collector </w:t>
      </w:r>
      <w:r>
        <w:rPr>
          <w:b/>
          <w:bCs/>
        </w:rPr>
        <w:t>Nat Turner</w:t>
      </w:r>
      <w:r>
        <w:t xml:space="preserve"> (now CEO), in a deal valuing the company around $850M; a 2022 round valued it at </w:t>
      </w:r>
      <w:r>
        <w:rPr>
          <w:b/>
          <w:bCs/>
        </w:rPr>
        <w:t>$4.3B</w:t>
      </w:r>
      <w:r>
        <w:t>.</w:t>
      </w:r>
    </w:p>
    <w:p w14:paraId="358D61DC" w14:textId="77777777" w:rsidR="00711273" w:rsidRDefault="00A537C0">
      <w:pPr>
        <w:pStyle w:val="ListParagraph"/>
        <w:numPr>
          <w:ilvl w:val="0"/>
          <w:numId w:val="2"/>
        </w:numPr>
        <w:spacing w:after="60"/>
      </w:pPr>
      <w:r>
        <w:rPr>
          <w:b/>
          <w:bCs/>
        </w:rPr>
        <w:t>PSA</w:t>
      </w:r>
      <w:r>
        <w:t xml:space="preserve"> (Professional Sports Authenticator) is the flagship — the world's largest trading-card grading service, handling roughly three-quarters of all cards graded across major graders.</w:t>
      </w:r>
    </w:p>
    <w:p w14:paraId="358D61DD" w14:textId="77777777" w:rsidR="00711273" w:rsidRDefault="00A537C0">
      <w:pPr>
        <w:pStyle w:val="ListParagraph"/>
        <w:numPr>
          <w:ilvl w:val="0"/>
          <w:numId w:val="2"/>
        </w:numPr>
        <w:spacing w:after="60"/>
      </w:pPr>
      <w:r>
        <w:lastRenderedPageBreak/>
        <w:t xml:space="preserve">The company has consolidated the grading industry through acquisition: </w:t>
      </w:r>
      <w:r>
        <w:rPr>
          <w:b/>
          <w:bCs/>
        </w:rPr>
        <w:t>SGC</w:t>
      </w:r>
      <w:r>
        <w:t xml:space="preserve"> (Feb 2024), </w:t>
      </w:r>
      <w:r>
        <w:rPr>
          <w:b/>
          <w:bCs/>
        </w:rPr>
        <w:t>Beckett/BGS</w:t>
      </w:r>
      <w:r>
        <w:t xml:space="preserve"> (Dec 2025), plus earlier WATA (video games), Goldin (auctions), Card Ladder (pricing data), and the eBay vault (2024, became the PSA Vault).</w:t>
      </w:r>
    </w:p>
    <w:p w14:paraId="358D61DE" w14:textId="77777777" w:rsidR="00711273" w:rsidRDefault="00A537C0">
      <w:pPr>
        <w:pStyle w:val="ListParagraph"/>
        <w:numPr>
          <w:ilvl w:val="0"/>
          <w:numId w:val="2"/>
        </w:numPr>
        <w:spacing w:after="60"/>
      </w:pPr>
      <w:r>
        <w:t>The collectibles hobby boomed post-2020 (Pokémon, sports cards); grading volumes are at record highs and PSA has become a mainstream consumer brand, not just a hobbyist service.</w:t>
      </w:r>
    </w:p>
    <w:p w14:paraId="358D61DF" w14:textId="77777777" w:rsidR="00711273" w:rsidRDefault="00A537C0">
      <w:pPr>
        <w:pStyle w:val="Heading2"/>
        <w:pBdr>
          <w:bottom w:val="single" w:sz="6" w:space="2" w:color="F37021"/>
        </w:pBdr>
        <w:spacing w:before="240" w:after="120"/>
      </w:pPr>
      <w:bookmarkStart w:id="3" w:name="_Toc237967343"/>
      <w:r>
        <w:rPr>
          <w:b/>
          <w:bCs/>
          <w:color w:val="1F3557"/>
        </w:rPr>
        <w:t>2.2 Business model in one paragraph</w:t>
      </w:r>
      <w:bookmarkEnd w:id="3"/>
    </w:p>
    <w:p w14:paraId="358D61E0" w14:textId="77777777" w:rsidR="00711273" w:rsidRDefault="00A537C0">
      <w:pPr>
        <w:spacing w:after="120" w:line="276" w:lineRule="auto"/>
      </w:pPr>
      <w:r>
        <w:t xml:space="preserve">A collector pays PSA ~$20–$300+ per card to grade it. The graded slab can be shipped </w:t>
      </w:r>
      <w:proofErr w:type="gramStart"/>
      <w:r>
        <w:t>home, or</w:t>
      </w:r>
      <w:proofErr w:type="gramEnd"/>
      <w:r>
        <w:t xml:space="preserve"> stored free in the insured </w:t>
      </w:r>
      <w:r>
        <w:rPr>
          <w:b/>
          <w:bCs/>
        </w:rPr>
        <w:t>PSA Vault</w:t>
      </w:r>
      <w:r>
        <w:t xml:space="preserve"> (Delaware), from which it can be listed on eBay via PSA consignment or sold instantly through PSA Partner Offers. This </w:t>
      </w:r>
      <w:proofErr w:type="spellStart"/>
      <w:r>
        <w:t>grading→vault→marketplace</w:t>
      </w:r>
      <w:proofErr w:type="spellEnd"/>
      <w:r>
        <w:t xml:space="preserve"> loop means Collectors monetizes the same card multiple times (grading fee, selling fees, buyer flow) and, critically for your engagement, it means the </w:t>
      </w:r>
      <w:r>
        <w:rPr>
          <w:b/>
          <w:bCs/>
        </w:rPr>
        <w:t>customer journey spans web, native apps, email/CRM, and paid media across multiple brands</w:t>
      </w:r>
      <w:r>
        <w:t xml:space="preserve"> — which is exactly the surface area Stephen has to measure.</w:t>
      </w:r>
    </w:p>
    <w:p w14:paraId="358D61E1" w14:textId="77777777" w:rsidR="00711273" w:rsidRDefault="00A537C0">
      <w:pPr>
        <w:pStyle w:val="Heading2"/>
        <w:pBdr>
          <w:bottom w:val="single" w:sz="6" w:space="2" w:color="F37021"/>
        </w:pBdr>
        <w:spacing w:before="240" w:after="120"/>
      </w:pPr>
      <w:bookmarkStart w:id="4" w:name="_Toc237967344"/>
      <w:r>
        <w:rPr>
          <w:b/>
          <w:bCs/>
          <w:color w:val="1F3557"/>
        </w:rPr>
        <w:t>2.3 The brands you will see in the Q3 sheet</w:t>
      </w:r>
      <w:bookmarkEnd w:id="4"/>
    </w:p>
    <w:p w14:paraId="358D61E2" w14:textId="77777777" w:rsidR="00711273" w:rsidRDefault="00A537C0">
      <w:pPr>
        <w:spacing w:after="120" w:line="276" w:lineRule="auto"/>
      </w:pPr>
      <w:r>
        <w:rPr>
          <w:b/>
          <w:bCs/>
        </w:rPr>
        <w:t>PSA (Professional Sports Authenticator)</w:t>
      </w:r>
      <w:r>
        <w:t xml:space="preserve"> — flagship trading-card and memorabilia grading brand. Has a large e-commerce-like website (submission flows, order tracking, Set Registry, price guide, auction prices realized) and a native mobile app (card scanner, grading submissions, collection management, Vault, eBay listing). Most scope items are PSA-first.</w:t>
      </w:r>
    </w:p>
    <w:p w14:paraId="358D61E3" w14:textId="77777777" w:rsidR="00711273" w:rsidRDefault="00A537C0">
      <w:pPr>
        <w:spacing w:after="120" w:line="276" w:lineRule="auto"/>
      </w:pPr>
      <w:r>
        <w:rPr>
          <w:b/>
          <w:bCs/>
        </w:rPr>
        <w:t>PCGS (Professional Coin Grading Service)</w:t>
      </w:r>
      <w:r>
        <w:t xml:space="preserve"> — the coin and banknote equivalent of PSA; the original 1986 business. Separate website and apps. Shares the SFMC instance with PSA. Its apps have never had mobile attribution — they get plugged into an MMP for the first time during the </w:t>
      </w:r>
      <w:proofErr w:type="spellStart"/>
      <w:r>
        <w:t>AppsFlyer</w:t>
      </w:r>
      <w:proofErr w:type="spellEnd"/>
      <w:r>
        <w:t xml:space="preserve"> evaluation.</w:t>
      </w:r>
    </w:p>
    <w:p w14:paraId="358D61E4" w14:textId="77777777" w:rsidR="00711273" w:rsidRDefault="00A537C0">
      <w:pPr>
        <w:spacing w:after="120" w:line="276" w:lineRule="auto"/>
      </w:pPr>
      <w:r>
        <w:rPr>
          <w:b/>
          <w:bCs/>
        </w:rPr>
        <w:t>BGS (Beckett Grading Services)</w:t>
      </w:r>
      <w:r>
        <w:t xml:space="preserve"> — acquired via the Beckett acquisition in December 2025; still operating on its own infrastructure, including its own consent management platform (</w:t>
      </w:r>
      <w:proofErr w:type="spellStart"/>
      <w:r>
        <w:t>OneTrust</w:t>
      </w:r>
      <w:proofErr w:type="spellEnd"/>
      <w:r>
        <w:t xml:space="preserve">, vs. Osano elsewhere) — hence scope item S18 about auditing </w:t>
      </w:r>
      <w:proofErr w:type="spellStart"/>
      <w:r>
        <w:t>OneTrust</w:t>
      </w:r>
      <w:proofErr w:type="spellEnd"/>
      <w:r>
        <w:t xml:space="preserve"> and potentially migrating BGS to Osano to standardise the estate.</w:t>
      </w:r>
    </w:p>
    <w:p w14:paraId="358D61E5" w14:textId="77777777" w:rsidR="00711273" w:rsidRDefault="00A537C0">
      <w:pPr>
        <w:spacing w:after="120" w:line="276" w:lineRule="auto"/>
      </w:pPr>
      <w:proofErr w:type="spellStart"/>
      <w:r>
        <w:rPr>
          <w:b/>
          <w:bCs/>
        </w:rPr>
        <w:t>PowerPacks</w:t>
      </w:r>
      <w:proofErr w:type="spellEnd"/>
      <w:r>
        <w:rPr>
          <w:b/>
          <w:bCs/>
        </w:rPr>
        <w:t xml:space="preserve"> (PP)</w:t>
      </w:r>
      <w:r>
        <w:t xml:space="preserve"> — the newest and hottest property, and the one with "PP first" priority on attribution. </w:t>
      </w:r>
      <w:proofErr w:type="spellStart"/>
      <w:r>
        <w:t>PowerPacks</w:t>
      </w:r>
      <w:proofErr w:type="spellEnd"/>
      <w:r>
        <w:t xml:space="preserve"> is GameStop's digital trading-card platform, built in partnership with PSA and launched to the public on 15 April 2026 at powerpacks.com / powerpacks.gamestop.com. Users buy digital packs ($25–$2,500), "rip" them online to reveal a real PSA-graded card, which is instantly stored in the PSA Vault; they can then sell it back instantly, ship it home, or hold it. It is effectively a loot-box / repack model built on physical, PSA-graded assets. Because it is a GameStop property, some infrastructure asks route to </w:t>
      </w:r>
      <w:r>
        <w:rPr>
          <w:b/>
          <w:bCs/>
        </w:rPr>
        <w:t>GameStop (GME) IT</w:t>
      </w:r>
      <w:r>
        <w:t xml:space="preserve"> — e.g. the first-party subdomain sgtm.powerpacks.gamestop.com for server-side tagging. </w:t>
      </w:r>
      <w:proofErr w:type="spellStart"/>
      <w:r>
        <w:t>PowerPacks</w:t>
      </w:r>
      <w:proofErr w:type="spellEnd"/>
      <w:r>
        <w:t xml:space="preserve"> runs heavy paid acquisition (Google Ads, Meta, then TikTok and </w:t>
      </w:r>
      <w:proofErr w:type="spellStart"/>
      <w:r>
        <w:t>StackAdapt</w:t>
      </w:r>
      <w:proofErr w:type="spellEnd"/>
      <w:r>
        <w:t xml:space="preserve">) — which is why interim paid reporting and app attribution are both P0 and PP-first. "New PP instances" (S15) refers to expanding </w:t>
      </w:r>
      <w:proofErr w:type="spellStart"/>
      <w:r>
        <w:t>PowerPacks</w:t>
      </w:r>
      <w:proofErr w:type="spellEnd"/>
      <w:r>
        <w:t xml:space="preserve"> beyond its current setup — potentially new verticals/categories, geographies, or retail partners in Q4; the sheet itself says the definition needs confirming.</w:t>
      </w:r>
    </w:p>
    <w:p w14:paraId="358D61E6" w14:textId="77777777" w:rsidR="00711273" w:rsidRDefault="00A537C0">
      <w:pPr>
        <w:spacing w:after="120" w:line="276" w:lineRule="auto"/>
      </w:pPr>
      <w:r>
        <w:rPr>
          <w:b/>
          <w:bCs/>
        </w:rPr>
        <w:t>Marketplace</w:t>
      </w:r>
      <w:r>
        <w:t xml:space="preserve"> — Collectors' marketplace/commerce properties (collectors.com unified experience; eBay-integrated selling; auction platforms). In your sheet it appears as a stalled reporting build (DPE-4164 at 80% since Q2). One of your own open questions in the working copy is "What is Marketplace exactly — is it part of PSA?" — keep that on the discovery list.</w:t>
      </w:r>
    </w:p>
    <w:p w14:paraId="358D61E7" w14:textId="77777777" w:rsidR="00711273" w:rsidRDefault="00A537C0">
      <w:pPr>
        <w:spacing w:after="120" w:line="276" w:lineRule="auto"/>
      </w:pPr>
      <w:r>
        <w:rPr>
          <w:b/>
          <w:bCs/>
        </w:rPr>
        <w:lastRenderedPageBreak/>
        <w:t xml:space="preserve">PSA Vault / </w:t>
      </w:r>
      <w:proofErr w:type="spellStart"/>
      <w:r>
        <w:rPr>
          <w:b/>
          <w:bCs/>
        </w:rPr>
        <w:t>VaaS</w:t>
      </w:r>
      <w:proofErr w:type="spellEnd"/>
      <w:r>
        <w:t xml:space="preserve"> — the vault is the insured storage facility with digital ownership management; </w:t>
      </w:r>
      <w:proofErr w:type="spellStart"/>
      <w:r>
        <w:rPr>
          <w:b/>
          <w:bCs/>
        </w:rPr>
        <w:t>VaaS</w:t>
      </w:r>
      <w:proofErr w:type="spellEnd"/>
      <w:r>
        <w:rPr>
          <w:b/>
          <w:bCs/>
        </w:rPr>
        <w:t xml:space="preserve"> = Vault as a Service</w:t>
      </w:r>
      <w:r>
        <w:t xml:space="preserve"> (vaulting offered as a productised service). Appears in S17 (signup-source attribution).</w:t>
      </w:r>
    </w:p>
    <w:p w14:paraId="358D61E8" w14:textId="77777777" w:rsidR="00711273" w:rsidRDefault="00A537C0">
      <w:pPr>
        <w:spacing w:after="120" w:line="276" w:lineRule="auto"/>
      </w:pPr>
      <w:r>
        <w:rPr>
          <w:b/>
          <w:bCs/>
        </w:rPr>
        <w:t>PSA Go</w:t>
      </w:r>
      <w:r>
        <w:t xml:space="preserve"> — a PSA product line (S17 pairs it with </w:t>
      </w:r>
      <w:proofErr w:type="spellStart"/>
      <w:r>
        <w:t>VaaS</w:t>
      </w:r>
      <w:proofErr w:type="spellEnd"/>
      <w:r>
        <w:t xml:space="preserve"> for signup-source attribution; DPE-5087 is the stalled data-team ticket). Its exact definition is one of the discovery questions — likely a lighter-weight PSA app/experience. Confirm with Stephen; don't guess in front of the client.</w:t>
      </w:r>
    </w:p>
    <w:p w14:paraId="358D61E9" w14:textId="77777777" w:rsidR="00711273" w:rsidRDefault="00A537C0">
      <w:pPr>
        <w:spacing w:after="120" w:line="276" w:lineRule="auto"/>
      </w:pPr>
      <w:r>
        <w:rPr>
          <w:b/>
          <w:bCs/>
        </w:rPr>
        <w:t>Redline</w:t>
      </w:r>
      <w:r>
        <w:t xml:space="preserve"> — the internal codename for the </w:t>
      </w:r>
      <w:r>
        <w:rPr>
          <w:b/>
          <w:bCs/>
        </w:rPr>
        <w:t>PSA app overhaul</w:t>
      </w:r>
      <w:r>
        <w:t xml:space="preserve"> launching 31 August 2026. Scope item S09 is QA-</w:t>
      </w:r>
      <w:proofErr w:type="spellStart"/>
      <w:r>
        <w:t>ing</w:t>
      </w:r>
      <w:proofErr w:type="spellEnd"/>
      <w:r>
        <w:t xml:space="preserve"> tracking continuity through that release: when an app is rebuilt, existing events silently break, parameters go missing, and new screens ship </w:t>
      </w:r>
      <w:proofErr w:type="spellStart"/>
      <w:r>
        <w:t>uninstrumented</w:t>
      </w:r>
      <w:proofErr w:type="spellEnd"/>
      <w:r>
        <w:t>. Your resource's job is to verify nothing regressed.</w:t>
      </w:r>
    </w:p>
    <w:p w14:paraId="358D61EA" w14:textId="77777777" w:rsidR="00711273" w:rsidRDefault="00A537C0">
      <w:pPr>
        <w:spacing w:after="120" w:line="276" w:lineRule="auto"/>
      </w:pPr>
      <w:r>
        <w:rPr>
          <w:b/>
          <w:bCs/>
        </w:rPr>
        <w:t>PSA Rankings</w:t>
      </w:r>
      <w:r>
        <w:t xml:space="preserve"> — a new PSA subdomain launching in September (a ranking/league-table experience for graded cards, ~10 pages). Small build, high leadership visibility on launch traffic numbers, so GA4 + Quantum Metric must be instrumented correctly before launch (S11).</w:t>
      </w:r>
    </w:p>
    <w:p w14:paraId="358D61EC" w14:textId="443CDC75" w:rsidR="00711273" w:rsidRDefault="00A537C0" w:rsidP="00C06700">
      <w:pPr>
        <w:spacing w:after="120" w:line="276" w:lineRule="auto"/>
      </w:pPr>
      <w:r>
        <w:rPr>
          <w:b/>
          <w:bCs/>
        </w:rPr>
        <w:t xml:space="preserve">Germany </w:t>
      </w:r>
      <w:proofErr w:type="gramStart"/>
      <w:r>
        <w:rPr>
          <w:b/>
          <w:bCs/>
        </w:rPr>
        <w:t>launch</w:t>
      </w:r>
      <w:proofErr w:type="gramEnd"/>
      <w:r>
        <w:t xml:space="preserve"> — Collectors is launching operations in Germany, which triggers GDPR/German consent law obligations and creates the data-integrity workstream (S12).</w:t>
      </w:r>
    </w:p>
    <w:p w14:paraId="358D61ED" w14:textId="77777777" w:rsidR="00711273" w:rsidRDefault="00A537C0">
      <w:pPr>
        <w:pStyle w:val="Heading1"/>
        <w:spacing w:before="200" w:after="160"/>
      </w:pPr>
      <w:bookmarkStart w:id="5" w:name="_Toc237967345"/>
      <w:r>
        <w:rPr>
          <w:b/>
          <w:bCs/>
          <w:color w:val="1F3557"/>
        </w:rPr>
        <w:t>3. The Client-Side Operating Model</w:t>
      </w:r>
      <w:bookmarkEnd w:id="5"/>
    </w:p>
    <w:p w14:paraId="358D61EE" w14:textId="77777777" w:rsidR="00711273" w:rsidRDefault="00A537C0">
      <w:pPr>
        <w:pStyle w:val="Heading2"/>
        <w:pBdr>
          <w:bottom w:val="single" w:sz="6" w:space="2" w:color="F37021"/>
        </w:pBdr>
        <w:spacing w:before="240" w:after="120"/>
      </w:pPr>
      <w:bookmarkStart w:id="6" w:name="_Toc237967346"/>
      <w:r>
        <w:rPr>
          <w:b/>
          <w:bCs/>
          <w:color w:val="1F3557"/>
        </w:rPr>
        <w:t>3.1 Stephen</w:t>
      </w:r>
      <w:bookmarkEnd w:id="6"/>
    </w:p>
    <w:p w14:paraId="358D61EF" w14:textId="77777777" w:rsidR="00711273" w:rsidRDefault="00A537C0">
      <w:pPr>
        <w:spacing w:after="120" w:line="276" w:lineRule="auto"/>
      </w:pPr>
      <w:r>
        <w:t>Stephen owns marketing tracking and measurement across all five brands. Reading his sheet tells you a lot about him: he writes precise, ticket-referenced status lines; he tracks "next update expected in N business days" per item; he explicitly names gaps and risks; and he distinguishes what belongs to Data, Engineering, IT, and himself. Treat him as a technically fluent, process-driven counterpart. He will notice sloppy status reporting immediately — and he will reward evidence-led work (his own framing of audit success is findings "backed by a query result, a DebugView screenshot, or a network call payload").</w:t>
      </w:r>
    </w:p>
    <w:p w14:paraId="358D61F0" w14:textId="77777777" w:rsidR="00711273" w:rsidRDefault="00A537C0">
      <w:pPr>
        <w:spacing w:after="120" w:line="276" w:lineRule="auto"/>
      </w:pPr>
      <w:r>
        <w:t>What he has been carrying alone: audit scoping, QA of engineering deployments, writing analytics specs for tickets, UTM standards, link inventories, vendor evaluation (</w:t>
      </w:r>
      <w:proofErr w:type="spellStart"/>
      <w:r>
        <w:t>AppsFlyer</w:t>
      </w:r>
      <w:proofErr w:type="spellEnd"/>
      <w:r>
        <w:t>), documentation, enablement (Quantum Metric), and privacy methodology. The "Stephen / EXL" column is him listing which of those he wants off his plate.</w:t>
      </w:r>
    </w:p>
    <w:p w14:paraId="358D61F1" w14:textId="77777777" w:rsidR="00711273" w:rsidRDefault="00A537C0">
      <w:pPr>
        <w:pStyle w:val="Heading2"/>
        <w:pBdr>
          <w:bottom w:val="single" w:sz="6" w:space="2" w:color="F37021"/>
        </w:pBdr>
        <w:spacing w:before="240" w:after="120"/>
      </w:pPr>
      <w:bookmarkStart w:id="7" w:name="_Toc237967347"/>
      <w:r>
        <w:rPr>
          <w:b/>
          <w:bCs/>
          <w:color w:val="1F3557"/>
        </w:rPr>
        <w:t>3.2 The internal teams and their Jira prefixes</w:t>
      </w:r>
      <w:bookmarkEnd w:id="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98"/>
        <w:gridCol w:w="3931"/>
        <w:gridCol w:w="3931"/>
      </w:tblGrid>
      <w:tr w:rsidR="00711273" w14:paraId="358D61F5" w14:textId="77777777">
        <w:trPr>
          <w:tblHeader/>
        </w:trPr>
        <w:tc>
          <w:tcPr>
            <w:tcW w:w="1498" w:type="dxa"/>
            <w:shd w:val="clear" w:color="auto" w:fill="1F3557"/>
            <w:tcMar>
              <w:top w:w="60" w:type="dxa"/>
              <w:left w:w="100" w:type="dxa"/>
              <w:bottom w:w="60" w:type="dxa"/>
              <w:right w:w="100" w:type="dxa"/>
            </w:tcMar>
            <w:vAlign w:val="center"/>
          </w:tcPr>
          <w:p w14:paraId="358D61F2" w14:textId="77777777" w:rsidR="00711273" w:rsidRDefault="00A537C0">
            <w:pPr>
              <w:spacing w:before="20" w:after="20"/>
            </w:pPr>
            <w:r>
              <w:rPr>
                <w:b/>
                <w:bCs/>
                <w:color w:val="FFFFFF"/>
                <w:sz w:val="19"/>
                <w:szCs w:val="19"/>
              </w:rPr>
              <w:t>Team</w:t>
            </w:r>
          </w:p>
        </w:tc>
        <w:tc>
          <w:tcPr>
            <w:tcW w:w="3931" w:type="dxa"/>
            <w:shd w:val="clear" w:color="auto" w:fill="1F3557"/>
            <w:tcMar>
              <w:top w:w="60" w:type="dxa"/>
              <w:left w:w="100" w:type="dxa"/>
              <w:bottom w:w="60" w:type="dxa"/>
              <w:right w:w="100" w:type="dxa"/>
            </w:tcMar>
            <w:vAlign w:val="center"/>
          </w:tcPr>
          <w:p w14:paraId="358D61F3" w14:textId="77777777" w:rsidR="00711273" w:rsidRDefault="00A537C0">
            <w:pPr>
              <w:spacing w:before="20" w:after="20"/>
            </w:pPr>
            <w:r>
              <w:rPr>
                <w:b/>
                <w:bCs/>
                <w:color w:val="FFFFFF"/>
                <w:sz w:val="19"/>
                <w:szCs w:val="19"/>
              </w:rPr>
              <w:t>Jira prefix</w:t>
            </w:r>
          </w:p>
        </w:tc>
        <w:tc>
          <w:tcPr>
            <w:tcW w:w="3931" w:type="dxa"/>
            <w:shd w:val="clear" w:color="auto" w:fill="1F3557"/>
            <w:tcMar>
              <w:top w:w="60" w:type="dxa"/>
              <w:left w:w="100" w:type="dxa"/>
              <w:bottom w:w="60" w:type="dxa"/>
              <w:right w:w="100" w:type="dxa"/>
            </w:tcMar>
            <w:vAlign w:val="center"/>
          </w:tcPr>
          <w:p w14:paraId="358D61F4" w14:textId="77777777" w:rsidR="00711273" w:rsidRDefault="00A537C0">
            <w:pPr>
              <w:spacing w:before="20" w:after="20"/>
            </w:pPr>
            <w:r>
              <w:rPr>
                <w:b/>
                <w:bCs/>
                <w:color w:val="FFFFFF"/>
                <w:sz w:val="19"/>
                <w:szCs w:val="19"/>
              </w:rPr>
              <w:t>What they own (as seen in the sheet)</w:t>
            </w:r>
          </w:p>
        </w:tc>
      </w:tr>
      <w:tr w:rsidR="00711273" w14:paraId="358D61F9" w14:textId="77777777">
        <w:tc>
          <w:tcPr>
            <w:tcW w:w="1498" w:type="dxa"/>
            <w:tcMar>
              <w:top w:w="60" w:type="dxa"/>
              <w:left w:w="100" w:type="dxa"/>
              <w:bottom w:w="60" w:type="dxa"/>
              <w:right w:w="100" w:type="dxa"/>
            </w:tcMar>
            <w:vAlign w:val="center"/>
          </w:tcPr>
          <w:p w14:paraId="358D61F6" w14:textId="77777777" w:rsidR="00711273" w:rsidRDefault="00A537C0">
            <w:pPr>
              <w:spacing w:before="20" w:after="20"/>
            </w:pPr>
            <w:r>
              <w:rPr>
                <w:sz w:val="19"/>
                <w:szCs w:val="19"/>
              </w:rPr>
              <w:t>Data Team</w:t>
            </w:r>
          </w:p>
        </w:tc>
        <w:tc>
          <w:tcPr>
            <w:tcW w:w="3931" w:type="dxa"/>
            <w:tcMar>
              <w:top w:w="60" w:type="dxa"/>
              <w:left w:w="100" w:type="dxa"/>
              <w:bottom w:w="60" w:type="dxa"/>
              <w:right w:w="100" w:type="dxa"/>
            </w:tcMar>
            <w:vAlign w:val="center"/>
          </w:tcPr>
          <w:p w14:paraId="358D61F7" w14:textId="77777777" w:rsidR="00711273" w:rsidRDefault="00A537C0">
            <w:pPr>
              <w:spacing w:before="20" w:after="20"/>
            </w:pPr>
            <w:r>
              <w:rPr>
                <w:b/>
                <w:bCs/>
                <w:sz w:val="19"/>
                <w:szCs w:val="19"/>
              </w:rPr>
              <w:t>DPE</w:t>
            </w:r>
          </w:p>
        </w:tc>
        <w:tc>
          <w:tcPr>
            <w:tcW w:w="3931" w:type="dxa"/>
            <w:tcMar>
              <w:top w:w="60" w:type="dxa"/>
              <w:left w:w="100" w:type="dxa"/>
              <w:bottom w:w="60" w:type="dxa"/>
              <w:right w:w="100" w:type="dxa"/>
            </w:tcMar>
            <w:vAlign w:val="center"/>
          </w:tcPr>
          <w:p w14:paraId="358D61F8" w14:textId="77777777" w:rsidR="00711273" w:rsidRDefault="00A537C0">
            <w:pPr>
              <w:spacing w:before="20" w:after="20"/>
            </w:pPr>
            <w:proofErr w:type="spellStart"/>
            <w:r>
              <w:rPr>
                <w:sz w:val="19"/>
                <w:szCs w:val="19"/>
              </w:rPr>
              <w:t>BigQuery</w:t>
            </w:r>
            <w:proofErr w:type="spellEnd"/>
            <w:r>
              <w:rPr>
                <w:sz w:val="19"/>
                <w:szCs w:val="19"/>
              </w:rPr>
              <w:t xml:space="preserve"> pipelines, reporting builds, data models (DPE-5111/5112 PP reporting; DPE-4164 Marketplace; DPE-5087 PSA Go; DPE-5060 TikTok/</w:t>
            </w:r>
            <w:proofErr w:type="spellStart"/>
            <w:r>
              <w:rPr>
                <w:sz w:val="19"/>
                <w:szCs w:val="19"/>
              </w:rPr>
              <w:t>StackAdapt</w:t>
            </w:r>
            <w:proofErr w:type="spellEnd"/>
            <w:r>
              <w:rPr>
                <w:sz w:val="19"/>
                <w:szCs w:val="19"/>
              </w:rPr>
              <w:t>)</w:t>
            </w:r>
          </w:p>
        </w:tc>
      </w:tr>
      <w:tr w:rsidR="00711273" w14:paraId="358D61FD" w14:textId="77777777">
        <w:tc>
          <w:tcPr>
            <w:tcW w:w="1498" w:type="dxa"/>
            <w:shd w:val="clear" w:color="auto" w:fill="F2F2F2"/>
            <w:tcMar>
              <w:top w:w="60" w:type="dxa"/>
              <w:left w:w="100" w:type="dxa"/>
              <w:bottom w:w="60" w:type="dxa"/>
              <w:right w:w="100" w:type="dxa"/>
            </w:tcMar>
            <w:vAlign w:val="center"/>
          </w:tcPr>
          <w:p w14:paraId="358D61FA" w14:textId="77777777" w:rsidR="00711273" w:rsidRDefault="00A537C0">
            <w:pPr>
              <w:spacing w:before="20" w:after="20"/>
            </w:pPr>
            <w:r>
              <w:rPr>
                <w:sz w:val="19"/>
                <w:szCs w:val="19"/>
              </w:rPr>
              <w:t>Engineering (app)</w:t>
            </w:r>
          </w:p>
        </w:tc>
        <w:tc>
          <w:tcPr>
            <w:tcW w:w="3931" w:type="dxa"/>
            <w:shd w:val="clear" w:color="auto" w:fill="F2F2F2"/>
            <w:tcMar>
              <w:top w:w="60" w:type="dxa"/>
              <w:left w:w="100" w:type="dxa"/>
              <w:bottom w:w="60" w:type="dxa"/>
              <w:right w:w="100" w:type="dxa"/>
            </w:tcMar>
            <w:vAlign w:val="center"/>
          </w:tcPr>
          <w:p w14:paraId="358D61FB" w14:textId="77777777" w:rsidR="00711273" w:rsidRDefault="00A537C0">
            <w:pPr>
              <w:spacing w:before="20" w:after="20"/>
            </w:pPr>
            <w:r>
              <w:rPr>
                <w:b/>
                <w:bCs/>
                <w:sz w:val="19"/>
                <w:szCs w:val="19"/>
              </w:rPr>
              <w:t>PGX</w:t>
            </w:r>
            <w:r>
              <w:rPr>
                <w:sz w:val="19"/>
                <w:szCs w:val="19"/>
              </w:rPr>
              <w:t xml:space="preserve"> (PSA apps), </w:t>
            </w:r>
            <w:r>
              <w:rPr>
                <w:b/>
                <w:bCs/>
                <w:sz w:val="19"/>
                <w:szCs w:val="19"/>
              </w:rPr>
              <w:t>PACK</w:t>
            </w:r>
            <w:r>
              <w:rPr>
                <w:sz w:val="19"/>
                <w:szCs w:val="19"/>
              </w:rPr>
              <w:t xml:space="preserve"> (</w:t>
            </w:r>
            <w:proofErr w:type="spellStart"/>
            <w:r>
              <w:rPr>
                <w:sz w:val="19"/>
                <w:szCs w:val="19"/>
              </w:rPr>
              <w:t>PowerPacks</w:t>
            </w:r>
            <w:proofErr w:type="spellEnd"/>
            <w:r>
              <w:rPr>
                <w:sz w:val="19"/>
                <w:szCs w:val="19"/>
              </w:rPr>
              <w:t xml:space="preserve"> app)</w:t>
            </w:r>
          </w:p>
        </w:tc>
        <w:tc>
          <w:tcPr>
            <w:tcW w:w="3931" w:type="dxa"/>
            <w:shd w:val="clear" w:color="auto" w:fill="F2F2F2"/>
            <w:tcMar>
              <w:top w:w="60" w:type="dxa"/>
              <w:left w:w="100" w:type="dxa"/>
              <w:bottom w:w="60" w:type="dxa"/>
              <w:right w:w="100" w:type="dxa"/>
            </w:tcMar>
            <w:vAlign w:val="center"/>
          </w:tcPr>
          <w:p w14:paraId="358D61FC" w14:textId="77777777" w:rsidR="00711273" w:rsidRDefault="00A537C0">
            <w:pPr>
              <w:spacing w:before="20" w:after="20"/>
            </w:pPr>
            <w:r>
              <w:rPr>
                <w:sz w:val="19"/>
                <w:szCs w:val="19"/>
              </w:rPr>
              <w:t xml:space="preserve">SDK integrations, in-app event instrumentation (PGX-4932/33/35 PSA tracking; PGX-4934 AF SDK swap; PGX-4936 CRM </w:t>
            </w:r>
            <w:proofErr w:type="spellStart"/>
            <w:r>
              <w:rPr>
                <w:sz w:val="19"/>
                <w:szCs w:val="19"/>
              </w:rPr>
              <w:t>deeplinks</w:t>
            </w:r>
            <w:proofErr w:type="spellEnd"/>
            <w:r>
              <w:rPr>
                <w:sz w:val="19"/>
                <w:szCs w:val="19"/>
              </w:rPr>
              <w:t xml:space="preserve">; PACK-1131/1133/1134/1213 </w:t>
            </w:r>
            <w:proofErr w:type="spellStart"/>
            <w:r>
              <w:rPr>
                <w:sz w:val="19"/>
                <w:szCs w:val="19"/>
              </w:rPr>
              <w:t>AppsFlyer</w:t>
            </w:r>
            <w:proofErr w:type="spellEnd"/>
            <w:r>
              <w:rPr>
                <w:sz w:val="19"/>
                <w:szCs w:val="19"/>
              </w:rPr>
              <w:t xml:space="preserve"> in PP)</w:t>
            </w:r>
          </w:p>
        </w:tc>
      </w:tr>
      <w:tr w:rsidR="00711273" w14:paraId="358D6201" w14:textId="77777777">
        <w:tc>
          <w:tcPr>
            <w:tcW w:w="1498" w:type="dxa"/>
            <w:tcMar>
              <w:top w:w="60" w:type="dxa"/>
              <w:left w:w="100" w:type="dxa"/>
              <w:bottom w:w="60" w:type="dxa"/>
              <w:right w:w="100" w:type="dxa"/>
            </w:tcMar>
            <w:vAlign w:val="center"/>
          </w:tcPr>
          <w:p w14:paraId="358D61FE" w14:textId="77777777" w:rsidR="00711273" w:rsidRDefault="00A537C0">
            <w:pPr>
              <w:spacing w:before="20" w:after="20"/>
            </w:pPr>
            <w:r>
              <w:rPr>
                <w:sz w:val="19"/>
                <w:szCs w:val="19"/>
              </w:rPr>
              <w:t>IT</w:t>
            </w:r>
          </w:p>
        </w:tc>
        <w:tc>
          <w:tcPr>
            <w:tcW w:w="3931" w:type="dxa"/>
            <w:tcMar>
              <w:top w:w="60" w:type="dxa"/>
              <w:left w:w="100" w:type="dxa"/>
              <w:bottom w:w="60" w:type="dxa"/>
              <w:right w:w="100" w:type="dxa"/>
            </w:tcMar>
            <w:vAlign w:val="center"/>
          </w:tcPr>
          <w:p w14:paraId="358D61FF" w14:textId="77777777" w:rsidR="00711273" w:rsidRDefault="00A537C0">
            <w:pPr>
              <w:spacing w:before="20" w:after="20"/>
            </w:pPr>
            <w:r>
              <w:rPr>
                <w:sz w:val="19"/>
                <w:szCs w:val="19"/>
              </w:rPr>
              <w:t>—</w:t>
            </w:r>
          </w:p>
        </w:tc>
        <w:tc>
          <w:tcPr>
            <w:tcW w:w="3931" w:type="dxa"/>
            <w:tcMar>
              <w:top w:w="60" w:type="dxa"/>
              <w:left w:w="100" w:type="dxa"/>
              <w:bottom w:w="60" w:type="dxa"/>
              <w:right w:w="100" w:type="dxa"/>
            </w:tcMar>
            <w:vAlign w:val="center"/>
          </w:tcPr>
          <w:p w14:paraId="358D6200" w14:textId="77777777" w:rsidR="00711273" w:rsidRDefault="00A537C0">
            <w:pPr>
              <w:spacing w:before="20" w:after="20"/>
            </w:pPr>
            <w:r>
              <w:rPr>
                <w:sz w:val="19"/>
                <w:szCs w:val="19"/>
              </w:rPr>
              <w:t xml:space="preserve">DNS, subdomains, security reviews (1P subdomains for </w:t>
            </w:r>
            <w:proofErr w:type="spellStart"/>
            <w:r>
              <w:rPr>
                <w:sz w:val="19"/>
                <w:szCs w:val="19"/>
              </w:rPr>
              <w:t>sGTM</w:t>
            </w:r>
            <w:proofErr w:type="spellEnd"/>
            <w:r>
              <w:rPr>
                <w:sz w:val="19"/>
                <w:szCs w:val="19"/>
              </w:rPr>
              <w:t xml:space="preserve">; </w:t>
            </w:r>
            <w:proofErr w:type="spellStart"/>
            <w:r>
              <w:rPr>
                <w:sz w:val="19"/>
                <w:szCs w:val="19"/>
              </w:rPr>
              <w:t>AppsFlyer</w:t>
            </w:r>
            <w:proofErr w:type="spellEnd"/>
            <w:r>
              <w:rPr>
                <w:sz w:val="19"/>
                <w:szCs w:val="19"/>
              </w:rPr>
              <w:t xml:space="preserve"> DNS/security </w:t>
            </w:r>
            <w:r>
              <w:rPr>
                <w:sz w:val="19"/>
                <w:szCs w:val="19"/>
              </w:rPr>
              <w:lastRenderedPageBreak/>
              <w:t xml:space="preserve">review). GameStop IT handles </w:t>
            </w:r>
            <w:proofErr w:type="spellStart"/>
            <w:r>
              <w:rPr>
                <w:sz w:val="19"/>
                <w:szCs w:val="19"/>
              </w:rPr>
              <w:t>PowerPacks</w:t>
            </w:r>
            <w:proofErr w:type="spellEnd"/>
            <w:r>
              <w:rPr>
                <w:sz w:val="19"/>
                <w:szCs w:val="19"/>
              </w:rPr>
              <w:t xml:space="preserve"> domains</w:t>
            </w:r>
          </w:p>
        </w:tc>
      </w:tr>
      <w:tr w:rsidR="00711273" w14:paraId="358D6205" w14:textId="77777777">
        <w:tc>
          <w:tcPr>
            <w:tcW w:w="1498" w:type="dxa"/>
            <w:shd w:val="clear" w:color="auto" w:fill="F2F2F2"/>
            <w:tcMar>
              <w:top w:w="60" w:type="dxa"/>
              <w:left w:w="100" w:type="dxa"/>
              <w:bottom w:w="60" w:type="dxa"/>
              <w:right w:w="100" w:type="dxa"/>
            </w:tcMar>
            <w:vAlign w:val="center"/>
          </w:tcPr>
          <w:p w14:paraId="358D6202" w14:textId="77777777" w:rsidR="00711273" w:rsidRDefault="00A537C0">
            <w:pPr>
              <w:spacing w:before="20" w:after="20"/>
            </w:pPr>
            <w:r>
              <w:rPr>
                <w:sz w:val="19"/>
                <w:szCs w:val="19"/>
              </w:rPr>
              <w:lastRenderedPageBreak/>
              <w:t>Legal</w:t>
            </w:r>
          </w:p>
        </w:tc>
        <w:tc>
          <w:tcPr>
            <w:tcW w:w="3931" w:type="dxa"/>
            <w:shd w:val="clear" w:color="auto" w:fill="F2F2F2"/>
            <w:tcMar>
              <w:top w:w="60" w:type="dxa"/>
              <w:left w:w="100" w:type="dxa"/>
              <w:bottom w:w="60" w:type="dxa"/>
              <w:right w:w="100" w:type="dxa"/>
            </w:tcMar>
            <w:vAlign w:val="center"/>
          </w:tcPr>
          <w:p w14:paraId="358D6203" w14:textId="77777777" w:rsidR="00711273" w:rsidRDefault="00A537C0">
            <w:pPr>
              <w:spacing w:before="20" w:after="20"/>
            </w:pPr>
            <w:r>
              <w:rPr>
                <w:sz w:val="19"/>
                <w:szCs w:val="19"/>
              </w:rPr>
              <w:t>—</w:t>
            </w:r>
          </w:p>
        </w:tc>
        <w:tc>
          <w:tcPr>
            <w:tcW w:w="3931" w:type="dxa"/>
            <w:shd w:val="clear" w:color="auto" w:fill="F2F2F2"/>
            <w:tcMar>
              <w:top w:w="60" w:type="dxa"/>
              <w:left w:w="100" w:type="dxa"/>
              <w:bottom w:w="60" w:type="dxa"/>
              <w:right w:w="100" w:type="dxa"/>
            </w:tcMar>
            <w:vAlign w:val="center"/>
          </w:tcPr>
          <w:p w14:paraId="358D6204" w14:textId="77777777" w:rsidR="00711273" w:rsidRDefault="00A537C0">
            <w:pPr>
              <w:spacing w:before="20" w:after="20"/>
            </w:pPr>
            <w:r>
              <w:rPr>
                <w:sz w:val="19"/>
                <w:szCs w:val="19"/>
              </w:rPr>
              <w:t>Germany compliance position, Osano/</w:t>
            </w:r>
            <w:proofErr w:type="spellStart"/>
            <w:r>
              <w:rPr>
                <w:sz w:val="19"/>
                <w:szCs w:val="19"/>
              </w:rPr>
              <w:t>OneTrust</w:t>
            </w:r>
            <w:proofErr w:type="spellEnd"/>
            <w:r>
              <w:rPr>
                <w:sz w:val="19"/>
                <w:szCs w:val="19"/>
              </w:rPr>
              <w:t xml:space="preserve"> direction</w:t>
            </w:r>
          </w:p>
        </w:tc>
      </w:tr>
    </w:tbl>
    <w:p w14:paraId="358D6206" w14:textId="77777777" w:rsidR="00711273" w:rsidRDefault="00711273">
      <w:pPr>
        <w:spacing w:after="120"/>
      </w:pPr>
    </w:p>
    <w:p w14:paraId="358D6207" w14:textId="77777777" w:rsidR="00711273" w:rsidRDefault="00A537C0">
      <w:pPr>
        <w:spacing w:after="120" w:line="276" w:lineRule="auto"/>
      </w:pPr>
      <w:r>
        <w:t>EXL sits alongside these teams: performing audits, QA-</w:t>
      </w:r>
      <w:proofErr w:type="spellStart"/>
      <w:r>
        <w:t>ing</w:t>
      </w:r>
      <w:proofErr w:type="spellEnd"/>
      <w:r>
        <w:t xml:space="preserve"> what Engineering deploys, writing specs Engineering builds from, validating what Data builds, and feeding Stephen decision-grade summaries.</w:t>
      </w:r>
    </w:p>
    <w:p w14:paraId="358D6208" w14:textId="77777777" w:rsidR="00711273" w:rsidRDefault="00A537C0">
      <w:pPr>
        <w:pStyle w:val="Heading2"/>
        <w:pBdr>
          <w:bottom w:val="single" w:sz="6" w:space="2" w:color="F37021"/>
        </w:pBdr>
        <w:spacing w:before="240" w:after="120"/>
      </w:pPr>
      <w:bookmarkStart w:id="8" w:name="_Toc237967348"/>
      <w:r>
        <w:rPr>
          <w:b/>
          <w:bCs/>
          <w:color w:val="1F3557"/>
        </w:rPr>
        <w:t>3.3 Cadence</w:t>
      </w:r>
      <w:bookmarkEnd w:id="8"/>
    </w:p>
    <w:p w14:paraId="358D620A" w14:textId="70CDC120" w:rsidR="00711273" w:rsidRDefault="00A537C0" w:rsidP="00C06700">
      <w:pPr>
        <w:spacing w:after="120" w:line="276" w:lineRule="auto"/>
      </w:pPr>
      <w:r>
        <w:t>The sheet carries a per-item "next update expected (business days)" column — Stephen runs a rolling update rhythm, with the nearest items on 1–6 business day cycles. Expect weekly (or faster) written status against every item EXL owns. One of the Discovery Session 1 questions already drafted: what reporting cadence and format suits him. Match his format; don't invent a new one.</w:t>
      </w:r>
    </w:p>
    <w:p w14:paraId="358D620B" w14:textId="77777777" w:rsidR="00711273" w:rsidRDefault="00A537C0">
      <w:pPr>
        <w:pStyle w:val="Heading1"/>
        <w:spacing w:before="200" w:after="160"/>
      </w:pPr>
      <w:bookmarkStart w:id="9" w:name="_Toc237967349"/>
      <w:r>
        <w:rPr>
          <w:b/>
          <w:bCs/>
          <w:color w:val="1F3557"/>
        </w:rPr>
        <w:t>4. What Stephen Is Actually Solving For</w:t>
      </w:r>
      <w:bookmarkEnd w:id="9"/>
    </w:p>
    <w:p w14:paraId="358D620C" w14:textId="77777777" w:rsidR="00711273" w:rsidRDefault="00A537C0">
      <w:pPr>
        <w:spacing w:after="120" w:line="276" w:lineRule="auto"/>
      </w:pPr>
      <w:r>
        <w:t xml:space="preserve">Strip away the </w:t>
      </w:r>
      <w:proofErr w:type="gramStart"/>
      <w:r>
        <w:t>18 line</w:t>
      </w:r>
      <w:proofErr w:type="gramEnd"/>
      <w:r>
        <w:t xml:space="preserve"> items and there are six underlying problems:</w:t>
      </w:r>
    </w:p>
    <w:p w14:paraId="358D620D" w14:textId="77777777" w:rsidR="00711273" w:rsidRDefault="00A537C0">
      <w:pPr>
        <w:spacing w:after="120" w:line="276" w:lineRule="auto"/>
      </w:pPr>
      <w:r>
        <w:rPr>
          <w:b/>
          <w:bCs/>
        </w:rPr>
        <w:t>1. He doesn't know what's broken.</w:t>
      </w:r>
      <w:r>
        <w:t xml:space="preserve"> The tracking estate across five brands has </w:t>
      </w:r>
      <w:r>
        <w:rPr>
          <w:i/>
          <w:iCs/>
        </w:rPr>
        <w:t>never been fully audited</w:t>
      </w:r>
      <w:r>
        <w:t>. Every downstream decision (what to fix, what to build, what to trust) is compromised by unknown gaps. That's why the audit (S01) is the keystone — its findings are expected to reshape the rest of the priority list — and why documentation (S02) is produced in tandem (~70% of docs fall out of the audit naturally).</w:t>
      </w:r>
    </w:p>
    <w:p w14:paraId="358D620E" w14:textId="77777777" w:rsidR="00711273" w:rsidRDefault="00A537C0">
      <w:pPr>
        <w:spacing w:after="120" w:line="276" w:lineRule="auto"/>
      </w:pPr>
      <w:r>
        <w:rPr>
          <w:b/>
          <w:bCs/>
        </w:rPr>
        <w:t>2. Mobile attribution is unreliable and the clock is ticking.</w:t>
      </w:r>
      <w:r>
        <w:t xml:space="preserve"> </w:t>
      </w:r>
      <w:proofErr w:type="spellStart"/>
      <w:r>
        <w:t>PowerPacks</w:t>
      </w:r>
      <w:proofErr w:type="spellEnd"/>
      <w:r>
        <w:t xml:space="preserve"> — the fastest-growing, most paid-media-heavy property — cannot reliably tell which campaigns drive installs and purchases. PSA runs on Branch.io, whose contract ends 29 Sep. </w:t>
      </w:r>
      <w:proofErr w:type="spellStart"/>
      <w:r>
        <w:t>AppsFlyer</w:t>
      </w:r>
      <w:proofErr w:type="spellEnd"/>
      <w:r>
        <w:t xml:space="preserve"> is being trialled (PP deployment kicked off the first trial; PSA 30-day trial started 17 Aug). A decision must land before the Branch EOC or Collectors is forced into a renewal or month-to-month rollover. PCGS apps have never had attribution at all.</w:t>
      </w:r>
    </w:p>
    <w:p w14:paraId="358D620F" w14:textId="77777777" w:rsidR="00711273" w:rsidRDefault="00A537C0">
      <w:pPr>
        <w:spacing w:after="120" w:line="276" w:lineRule="auto"/>
      </w:pPr>
      <w:r>
        <w:rPr>
          <w:b/>
          <w:bCs/>
        </w:rPr>
        <w:t>3. Paid conversion signals are weak.</w:t>
      </w:r>
      <w:r>
        <w:t xml:space="preserve"> Server-side GTM exists (Stape-hosted) but only loads first-party scripts — it carries no events. Browser-side signals are increasingly degraded by ad blockers, ITP, and iOS privacy changes. The fix is real server-side event flow: Meta CAPI and Google Ads server-side conversions first, gated on IT provisioning first-party subdomains.</w:t>
      </w:r>
    </w:p>
    <w:p w14:paraId="358D6210" w14:textId="77777777" w:rsidR="00711273" w:rsidRDefault="00A537C0">
      <w:pPr>
        <w:spacing w:after="120" w:line="276" w:lineRule="auto"/>
      </w:pPr>
      <w:r>
        <w:rPr>
          <w:b/>
          <w:bCs/>
        </w:rPr>
        <w:t>4. Reporting is manual and stalled.</w:t>
      </w:r>
      <w:r>
        <w:t xml:space="preserve"> PP paid performance reporting is manual — target is 99% automation by 31 Aug (Google Ads + Meta first, TikTok + </w:t>
      </w:r>
      <w:proofErr w:type="spellStart"/>
      <w:r>
        <w:t>StackAdapt</w:t>
      </w:r>
      <w:proofErr w:type="spellEnd"/>
      <w:r>
        <w:t xml:space="preserve"> next, proper data model in Q4). Marketplace reporting has sat at 80% since Q2.</w:t>
      </w:r>
    </w:p>
    <w:p w14:paraId="358D6211" w14:textId="77777777" w:rsidR="00711273" w:rsidRDefault="00A537C0">
      <w:pPr>
        <w:spacing w:after="120" w:line="276" w:lineRule="auto"/>
      </w:pPr>
      <w:r>
        <w:rPr>
          <w:b/>
          <w:bCs/>
        </w:rPr>
        <w:t>5. Privacy risk is about to spike.</w:t>
      </w:r>
      <w:r>
        <w:t xml:space="preserve"> The Germany launch triggers strict opt-in consent; California already has low opt-in rates. Data from those regions is skewed (only consenting users appear), and today there is nothing stopping an analyst from blindly pulling skewed numbers into a deck. Stephen wants default filters/annotations on reports and, longer-term, modelling approaches for low-consent datasets. BGS is on a different CMP (</w:t>
      </w:r>
      <w:proofErr w:type="spellStart"/>
      <w:r>
        <w:t>OneTrust</w:t>
      </w:r>
      <w:proofErr w:type="spellEnd"/>
      <w:r>
        <w:t>) than the rest of the estate (Osano) — a standardisation decision waits on Legal.</w:t>
      </w:r>
    </w:p>
    <w:p w14:paraId="358D6212" w14:textId="77777777" w:rsidR="00711273" w:rsidRDefault="00A537C0">
      <w:pPr>
        <w:spacing w:after="120" w:line="276" w:lineRule="auto"/>
      </w:pPr>
      <w:r>
        <w:rPr>
          <w:b/>
          <w:bCs/>
        </w:rPr>
        <w:lastRenderedPageBreak/>
        <w:t>6. Tools are bought but not adopted.</w:t>
      </w:r>
      <w:r>
        <w:t xml:space="preserve"> Quantum Metric is rolled out but internal teams aren't using it — no team dashboards, no champions, no internal POC. GA4 is on the free tier and hitting quota limits, with a </w:t>
      </w:r>
      <w:proofErr w:type="gramStart"/>
      <w:r>
        <w:t>360 upgrade</w:t>
      </w:r>
      <w:proofErr w:type="gramEnd"/>
      <w:r>
        <w:t xml:space="preserve"> flagged as needed for reliable </w:t>
      </w:r>
      <w:proofErr w:type="spellStart"/>
      <w:r>
        <w:t>BigQuery</w:t>
      </w:r>
      <w:proofErr w:type="spellEnd"/>
      <w:r>
        <w:t xml:space="preserve"> export at their volume (6.4M+ collector IDs, 20–30 core tables).</w:t>
      </w:r>
    </w:p>
    <w:p w14:paraId="358D6214" w14:textId="41FF45FE" w:rsidR="00711273" w:rsidRDefault="00A537C0" w:rsidP="00C06700">
      <w:pPr>
        <w:spacing w:after="120" w:line="276" w:lineRule="auto"/>
      </w:pPr>
      <w:r>
        <w:t>If you internalise these six, every ticket and every discovery question slots into place.</w:t>
      </w:r>
    </w:p>
    <w:p w14:paraId="358D6215" w14:textId="77777777" w:rsidR="00711273" w:rsidRDefault="00A537C0">
      <w:pPr>
        <w:pStyle w:val="Heading1"/>
        <w:spacing w:before="200" w:after="160"/>
      </w:pPr>
      <w:bookmarkStart w:id="10" w:name="_Toc237967350"/>
      <w:r>
        <w:rPr>
          <w:b/>
          <w:bCs/>
          <w:color w:val="1F3557"/>
        </w:rPr>
        <w:t>5. The Tech Stack, Explained Properly</w:t>
      </w:r>
      <w:bookmarkEnd w:id="10"/>
    </w:p>
    <w:p w14:paraId="358D6216" w14:textId="77777777" w:rsidR="00711273" w:rsidRDefault="00A537C0">
      <w:pPr>
        <w:spacing w:after="120" w:line="276" w:lineRule="auto"/>
      </w:pPr>
      <w:r>
        <w:t xml:space="preserve">You come from an NFL fan-data / Power BI / segmentation world. This stack is a different discipline: </w:t>
      </w:r>
      <w:r>
        <w:rPr>
          <w:b/>
          <w:bCs/>
        </w:rPr>
        <w:t>digital analytics implementation</w:t>
      </w:r>
      <w:r>
        <w:t xml:space="preserve"> — the plumbing that captures behavioural events on web and app and routes them to analytics, ad platforms, and the warehouse. Here is every platform on the Collectors stack image, what it does, and its current state.</w:t>
      </w:r>
    </w:p>
    <w:p w14:paraId="358D6217" w14:textId="77777777" w:rsidR="00711273" w:rsidRDefault="00A537C0">
      <w:pPr>
        <w:pStyle w:val="Heading2"/>
        <w:pBdr>
          <w:bottom w:val="single" w:sz="6" w:space="2" w:color="F37021"/>
        </w:pBdr>
        <w:spacing w:before="240" w:after="120"/>
      </w:pPr>
      <w:bookmarkStart w:id="11" w:name="_Toc237967351"/>
      <w:r>
        <w:rPr>
          <w:b/>
          <w:bCs/>
          <w:color w:val="1F3557"/>
        </w:rPr>
        <w:t>5.1 GA4 (Google Analytics 4)</w:t>
      </w:r>
      <w:bookmarkEnd w:id="11"/>
    </w:p>
    <w:p w14:paraId="358D6218" w14:textId="77777777" w:rsidR="00711273" w:rsidRDefault="00A537C0">
      <w:pPr>
        <w:spacing w:after="120" w:line="276" w:lineRule="auto"/>
      </w:pPr>
      <w:r>
        <w:rPr>
          <w:b/>
          <w:bCs/>
        </w:rPr>
        <w:t>What it is:</w:t>
      </w:r>
      <w:r>
        <w:t xml:space="preserve"> Google's web + app analytics platform. Event-based (everything is an event with parameters — no sessions/pageview-centric model like old Universal Analytics). Data is collected via the </w:t>
      </w:r>
      <w:proofErr w:type="spellStart"/>
      <w:r>
        <w:t>gtag</w:t>
      </w:r>
      <w:proofErr w:type="spellEnd"/>
      <w:r>
        <w:t>/GTM tag on web and via the Firebase SDK in apps. Provides reports, Explorations (ad-hoc analysis), audiences, and conversion tracking feeding Google Ads.</w:t>
      </w:r>
    </w:p>
    <w:p w14:paraId="358D6219" w14:textId="77777777" w:rsidR="00711273" w:rsidRDefault="00A537C0">
      <w:pPr>
        <w:spacing w:after="120" w:line="276" w:lineRule="auto"/>
      </w:pPr>
      <w:r>
        <w:rPr>
          <w:b/>
          <w:bCs/>
        </w:rPr>
        <w:t>Collectors state:</w:t>
      </w:r>
      <w:r>
        <w:t xml:space="preserve"> Free tier today. </w:t>
      </w:r>
      <w:r>
        <w:rPr>
          <w:b/>
          <w:bCs/>
        </w:rPr>
        <w:t xml:space="preserve">360 </w:t>
      </w:r>
      <w:proofErr w:type="gramStart"/>
      <w:r>
        <w:rPr>
          <w:b/>
          <w:bCs/>
        </w:rPr>
        <w:t>upgrade</w:t>
      </w:r>
      <w:proofErr w:type="gramEnd"/>
      <w:r>
        <w:rPr>
          <w:b/>
          <w:bCs/>
        </w:rPr>
        <w:t xml:space="preserve"> flagged as needed</w:t>
      </w:r>
      <w:r>
        <w:t xml:space="preserve"> — the free tier has quotas (</w:t>
      </w:r>
      <w:proofErr w:type="spellStart"/>
      <w:r>
        <w:t>BigQuery</w:t>
      </w:r>
      <w:proofErr w:type="spellEnd"/>
      <w:r>
        <w:t xml:space="preserve"> daily export capped at 1M events/day per property, API quotas, sampling in Explorations, 14-month retention) that a business with 6.4M+ collector IDs is hitting. GA4 360 is the paid enterprise tier (~$50k+/yr, higher limits, fresher/complete </w:t>
      </w:r>
      <w:proofErr w:type="spellStart"/>
      <w:r>
        <w:t>BigQuery</w:t>
      </w:r>
      <w:proofErr w:type="spellEnd"/>
      <w:r>
        <w:t xml:space="preserve"> export, SLA). Where the 360 budget decision sits is a discovery question.</w:t>
      </w:r>
    </w:p>
    <w:p w14:paraId="358D621A" w14:textId="77777777" w:rsidR="00711273" w:rsidRDefault="00A537C0">
      <w:pPr>
        <w:spacing w:after="120" w:line="276" w:lineRule="auto"/>
      </w:pPr>
      <w:r>
        <w:rPr>
          <w:b/>
          <w:bCs/>
        </w:rPr>
        <w:t>Why it matters to you:</w:t>
      </w:r>
      <w:r>
        <w:t xml:space="preserve"> GA4 is the centre of the audit. Your resource will live in GA4 DebugView (real-time event validation), Explorations, and the </w:t>
      </w:r>
      <w:proofErr w:type="spellStart"/>
      <w:r>
        <w:t>BigQuery</w:t>
      </w:r>
      <w:proofErr w:type="spellEnd"/>
      <w:r>
        <w:t xml:space="preserve"> event export.</w:t>
      </w:r>
    </w:p>
    <w:p w14:paraId="358D621B" w14:textId="77777777" w:rsidR="00711273" w:rsidRDefault="00A537C0">
      <w:pPr>
        <w:pStyle w:val="Heading2"/>
        <w:pBdr>
          <w:bottom w:val="single" w:sz="6" w:space="2" w:color="F37021"/>
        </w:pBdr>
        <w:spacing w:before="240" w:after="120"/>
      </w:pPr>
      <w:bookmarkStart w:id="12" w:name="_Toc237967352"/>
      <w:r>
        <w:rPr>
          <w:b/>
          <w:bCs/>
          <w:color w:val="1F3557"/>
        </w:rPr>
        <w:t>5.2 Google Tag Manager (GTM) — web containers</w:t>
      </w:r>
      <w:bookmarkEnd w:id="12"/>
    </w:p>
    <w:p w14:paraId="358D621C" w14:textId="77777777" w:rsidR="00711273" w:rsidRDefault="00A537C0">
      <w:pPr>
        <w:spacing w:after="120" w:line="276" w:lineRule="auto"/>
      </w:pPr>
      <w:r>
        <w:rPr>
          <w:b/>
          <w:bCs/>
        </w:rPr>
        <w:t>What it is:</w:t>
      </w:r>
      <w:r>
        <w:t xml:space="preserve"> A tag management system. Instead of hard-coding tracking pixels into the site, marketers configure </w:t>
      </w:r>
      <w:r>
        <w:rPr>
          <w:b/>
          <w:bCs/>
        </w:rPr>
        <w:t>tags</w:t>
      </w:r>
      <w:r>
        <w:t xml:space="preserve"> (what fires — GA4 events, Meta pixel, Google Ads conversions), </w:t>
      </w:r>
      <w:r>
        <w:rPr>
          <w:b/>
          <w:bCs/>
        </w:rPr>
        <w:t>triggers</w:t>
      </w:r>
      <w:r>
        <w:t xml:space="preserve"> (when — page view, button click, custom </w:t>
      </w:r>
      <w:proofErr w:type="spellStart"/>
      <w:r>
        <w:t>dataLayer</w:t>
      </w:r>
      <w:proofErr w:type="spellEnd"/>
      <w:r>
        <w:t xml:space="preserve"> event), and </w:t>
      </w:r>
      <w:r>
        <w:rPr>
          <w:b/>
          <w:bCs/>
        </w:rPr>
        <w:t>variables</w:t>
      </w:r>
      <w:r>
        <w:t xml:space="preserve"> (with what data) in a web UI, published as a container. The </w:t>
      </w:r>
      <w:proofErr w:type="spellStart"/>
      <w:r>
        <w:rPr>
          <w:b/>
          <w:bCs/>
        </w:rPr>
        <w:t>dataLayer</w:t>
      </w:r>
      <w:proofErr w:type="spellEnd"/>
      <w:r>
        <w:t xml:space="preserve"> is the JavaScript object the site pushes structured data into (e.g., purchase value, item IDs) for GTM to read.</w:t>
      </w:r>
    </w:p>
    <w:p w14:paraId="358D621D" w14:textId="77777777" w:rsidR="00711273" w:rsidRDefault="00A537C0">
      <w:pPr>
        <w:spacing w:after="120" w:line="276" w:lineRule="auto"/>
      </w:pPr>
      <w:r>
        <w:rPr>
          <w:b/>
          <w:bCs/>
        </w:rPr>
        <w:t>Collectors state:</w:t>
      </w:r>
      <w:r>
        <w:t xml:space="preserve"> Web GTM containers exist per brand (audit will inventory them). Server container is on Stape (below).</w:t>
      </w:r>
    </w:p>
    <w:p w14:paraId="358D621E" w14:textId="77777777" w:rsidR="00711273" w:rsidRDefault="00A537C0">
      <w:pPr>
        <w:pStyle w:val="Heading2"/>
        <w:pBdr>
          <w:bottom w:val="single" w:sz="6" w:space="2" w:color="F37021"/>
        </w:pBdr>
        <w:spacing w:before="240" w:after="120"/>
      </w:pPr>
      <w:bookmarkStart w:id="13" w:name="_Toc237967353"/>
      <w:r>
        <w:rPr>
          <w:b/>
          <w:bCs/>
          <w:color w:val="1F3557"/>
        </w:rPr>
        <w:t>5.3 Server-side GTM (</w:t>
      </w:r>
      <w:proofErr w:type="spellStart"/>
      <w:r>
        <w:rPr>
          <w:b/>
          <w:bCs/>
          <w:color w:val="1F3557"/>
        </w:rPr>
        <w:t>sGTM</w:t>
      </w:r>
      <w:proofErr w:type="spellEnd"/>
      <w:r>
        <w:rPr>
          <w:b/>
          <w:bCs/>
          <w:color w:val="1F3557"/>
        </w:rPr>
        <w:t>), Stape hosting, and first-party subdomains</w:t>
      </w:r>
      <w:bookmarkEnd w:id="13"/>
    </w:p>
    <w:p w14:paraId="358D621F" w14:textId="77777777" w:rsidR="00711273" w:rsidRDefault="00A537C0">
      <w:pPr>
        <w:spacing w:after="120" w:line="276" w:lineRule="auto"/>
      </w:pPr>
      <w:r>
        <w:rPr>
          <w:b/>
          <w:bCs/>
        </w:rPr>
        <w:t>What it is:</w:t>
      </w:r>
      <w:r>
        <w:t xml:space="preserve"> Normally tags fire in the user's browser and send data directly to Google/Meta/etc. With </w:t>
      </w:r>
      <w:r>
        <w:rPr>
          <w:b/>
          <w:bCs/>
        </w:rPr>
        <w:t>server-side GTM</w:t>
      </w:r>
      <w:r>
        <w:t xml:space="preserve">, the browser sends one stream of events to </w:t>
      </w:r>
      <w:r>
        <w:rPr>
          <w:i/>
          <w:iCs/>
        </w:rPr>
        <w:t>your own server endpoint</w:t>
      </w:r>
      <w:r>
        <w:t>, and that server (a GTM "server container") forwards cleaned, enriched events to each vendor. Benefits: resilience against ad blockers and Safari's ITP (Intelligent Tracking Prevention), control over what data leaves your estate, faster pages (fewer third-party scripts), and longer-lived first-party cookies when the endpoint runs on your own subdomain.</w:t>
      </w:r>
    </w:p>
    <w:p w14:paraId="358D6220" w14:textId="77777777" w:rsidR="00711273" w:rsidRDefault="00A537C0">
      <w:pPr>
        <w:spacing w:after="120" w:line="276" w:lineRule="auto"/>
      </w:pPr>
      <w:r>
        <w:rPr>
          <w:b/>
          <w:bCs/>
        </w:rPr>
        <w:lastRenderedPageBreak/>
        <w:t>Stape</w:t>
      </w:r>
      <w:r>
        <w:t xml:space="preserve"> is a popular managed hosting provider for </w:t>
      </w:r>
      <w:proofErr w:type="spellStart"/>
      <w:r>
        <w:t>sGTM</w:t>
      </w:r>
      <w:proofErr w:type="spellEnd"/>
      <w:r>
        <w:t xml:space="preserve"> containers (instead of self-hosting on Google Cloud).</w:t>
      </w:r>
    </w:p>
    <w:p w14:paraId="358D6221" w14:textId="77777777" w:rsidR="00711273" w:rsidRDefault="00A537C0">
      <w:pPr>
        <w:spacing w:after="120" w:line="276" w:lineRule="auto"/>
      </w:pPr>
      <w:r>
        <w:rPr>
          <w:b/>
          <w:bCs/>
        </w:rPr>
        <w:t>A first-party (1P) subdomain</w:t>
      </w:r>
      <w:r>
        <w:t xml:space="preserve"> — e.g. sgtm.powerpacks.gamestop.com — makes the tracking endpoint part of the brand's own domain, so cookies it sets are first-party and browsers treat them favourably.</w:t>
      </w:r>
    </w:p>
    <w:p w14:paraId="358D6222" w14:textId="77777777" w:rsidR="00711273" w:rsidRDefault="00A537C0">
      <w:pPr>
        <w:spacing w:after="120" w:line="276" w:lineRule="auto"/>
      </w:pPr>
      <w:r>
        <w:rPr>
          <w:b/>
          <w:bCs/>
        </w:rPr>
        <w:t>Collectors state:</w:t>
      </w:r>
      <w:r>
        <w:t xml:space="preserve"> </w:t>
      </w:r>
      <w:proofErr w:type="spellStart"/>
      <w:r>
        <w:t>sGTM</w:t>
      </w:r>
      <w:proofErr w:type="spellEnd"/>
      <w:r>
        <w:t xml:space="preserve"> is live on Stape but </w:t>
      </w:r>
      <w:r>
        <w:rPr>
          <w:b/>
          <w:bCs/>
        </w:rPr>
        <w:t>used only for first-party script loading</w:t>
      </w:r>
      <w:r>
        <w:t xml:space="preserve"> (serving gtag.js etc. from their own domain) — </w:t>
      </w:r>
      <w:r>
        <w:rPr>
          <w:b/>
          <w:bCs/>
        </w:rPr>
        <w:t>no events flow through it</w:t>
      </w:r>
      <w:r>
        <w:t xml:space="preserve">. Scope S05 is the real build: architecting event flow through </w:t>
      </w:r>
      <w:proofErr w:type="spellStart"/>
      <w:r>
        <w:t>sGTM</w:t>
      </w:r>
      <w:proofErr w:type="spellEnd"/>
      <w:r>
        <w:t xml:space="preserve">, with </w:t>
      </w:r>
      <w:r>
        <w:rPr>
          <w:b/>
          <w:bCs/>
        </w:rPr>
        <w:t>Meta CAPI and Google Ads server-side conversions first</w:t>
      </w:r>
      <w:r>
        <w:t>, gated on GameStop IT (PP) and Collectors IT (PCGS) provisioning the 1P subdomains. This is the bulkiest technical project in scope and needs itemising into tickets across teams.</w:t>
      </w:r>
    </w:p>
    <w:p w14:paraId="358D6223" w14:textId="77777777" w:rsidR="00711273" w:rsidRDefault="00A537C0">
      <w:pPr>
        <w:pStyle w:val="Heading2"/>
        <w:pBdr>
          <w:bottom w:val="single" w:sz="6" w:space="2" w:color="F37021"/>
        </w:pBdr>
        <w:spacing w:before="240" w:after="120"/>
      </w:pPr>
      <w:bookmarkStart w:id="14" w:name="_Toc237967354"/>
      <w:r>
        <w:rPr>
          <w:b/>
          <w:bCs/>
          <w:color w:val="1F3557"/>
        </w:rPr>
        <w:t>5.4 Meta CAPI and server-side conversions</w:t>
      </w:r>
      <w:bookmarkEnd w:id="14"/>
    </w:p>
    <w:p w14:paraId="358D6224" w14:textId="77777777" w:rsidR="00711273" w:rsidRDefault="00A537C0">
      <w:pPr>
        <w:spacing w:after="120" w:line="276" w:lineRule="auto"/>
      </w:pPr>
      <w:r>
        <w:rPr>
          <w:b/>
          <w:bCs/>
        </w:rPr>
        <w:t>CAPI (Conversions API)</w:t>
      </w:r>
      <w:r>
        <w:t xml:space="preserve"> is Meta's server-to-server conversion channel: instead of (or alongside) the browser pixel, your server posts conversion events directly to Meta with hashed user identifiers. Deduplication (</w:t>
      </w:r>
      <w:proofErr w:type="spellStart"/>
      <w:r>
        <w:t>event_id</w:t>
      </w:r>
      <w:proofErr w:type="spellEnd"/>
      <w:r>
        <w:t xml:space="preserve"> matching between pixel and CAPI events) prevents double counting. Google Ads has an equivalent pattern (server-side conversion tags / enhanced conversions via </w:t>
      </w:r>
      <w:proofErr w:type="spellStart"/>
      <w:r>
        <w:t>sGTM</w:t>
      </w:r>
      <w:proofErr w:type="spellEnd"/>
      <w:r>
        <w:t xml:space="preserve">). The business value: higher </w:t>
      </w:r>
      <w:r>
        <w:rPr>
          <w:b/>
          <w:bCs/>
        </w:rPr>
        <w:t>match rates</w:t>
      </w:r>
      <w:r>
        <w:t xml:space="preserve"> and </w:t>
      </w:r>
      <w:r>
        <w:rPr>
          <w:b/>
          <w:bCs/>
        </w:rPr>
        <w:t>event quality scores</w:t>
      </w:r>
      <w:r>
        <w:t>, which directly improve ad-platform optimisation and reported ROAS. Stephen's discovery question "what match rate and event-quality baselines should we improve on" comes straight from this.</w:t>
      </w:r>
    </w:p>
    <w:p w14:paraId="358D6225" w14:textId="77777777" w:rsidR="00711273" w:rsidRDefault="00A537C0">
      <w:pPr>
        <w:pStyle w:val="Heading2"/>
        <w:pBdr>
          <w:bottom w:val="single" w:sz="6" w:space="2" w:color="F37021"/>
        </w:pBdr>
        <w:spacing w:before="240" w:after="120"/>
      </w:pPr>
      <w:bookmarkStart w:id="15" w:name="_Toc237967355"/>
      <w:r>
        <w:rPr>
          <w:b/>
          <w:bCs/>
          <w:color w:val="1F3557"/>
        </w:rPr>
        <w:t xml:space="preserve">5.5 Branch.io and </w:t>
      </w:r>
      <w:proofErr w:type="spellStart"/>
      <w:r>
        <w:rPr>
          <w:b/>
          <w:bCs/>
          <w:color w:val="1F3557"/>
        </w:rPr>
        <w:t>AppsFlyer</w:t>
      </w:r>
      <w:proofErr w:type="spellEnd"/>
      <w:r>
        <w:rPr>
          <w:b/>
          <w:bCs/>
          <w:color w:val="1F3557"/>
        </w:rPr>
        <w:t xml:space="preserve"> — Mobile Measurement Partners (MMPs)</w:t>
      </w:r>
      <w:bookmarkEnd w:id="15"/>
    </w:p>
    <w:p w14:paraId="358D6226" w14:textId="77777777" w:rsidR="00711273" w:rsidRDefault="00A537C0">
      <w:pPr>
        <w:spacing w:after="120" w:line="276" w:lineRule="auto"/>
      </w:pPr>
      <w:r>
        <w:rPr>
          <w:b/>
          <w:bCs/>
        </w:rPr>
        <w:t>What an MMP is:</w:t>
      </w:r>
      <w:r>
        <w:t xml:space="preserve"> On mobile, you can't drop cookies across the app-store install gap. An MMP SDK inside the app attributes installs and in-app events to the ad campaign/link that drove them, using device matching and (on iOS) Apple's privacy-preserving </w:t>
      </w:r>
      <w:proofErr w:type="spellStart"/>
      <w:r>
        <w:rPr>
          <w:b/>
          <w:bCs/>
        </w:rPr>
        <w:t>SKAdNetwork</w:t>
      </w:r>
      <w:proofErr w:type="spellEnd"/>
      <w:r>
        <w:t xml:space="preserve"> framework under </w:t>
      </w:r>
      <w:r>
        <w:rPr>
          <w:b/>
          <w:bCs/>
        </w:rPr>
        <w:t>ATT</w:t>
      </w:r>
      <w:r>
        <w:t xml:space="preserve"> (App Tracking Transparency — the "Ask App Not to Track" prompt). MMPs also power </w:t>
      </w:r>
      <w:r>
        <w:rPr>
          <w:b/>
          <w:bCs/>
        </w:rPr>
        <w:t>deep links</w:t>
      </w:r>
      <w:r>
        <w:t xml:space="preserve"> (links that open a specific in-app screen) and </w:t>
      </w:r>
      <w:r>
        <w:rPr>
          <w:b/>
          <w:bCs/>
        </w:rPr>
        <w:t>deferred deep links</w:t>
      </w:r>
      <w:r>
        <w:t xml:space="preserve"> (user clicks link → installs app → lands on the intended screen on first open).</w:t>
      </w:r>
    </w:p>
    <w:p w14:paraId="358D6227" w14:textId="77777777" w:rsidR="00711273" w:rsidRDefault="00A537C0">
      <w:pPr>
        <w:spacing w:after="120" w:line="276" w:lineRule="auto"/>
      </w:pPr>
      <w:r>
        <w:rPr>
          <w:b/>
          <w:bCs/>
        </w:rPr>
        <w:t>Branch.io:</w:t>
      </w:r>
      <w:r>
        <w:t xml:space="preserve"> the incumbent MMP for PSA — attribution, deep links, app conversion signals. </w:t>
      </w:r>
      <w:r>
        <w:rPr>
          <w:b/>
          <w:bCs/>
        </w:rPr>
        <w:t>Contract ends 29 Sep 2026.</w:t>
      </w:r>
      <w:r>
        <w:t xml:space="preserve"> Also has a history of poor support alongside Salesforce, which stalled CRM </w:t>
      </w:r>
      <w:proofErr w:type="spellStart"/>
      <w:r>
        <w:t>deeplink</w:t>
      </w:r>
      <w:proofErr w:type="spellEnd"/>
      <w:r>
        <w:t xml:space="preserve"> work (PGX-4936).</w:t>
      </w:r>
    </w:p>
    <w:p w14:paraId="358D6228" w14:textId="77777777" w:rsidR="00711273" w:rsidRDefault="00A537C0">
      <w:pPr>
        <w:spacing w:after="120" w:line="276" w:lineRule="auto"/>
      </w:pPr>
      <w:proofErr w:type="spellStart"/>
      <w:r>
        <w:rPr>
          <w:b/>
          <w:bCs/>
        </w:rPr>
        <w:t>AppsFlyer</w:t>
      </w:r>
      <w:proofErr w:type="spellEnd"/>
      <w:r>
        <w:rPr>
          <w:b/>
          <w:bCs/>
        </w:rPr>
        <w:t xml:space="preserve"> (AF):</w:t>
      </w:r>
      <w:r>
        <w:t xml:space="preserve"> the market-leading MMP being evaluated as the replacement. Status: deployed into the </w:t>
      </w:r>
      <w:proofErr w:type="spellStart"/>
      <w:r>
        <w:t>PowerPacks</w:t>
      </w:r>
      <w:proofErr w:type="spellEnd"/>
      <w:r>
        <w:t xml:space="preserve"> app (PACK-1134/1133/1131/1213 — this was the first live trial); PSA 30-day trial started 17 Aug. If approved, migration = SDK swap in iOS/Android apps (PGX-4934, up to two swaps in Q4), IT security review + DNS updates for the new link domain, re-pointing ad-network campaign links, replacing Branch links with </w:t>
      </w:r>
      <w:proofErr w:type="spellStart"/>
      <w:r>
        <w:t>AppsFlyer</w:t>
      </w:r>
      <w:proofErr w:type="spellEnd"/>
      <w:r>
        <w:t xml:space="preserve"> </w:t>
      </w:r>
      <w:proofErr w:type="spellStart"/>
      <w:r>
        <w:rPr>
          <w:b/>
          <w:bCs/>
        </w:rPr>
        <w:t>OneLinks</w:t>
      </w:r>
      <w:proofErr w:type="spellEnd"/>
      <w:r>
        <w:t xml:space="preserve">, and the Data Team updating models/reports to handle the </w:t>
      </w:r>
      <w:r>
        <w:rPr>
          <w:b/>
          <w:bCs/>
        </w:rPr>
        <w:t>historical break</w:t>
      </w:r>
      <w:r>
        <w:t xml:space="preserve"> between Branch archives and AF data (attribution methodologies differ; numbers will not reconcile across the cutover — this must be annotated, not hidden). PCGS apps get instrumented for the first time.</w:t>
      </w:r>
    </w:p>
    <w:p w14:paraId="358D6229" w14:textId="77777777" w:rsidR="00711273" w:rsidRDefault="00A537C0">
      <w:pPr>
        <w:spacing w:after="120" w:line="276" w:lineRule="auto"/>
      </w:pPr>
      <w:r>
        <w:rPr>
          <w:b/>
          <w:bCs/>
        </w:rPr>
        <w:t>EXL role:</w:t>
      </w:r>
      <w:r>
        <w:t xml:space="preserve"> validate AF features against requirements during the trial, coordinate trial timeline, consolidate decision-grade findings before 29 Sep, then plan/execute migration if approved.</w:t>
      </w:r>
    </w:p>
    <w:p w14:paraId="358D622A" w14:textId="77777777" w:rsidR="00711273" w:rsidRDefault="00A537C0">
      <w:pPr>
        <w:pStyle w:val="Heading2"/>
        <w:pBdr>
          <w:bottom w:val="single" w:sz="6" w:space="2" w:color="F37021"/>
        </w:pBdr>
        <w:spacing w:before="240" w:after="120"/>
      </w:pPr>
      <w:bookmarkStart w:id="16" w:name="_Toc237967356"/>
      <w:r>
        <w:rPr>
          <w:b/>
          <w:bCs/>
          <w:color w:val="1F3557"/>
        </w:rPr>
        <w:t>5.6 Salesforce Marketing Cloud (SFMC)</w:t>
      </w:r>
      <w:bookmarkEnd w:id="16"/>
    </w:p>
    <w:p w14:paraId="358D622B" w14:textId="77777777" w:rsidR="00711273" w:rsidRDefault="00A537C0">
      <w:pPr>
        <w:spacing w:after="120" w:line="276" w:lineRule="auto"/>
      </w:pPr>
      <w:r>
        <w:rPr>
          <w:b/>
          <w:bCs/>
        </w:rPr>
        <w:t>What it is:</w:t>
      </w:r>
      <w:r>
        <w:t xml:space="preserve"> the CRM/campaign platform — email, push, SMS, lifecycle journeys (Journey Builder). Collectors </w:t>
      </w:r>
      <w:proofErr w:type="gramStart"/>
      <w:r>
        <w:t>runs</w:t>
      </w:r>
      <w:proofErr w:type="gramEnd"/>
      <w:r>
        <w:t xml:space="preserve"> a </w:t>
      </w:r>
      <w:r>
        <w:rPr>
          <w:b/>
          <w:bCs/>
        </w:rPr>
        <w:t>single shared instance for PSA &amp; PCGS with separate international business units (Japan/Canada)</w:t>
      </w:r>
      <w:r>
        <w:t xml:space="preserve">. </w:t>
      </w:r>
      <w:r>
        <w:lastRenderedPageBreak/>
        <w:t xml:space="preserve">Relevant to you through S14 (CRM </w:t>
      </w:r>
      <w:proofErr w:type="spellStart"/>
      <w:r>
        <w:t>deeplinks</w:t>
      </w:r>
      <w:proofErr w:type="spellEnd"/>
      <w:r>
        <w:t xml:space="preserve"> in emails/push must survive any </w:t>
      </w:r>
      <w:proofErr w:type="spellStart"/>
      <w:r>
        <w:t>Branch→AF</w:t>
      </w:r>
      <w:proofErr w:type="spellEnd"/>
      <w:r>
        <w:t xml:space="preserve"> move and any CRM replacement — a CRM RFP is apparently in motion) and S01 (audit read access). Note the sheet hints Collectors may move off Salesforce too.</w:t>
      </w:r>
    </w:p>
    <w:p w14:paraId="358D622C" w14:textId="77777777" w:rsidR="00711273" w:rsidRDefault="00A537C0">
      <w:pPr>
        <w:pStyle w:val="Heading2"/>
        <w:pBdr>
          <w:bottom w:val="single" w:sz="6" w:space="2" w:color="F37021"/>
        </w:pBdr>
        <w:spacing w:before="240" w:after="120"/>
      </w:pPr>
      <w:bookmarkStart w:id="17" w:name="_Toc237967357"/>
      <w:r>
        <w:rPr>
          <w:b/>
          <w:bCs/>
          <w:color w:val="1F3557"/>
        </w:rPr>
        <w:t xml:space="preserve">5.7 </w:t>
      </w:r>
      <w:proofErr w:type="spellStart"/>
      <w:r>
        <w:rPr>
          <w:b/>
          <w:bCs/>
          <w:color w:val="1F3557"/>
        </w:rPr>
        <w:t>Hightouch</w:t>
      </w:r>
      <w:proofErr w:type="spellEnd"/>
      <w:r>
        <w:rPr>
          <w:b/>
          <w:bCs/>
          <w:color w:val="1F3557"/>
        </w:rPr>
        <w:t xml:space="preserve"> (Reverse ETL)</w:t>
      </w:r>
      <w:bookmarkEnd w:id="17"/>
    </w:p>
    <w:p w14:paraId="358D622D" w14:textId="77777777" w:rsidR="00711273" w:rsidRDefault="00A537C0">
      <w:pPr>
        <w:spacing w:after="120" w:line="276" w:lineRule="auto"/>
      </w:pPr>
      <w:r>
        <w:rPr>
          <w:b/>
          <w:bCs/>
        </w:rPr>
        <w:t>What it is:</w:t>
      </w:r>
      <w:r>
        <w:t xml:space="preserve"> Reverse ETL syncs data </w:t>
      </w:r>
      <w:r>
        <w:rPr>
          <w:i/>
          <w:iCs/>
        </w:rPr>
        <w:t>out of the warehouse</w:t>
      </w:r>
      <w:r>
        <w:t xml:space="preserve"> into operational tools — e.g., pushing </w:t>
      </w:r>
      <w:proofErr w:type="spellStart"/>
      <w:r>
        <w:t>BigQuery</w:t>
      </w:r>
      <w:proofErr w:type="spellEnd"/>
      <w:r>
        <w:t xml:space="preserve">-computed audience segments into SFMC for email targeting or into ad platforms for custom audiences. (Regular ETL/ELT goes the other direction, into the warehouse.) Conceptually </w:t>
      </w:r>
      <w:proofErr w:type="gramStart"/>
      <w:r>
        <w:t>similar to</w:t>
      </w:r>
      <w:proofErr w:type="gramEnd"/>
      <w:r>
        <w:t xml:space="preserve"> the activation layer you know from the NFL world (warehouse segments → campaign platforms).</w:t>
      </w:r>
    </w:p>
    <w:p w14:paraId="358D622E" w14:textId="77777777" w:rsidR="00711273" w:rsidRDefault="00A537C0">
      <w:pPr>
        <w:spacing w:after="120" w:line="276" w:lineRule="auto"/>
      </w:pPr>
      <w:r>
        <w:rPr>
          <w:b/>
          <w:bCs/>
        </w:rPr>
        <w:t>Collectors state:</w:t>
      </w:r>
      <w:r>
        <w:t xml:space="preserve"> </w:t>
      </w:r>
      <w:proofErr w:type="spellStart"/>
      <w:r>
        <w:t>Hightouch</w:t>
      </w:r>
      <w:proofErr w:type="spellEnd"/>
      <w:r>
        <w:t xml:space="preserve"> syncs </w:t>
      </w:r>
      <w:proofErr w:type="spellStart"/>
      <w:r>
        <w:t>BigQuery</w:t>
      </w:r>
      <w:proofErr w:type="spellEnd"/>
      <w:r>
        <w:t xml:space="preserve"> → SFMC &amp; ad platforms, but the </w:t>
      </w:r>
      <w:r>
        <w:rPr>
          <w:b/>
          <w:bCs/>
        </w:rPr>
        <w:t>SOAP API integration to SFMC breaks 2–3 times a year</w:t>
      </w:r>
      <w:r>
        <w:t xml:space="preserve"> — a known reliability sore point. Discovery question: what's the failure pattern and what breaks downstream.</w:t>
      </w:r>
    </w:p>
    <w:p w14:paraId="358D622F" w14:textId="77777777" w:rsidR="00711273" w:rsidRDefault="00A537C0">
      <w:pPr>
        <w:pStyle w:val="Heading2"/>
        <w:pBdr>
          <w:bottom w:val="single" w:sz="6" w:space="2" w:color="F37021"/>
        </w:pBdr>
        <w:spacing w:before="240" w:after="120"/>
      </w:pPr>
      <w:bookmarkStart w:id="18" w:name="_Toc237967358"/>
      <w:r>
        <w:rPr>
          <w:b/>
          <w:bCs/>
          <w:color w:val="1F3557"/>
        </w:rPr>
        <w:t xml:space="preserve">5.8 </w:t>
      </w:r>
      <w:proofErr w:type="spellStart"/>
      <w:r>
        <w:rPr>
          <w:b/>
          <w:bCs/>
          <w:color w:val="1F3557"/>
        </w:rPr>
        <w:t>BigQuery</w:t>
      </w:r>
      <w:bookmarkEnd w:id="18"/>
      <w:proofErr w:type="spellEnd"/>
    </w:p>
    <w:p w14:paraId="358D6230" w14:textId="77777777" w:rsidR="00711273" w:rsidRDefault="00A537C0">
      <w:pPr>
        <w:spacing w:after="120" w:line="276" w:lineRule="auto"/>
      </w:pPr>
      <w:r>
        <w:rPr>
          <w:b/>
          <w:bCs/>
        </w:rPr>
        <w:t>What it is:</w:t>
      </w:r>
      <w:r>
        <w:t xml:space="preserve"> Google's cloud data warehouse — the central store. GA4 exports raw event-level data into </w:t>
      </w:r>
      <w:proofErr w:type="spellStart"/>
      <w:r>
        <w:t>BigQuery</w:t>
      </w:r>
      <w:proofErr w:type="spellEnd"/>
      <w:r>
        <w:t xml:space="preserve"> daily (the famous </w:t>
      </w:r>
      <w:proofErr w:type="spellStart"/>
      <w:r>
        <w:rPr>
          <w:rFonts w:ascii="Consolas" w:eastAsia="Consolas" w:hAnsi="Consolas" w:cs="Consolas"/>
        </w:rPr>
        <w:t>events_YYYYMMDD</w:t>
      </w:r>
      <w:proofErr w:type="spellEnd"/>
      <w:r>
        <w:t xml:space="preserve"> sharded tables with nested/repeated fields — querying them requires </w:t>
      </w:r>
      <w:r>
        <w:rPr>
          <w:rFonts w:ascii="Consolas" w:eastAsia="Consolas" w:hAnsi="Consolas" w:cs="Consolas"/>
        </w:rPr>
        <w:t>UNNEST</w:t>
      </w:r>
      <w:r>
        <w:t>, a specific SQL skill to test for in hiring).</w:t>
      </w:r>
    </w:p>
    <w:p w14:paraId="358D6231" w14:textId="77777777" w:rsidR="00711273" w:rsidRDefault="00A537C0">
      <w:pPr>
        <w:spacing w:after="120" w:line="276" w:lineRule="auto"/>
      </w:pPr>
      <w:r>
        <w:rPr>
          <w:b/>
          <w:bCs/>
        </w:rPr>
        <w:t xml:space="preserve">Collectors </w:t>
      </w:r>
      <w:proofErr w:type="gramStart"/>
      <w:r>
        <w:rPr>
          <w:b/>
          <w:bCs/>
        </w:rPr>
        <w:t>state:</w:t>
      </w:r>
      <w:proofErr w:type="gramEnd"/>
      <w:r>
        <w:t xml:space="preserve"> central warehouse; </w:t>
      </w:r>
      <w:r>
        <w:rPr>
          <w:b/>
          <w:bCs/>
        </w:rPr>
        <w:t>6.4M+ collector IDs, 20–30 core tables</w:t>
      </w:r>
      <w:r>
        <w:t>. Reliable GA4→BQ export at their volume is one of the drivers for the 360 upgrade. The PP paid-performance automation and Q4 data model live here (DPE tickets). EXL needs read access to core tables (Access tab, Tier 1).</w:t>
      </w:r>
    </w:p>
    <w:p w14:paraId="358D6232" w14:textId="77777777" w:rsidR="00711273" w:rsidRDefault="00A537C0">
      <w:pPr>
        <w:pStyle w:val="Heading2"/>
        <w:pBdr>
          <w:bottom w:val="single" w:sz="6" w:space="2" w:color="F37021"/>
        </w:pBdr>
        <w:spacing w:before="240" w:after="120"/>
      </w:pPr>
      <w:bookmarkStart w:id="19" w:name="_Toc237967359"/>
      <w:r>
        <w:rPr>
          <w:b/>
          <w:bCs/>
          <w:color w:val="1F3557"/>
        </w:rPr>
        <w:t>5.9 Quantum Metric (QM)</w:t>
      </w:r>
      <w:bookmarkEnd w:id="19"/>
    </w:p>
    <w:p w14:paraId="358D6233" w14:textId="77777777" w:rsidR="00711273" w:rsidRDefault="00A537C0">
      <w:pPr>
        <w:spacing w:after="120" w:line="276" w:lineRule="auto"/>
      </w:pPr>
      <w:r>
        <w:rPr>
          <w:b/>
          <w:bCs/>
        </w:rPr>
        <w:t>What it is:</w:t>
      </w:r>
      <w:r>
        <w:t xml:space="preserve"> a digital experience analytics platform — session replay (watch recordings of real user sessions), behavioural analytics, funnel analysis, frustration signals (rage clicks, errors). Used for funnel QA and, at Collectors, also for </w:t>
      </w:r>
      <w:proofErr w:type="spellStart"/>
      <w:r>
        <w:t>PowerPacks</w:t>
      </w:r>
      <w:proofErr w:type="spellEnd"/>
      <w:r>
        <w:t xml:space="preserve"> web/app attribution views.</w:t>
      </w:r>
    </w:p>
    <w:p w14:paraId="358D6234" w14:textId="77777777" w:rsidR="00711273" w:rsidRDefault="00A537C0">
      <w:pPr>
        <w:spacing w:after="120" w:line="276" w:lineRule="auto"/>
      </w:pPr>
      <w:r>
        <w:rPr>
          <w:b/>
          <w:bCs/>
        </w:rPr>
        <w:t xml:space="preserve">Collectors </w:t>
      </w:r>
      <w:proofErr w:type="gramStart"/>
      <w:r>
        <w:rPr>
          <w:b/>
          <w:bCs/>
        </w:rPr>
        <w:t>state:</w:t>
      </w:r>
      <w:proofErr w:type="gramEnd"/>
      <w:r>
        <w:t xml:space="preserve"> rolled out but adoption incomplete — S10 is closing the enablement loop: collect feedback from trainees, define team-specific KPI dashboards, name champions per team and one internal QM point of contact. QM (the vendor) is literally waiting for direction. This is a low-technical, high-visibility early win — largely coordination and dashboard definition.</w:t>
      </w:r>
    </w:p>
    <w:p w14:paraId="358D6235" w14:textId="77777777" w:rsidR="00711273" w:rsidRDefault="00A537C0">
      <w:pPr>
        <w:pStyle w:val="Heading2"/>
        <w:pBdr>
          <w:bottom w:val="single" w:sz="6" w:space="2" w:color="F37021"/>
        </w:pBdr>
        <w:spacing w:before="240" w:after="120"/>
      </w:pPr>
      <w:bookmarkStart w:id="20" w:name="_Toc237967360"/>
      <w:r>
        <w:rPr>
          <w:b/>
          <w:bCs/>
          <w:color w:val="1F3557"/>
        </w:rPr>
        <w:t xml:space="preserve">5.10 </w:t>
      </w:r>
      <w:proofErr w:type="spellStart"/>
      <w:r>
        <w:rPr>
          <w:b/>
          <w:bCs/>
          <w:color w:val="1F3557"/>
        </w:rPr>
        <w:t>Contentful</w:t>
      </w:r>
      <w:bookmarkEnd w:id="20"/>
      <w:proofErr w:type="spellEnd"/>
    </w:p>
    <w:p w14:paraId="358D6236" w14:textId="77777777" w:rsidR="00711273" w:rsidRDefault="00A537C0">
      <w:pPr>
        <w:spacing w:after="120" w:line="276" w:lineRule="auto"/>
      </w:pPr>
      <w:r>
        <w:rPr>
          <w:b/>
          <w:bCs/>
        </w:rPr>
        <w:t>What it is:</w:t>
      </w:r>
      <w:r>
        <w:t xml:space="preserve"> a headless CMS — content is managed centrally and delivered via API to web/app frontends. Runs PSA &amp; PCGS web, lightly the PSA app and </w:t>
      </w:r>
      <w:proofErr w:type="spellStart"/>
      <w:r>
        <w:t>PowerPacks</w:t>
      </w:r>
      <w:proofErr w:type="spellEnd"/>
      <w:r>
        <w:t xml:space="preserve">. Matters to tracking because how templates/components are built determines where </w:t>
      </w:r>
      <w:proofErr w:type="spellStart"/>
      <w:r>
        <w:t>dataLayer</w:t>
      </w:r>
      <w:proofErr w:type="spellEnd"/>
      <w:r>
        <w:t xml:space="preserve"> pushes and tags can hook in. Audit-scope read access only.</w:t>
      </w:r>
    </w:p>
    <w:p w14:paraId="358D6237" w14:textId="77777777" w:rsidR="00711273" w:rsidRDefault="00A537C0">
      <w:pPr>
        <w:pStyle w:val="Heading2"/>
        <w:pBdr>
          <w:bottom w:val="single" w:sz="6" w:space="2" w:color="F37021"/>
        </w:pBdr>
        <w:spacing w:before="240" w:after="120"/>
      </w:pPr>
      <w:bookmarkStart w:id="21" w:name="_Toc237967361"/>
      <w:r>
        <w:rPr>
          <w:b/>
          <w:bCs/>
          <w:color w:val="1F3557"/>
        </w:rPr>
        <w:t xml:space="preserve">5.11 </w:t>
      </w:r>
      <w:proofErr w:type="spellStart"/>
      <w:r>
        <w:rPr>
          <w:b/>
          <w:bCs/>
          <w:color w:val="1F3557"/>
        </w:rPr>
        <w:t>Talon.One</w:t>
      </w:r>
      <w:bookmarkEnd w:id="21"/>
      <w:proofErr w:type="spellEnd"/>
    </w:p>
    <w:p w14:paraId="358D6238" w14:textId="77777777" w:rsidR="00711273" w:rsidRDefault="00A537C0">
      <w:pPr>
        <w:spacing w:after="120" w:line="276" w:lineRule="auto"/>
      </w:pPr>
      <w:r>
        <w:rPr>
          <w:b/>
          <w:bCs/>
        </w:rPr>
        <w:t>What it is:</w:t>
      </w:r>
      <w:r>
        <w:t xml:space="preserve"> a promotion-engine SaaS — coupon codes, referral and loyalty logic. Used for PSA Grading (US &amp; Japan) and </w:t>
      </w:r>
      <w:proofErr w:type="spellStart"/>
      <w:r>
        <w:t>PowerPacks</w:t>
      </w:r>
      <w:proofErr w:type="spellEnd"/>
      <w:r>
        <w:t>. Tracking relevance: coupon redemption events need to flow into GA4/</w:t>
      </w:r>
      <w:proofErr w:type="spellStart"/>
      <w:proofErr w:type="gramStart"/>
      <w:r>
        <w:t>BigQuery</w:t>
      </w:r>
      <w:proofErr w:type="spellEnd"/>
      <w:proofErr w:type="gramEnd"/>
      <w:r>
        <w:t xml:space="preserve"> so promo-driven conversions are measurable (a drafted discovery question covers exactly this).</w:t>
      </w:r>
    </w:p>
    <w:p w14:paraId="358D6239" w14:textId="77777777" w:rsidR="00711273" w:rsidRDefault="00A537C0">
      <w:pPr>
        <w:pStyle w:val="Heading2"/>
        <w:pBdr>
          <w:bottom w:val="single" w:sz="6" w:space="2" w:color="F37021"/>
        </w:pBdr>
        <w:spacing w:before="240" w:after="120"/>
      </w:pPr>
      <w:bookmarkStart w:id="22" w:name="_Toc237967362"/>
      <w:r>
        <w:rPr>
          <w:b/>
          <w:bCs/>
          <w:color w:val="1F3557"/>
        </w:rPr>
        <w:lastRenderedPageBreak/>
        <w:t xml:space="preserve">5.12 Osano and </w:t>
      </w:r>
      <w:proofErr w:type="spellStart"/>
      <w:r>
        <w:rPr>
          <w:b/>
          <w:bCs/>
          <w:color w:val="1F3557"/>
        </w:rPr>
        <w:t>OneTrust</w:t>
      </w:r>
      <w:proofErr w:type="spellEnd"/>
      <w:r>
        <w:rPr>
          <w:b/>
          <w:bCs/>
          <w:color w:val="1F3557"/>
        </w:rPr>
        <w:t xml:space="preserve"> — Consent Management Platforms (CMPs)</w:t>
      </w:r>
      <w:bookmarkEnd w:id="22"/>
    </w:p>
    <w:p w14:paraId="358D623A" w14:textId="77777777" w:rsidR="00711273" w:rsidRDefault="00A537C0">
      <w:pPr>
        <w:spacing w:after="120" w:line="276" w:lineRule="auto"/>
      </w:pPr>
      <w:r>
        <w:rPr>
          <w:b/>
          <w:bCs/>
        </w:rPr>
        <w:t>What they are:</w:t>
      </w:r>
      <w:r>
        <w:t xml:space="preserve"> CMPs run the cookie banner, record consent choices, and gate tags so nothing fires without permission. </w:t>
      </w:r>
      <w:r>
        <w:rPr>
          <w:b/>
          <w:bCs/>
        </w:rPr>
        <w:t>Osano</w:t>
      </w:r>
      <w:r>
        <w:t xml:space="preserve"> is the standard CMP across the estate and the partner for Germany compliance; </w:t>
      </w:r>
      <w:r>
        <w:rPr>
          <w:b/>
          <w:bCs/>
        </w:rPr>
        <w:t xml:space="preserve">BGS is on </w:t>
      </w:r>
      <w:proofErr w:type="spellStart"/>
      <w:r>
        <w:rPr>
          <w:b/>
          <w:bCs/>
        </w:rPr>
        <w:t>OneTrust</w:t>
      </w:r>
      <w:proofErr w:type="spellEnd"/>
      <w:r>
        <w:t xml:space="preserve"> (Beckett legacy), and S18 covers auditing </w:t>
      </w:r>
      <w:proofErr w:type="spellStart"/>
      <w:r>
        <w:t>OneTrust</w:t>
      </w:r>
      <w:proofErr w:type="spellEnd"/>
      <w:r>
        <w:t xml:space="preserve"> and possibly migrating BGS to Osano — pending a timeline from Legal. Related concept: </w:t>
      </w:r>
      <w:r>
        <w:rPr>
          <w:b/>
          <w:bCs/>
        </w:rPr>
        <w:t>Google Consent Mode v2</w:t>
      </w:r>
      <w:r>
        <w:t>, where tags receive consent signals (granted/denied) and Google can model unconsented conversions — likely part of the Germany/low-consent modelling conversation.</w:t>
      </w:r>
    </w:p>
    <w:p w14:paraId="358D623B" w14:textId="77777777" w:rsidR="00711273" w:rsidRDefault="00A537C0">
      <w:pPr>
        <w:pStyle w:val="Heading2"/>
        <w:pBdr>
          <w:bottom w:val="single" w:sz="6" w:space="2" w:color="F37021"/>
        </w:pBdr>
        <w:spacing w:before="240" w:after="120"/>
      </w:pPr>
      <w:bookmarkStart w:id="23" w:name="_Toc237967363"/>
      <w:r>
        <w:rPr>
          <w:b/>
          <w:bCs/>
          <w:color w:val="1F3557"/>
        </w:rPr>
        <w:t>5.13 GA4 free vs 360, quotas — why "skewed data" and "quota limits" keep appearing</w:t>
      </w:r>
      <w:bookmarkEnd w:id="23"/>
    </w:p>
    <w:p w14:paraId="358D623D" w14:textId="1D4C2DEB" w:rsidR="00711273" w:rsidRDefault="00A537C0" w:rsidP="00C06700">
      <w:pPr>
        <w:spacing w:after="120" w:line="276" w:lineRule="auto"/>
      </w:pPr>
      <w:r>
        <w:t xml:space="preserve">Two independent data-quality threats run through the sheet: (a) </w:t>
      </w:r>
      <w:r>
        <w:rPr>
          <w:b/>
          <w:bCs/>
        </w:rPr>
        <w:t>consent skew</w:t>
      </w:r>
      <w:r>
        <w:t xml:space="preserve"> — in opt-in regions (Germany, EU broadly, California), only consenting users are tracked, so regional numbers under-report and any blended pull that includes them silently understates reality; and (b) </w:t>
      </w:r>
      <w:r>
        <w:rPr>
          <w:b/>
          <w:bCs/>
        </w:rPr>
        <w:t>quota/sampling limits</w:t>
      </w:r>
      <w:r>
        <w:t xml:space="preserve"> — free-tier GA4 caps exports and samples large queries, so even consented data can be incomplete at Collectors' volume. Keep these two distinct in client conversations; they have different fixes (filters/annotations/modelling vs. a 360 licence).</w:t>
      </w:r>
    </w:p>
    <w:p w14:paraId="358D623E" w14:textId="77777777" w:rsidR="00711273" w:rsidRDefault="00A537C0">
      <w:pPr>
        <w:pStyle w:val="Heading1"/>
        <w:spacing w:before="200" w:after="160"/>
      </w:pPr>
      <w:bookmarkStart w:id="24" w:name="_Toc237967364"/>
      <w:r>
        <w:rPr>
          <w:b/>
          <w:bCs/>
          <w:color w:val="1F3557"/>
        </w:rPr>
        <w:t>6. The Scope, Decoded (S01–S18)</w:t>
      </w:r>
      <w:bookmarkEnd w:id="24"/>
    </w:p>
    <w:p w14:paraId="358D623F" w14:textId="77777777" w:rsidR="00711273" w:rsidRDefault="00A537C0">
      <w:pPr>
        <w:spacing w:after="120" w:line="276" w:lineRule="auto"/>
      </w:pPr>
      <w:r>
        <w:t>Plain-English translation of every scope item, the EXL role, and what to watch. Priorities: P0 = drop everything; P0? = confirm priority; P1 = high but slightly flexible.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42"/>
        <w:gridCol w:w="2246"/>
        <w:gridCol w:w="3136"/>
        <w:gridCol w:w="3136"/>
      </w:tblGrid>
      <w:tr w:rsidR="00711273" w14:paraId="358D6244" w14:textId="77777777">
        <w:trPr>
          <w:tblHeader/>
        </w:trPr>
        <w:tc>
          <w:tcPr>
            <w:tcW w:w="842" w:type="dxa"/>
            <w:shd w:val="clear" w:color="auto" w:fill="1F3557"/>
            <w:tcMar>
              <w:top w:w="60" w:type="dxa"/>
              <w:left w:w="100" w:type="dxa"/>
              <w:bottom w:w="60" w:type="dxa"/>
              <w:right w:w="100" w:type="dxa"/>
            </w:tcMar>
            <w:vAlign w:val="center"/>
          </w:tcPr>
          <w:p w14:paraId="358D6240" w14:textId="77777777" w:rsidR="00711273" w:rsidRDefault="00A537C0">
            <w:pPr>
              <w:spacing w:before="20" w:after="20"/>
            </w:pPr>
            <w:r>
              <w:rPr>
                <w:b/>
                <w:bCs/>
                <w:color w:val="FFFFFF"/>
                <w:sz w:val="19"/>
                <w:szCs w:val="19"/>
              </w:rPr>
              <w:t>ID</w:t>
            </w:r>
          </w:p>
        </w:tc>
        <w:tc>
          <w:tcPr>
            <w:tcW w:w="2246" w:type="dxa"/>
            <w:shd w:val="clear" w:color="auto" w:fill="1F3557"/>
            <w:tcMar>
              <w:top w:w="60" w:type="dxa"/>
              <w:left w:w="100" w:type="dxa"/>
              <w:bottom w:w="60" w:type="dxa"/>
              <w:right w:w="100" w:type="dxa"/>
            </w:tcMar>
            <w:vAlign w:val="center"/>
          </w:tcPr>
          <w:p w14:paraId="358D6241" w14:textId="77777777" w:rsidR="00711273" w:rsidRDefault="00A537C0">
            <w:pPr>
              <w:spacing w:before="20" w:after="20"/>
            </w:pPr>
            <w:r>
              <w:rPr>
                <w:b/>
                <w:bCs/>
                <w:color w:val="FFFFFF"/>
                <w:sz w:val="19"/>
                <w:szCs w:val="19"/>
              </w:rPr>
              <w:t>Item (Brand, Priority)</w:t>
            </w:r>
          </w:p>
        </w:tc>
        <w:tc>
          <w:tcPr>
            <w:tcW w:w="3136" w:type="dxa"/>
            <w:shd w:val="clear" w:color="auto" w:fill="1F3557"/>
            <w:tcMar>
              <w:top w:w="60" w:type="dxa"/>
              <w:left w:w="100" w:type="dxa"/>
              <w:bottom w:w="60" w:type="dxa"/>
              <w:right w:w="100" w:type="dxa"/>
            </w:tcMar>
            <w:vAlign w:val="center"/>
          </w:tcPr>
          <w:p w14:paraId="358D6242" w14:textId="77777777" w:rsidR="00711273" w:rsidRDefault="00A537C0">
            <w:pPr>
              <w:spacing w:before="20" w:after="20"/>
            </w:pPr>
            <w:r>
              <w:rPr>
                <w:b/>
                <w:bCs/>
                <w:color w:val="FFFFFF"/>
                <w:sz w:val="19"/>
                <w:szCs w:val="19"/>
              </w:rPr>
              <w:t>What it really is</w:t>
            </w:r>
          </w:p>
        </w:tc>
        <w:tc>
          <w:tcPr>
            <w:tcW w:w="3136" w:type="dxa"/>
            <w:shd w:val="clear" w:color="auto" w:fill="1F3557"/>
            <w:tcMar>
              <w:top w:w="60" w:type="dxa"/>
              <w:left w:w="100" w:type="dxa"/>
              <w:bottom w:w="60" w:type="dxa"/>
              <w:right w:w="100" w:type="dxa"/>
            </w:tcMar>
            <w:vAlign w:val="center"/>
          </w:tcPr>
          <w:p w14:paraId="358D6243" w14:textId="77777777" w:rsidR="00711273" w:rsidRDefault="00A537C0">
            <w:pPr>
              <w:spacing w:before="20" w:after="20"/>
            </w:pPr>
            <w:r>
              <w:rPr>
                <w:b/>
                <w:bCs/>
                <w:color w:val="FFFFFF"/>
                <w:sz w:val="19"/>
                <w:szCs w:val="19"/>
              </w:rPr>
              <w:t xml:space="preserve">EXL role &amp; </w:t>
            </w:r>
            <w:proofErr w:type="gramStart"/>
            <w:r>
              <w:rPr>
                <w:b/>
                <w:bCs/>
                <w:color w:val="FFFFFF"/>
                <w:sz w:val="19"/>
                <w:szCs w:val="19"/>
              </w:rPr>
              <w:t>watch-outs</w:t>
            </w:r>
            <w:proofErr w:type="gramEnd"/>
          </w:p>
        </w:tc>
      </w:tr>
      <w:tr w:rsidR="00711273" w14:paraId="358D6249" w14:textId="77777777">
        <w:tc>
          <w:tcPr>
            <w:tcW w:w="842" w:type="dxa"/>
            <w:tcMar>
              <w:top w:w="60" w:type="dxa"/>
              <w:left w:w="100" w:type="dxa"/>
              <w:bottom w:w="60" w:type="dxa"/>
              <w:right w:w="100" w:type="dxa"/>
            </w:tcMar>
            <w:vAlign w:val="center"/>
          </w:tcPr>
          <w:p w14:paraId="358D6245" w14:textId="77777777" w:rsidR="00711273" w:rsidRDefault="00A537C0">
            <w:pPr>
              <w:spacing w:before="20" w:after="20"/>
            </w:pPr>
            <w:r>
              <w:rPr>
                <w:sz w:val="19"/>
                <w:szCs w:val="19"/>
              </w:rPr>
              <w:t>S01</w:t>
            </w:r>
          </w:p>
        </w:tc>
        <w:tc>
          <w:tcPr>
            <w:tcW w:w="2246" w:type="dxa"/>
            <w:tcMar>
              <w:top w:w="60" w:type="dxa"/>
              <w:left w:w="100" w:type="dxa"/>
              <w:bottom w:w="60" w:type="dxa"/>
              <w:right w:w="100" w:type="dxa"/>
            </w:tcMar>
            <w:vAlign w:val="center"/>
          </w:tcPr>
          <w:p w14:paraId="358D6246" w14:textId="77777777" w:rsidR="00711273" w:rsidRDefault="00A537C0">
            <w:pPr>
              <w:spacing w:before="20" w:after="20"/>
            </w:pPr>
            <w:r>
              <w:rPr>
                <w:sz w:val="19"/>
                <w:szCs w:val="19"/>
              </w:rPr>
              <w:t>Full tracking audit (All, P1)</w:t>
            </w:r>
          </w:p>
        </w:tc>
        <w:tc>
          <w:tcPr>
            <w:tcW w:w="3136" w:type="dxa"/>
            <w:tcMar>
              <w:top w:w="60" w:type="dxa"/>
              <w:left w:w="100" w:type="dxa"/>
              <w:bottom w:w="60" w:type="dxa"/>
              <w:right w:w="100" w:type="dxa"/>
            </w:tcMar>
            <w:vAlign w:val="center"/>
          </w:tcPr>
          <w:p w14:paraId="358D6247" w14:textId="77777777" w:rsidR="00711273" w:rsidRDefault="00A537C0">
            <w:pPr>
              <w:spacing w:before="20" w:after="20"/>
            </w:pPr>
            <w:r>
              <w:rPr>
                <w:sz w:val="19"/>
                <w:szCs w:val="19"/>
              </w:rPr>
              <w:t xml:space="preserve">First-ever systematic review of the whole estate: web GTM containers, GA4 properties, app SDKs, </w:t>
            </w:r>
            <w:proofErr w:type="spellStart"/>
            <w:r>
              <w:rPr>
                <w:sz w:val="19"/>
                <w:szCs w:val="19"/>
              </w:rPr>
              <w:t>sGTM</w:t>
            </w:r>
            <w:proofErr w:type="spellEnd"/>
            <w:r>
              <w:rPr>
                <w:sz w:val="19"/>
                <w:szCs w:val="19"/>
              </w:rPr>
              <w:t>, CRM touchpoints. Starts as a "lightning audit" for high-impact issues, then expands.</w:t>
            </w:r>
          </w:p>
        </w:tc>
        <w:tc>
          <w:tcPr>
            <w:tcW w:w="3136" w:type="dxa"/>
            <w:tcMar>
              <w:top w:w="60" w:type="dxa"/>
              <w:left w:w="100" w:type="dxa"/>
              <w:bottom w:w="60" w:type="dxa"/>
              <w:right w:w="100" w:type="dxa"/>
            </w:tcMar>
            <w:vAlign w:val="center"/>
          </w:tcPr>
          <w:p w14:paraId="358D6248" w14:textId="77777777" w:rsidR="00711273" w:rsidRDefault="00A537C0">
            <w:pPr>
              <w:spacing w:before="20" w:after="20"/>
            </w:pPr>
            <w:r>
              <w:rPr>
                <w:sz w:val="19"/>
                <w:szCs w:val="19"/>
              </w:rPr>
              <w:t>Stephen defines scope/output/access; EXL executes. Proposed outputs: event &amp; conversion inventory, scored gap register, ticket-ready remediation backlog. This is the engagement's credibility anchor — every finding must carry evidence.</w:t>
            </w:r>
          </w:p>
        </w:tc>
      </w:tr>
      <w:tr w:rsidR="00711273" w14:paraId="358D624E" w14:textId="77777777">
        <w:tc>
          <w:tcPr>
            <w:tcW w:w="842" w:type="dxa"/>
            <w:shd w:val="clear" w:color="auto" w:fill="F2F2F2"/>
            <w:tcMar>
              <w:top w:w="60" w:type="dxa"/>
              <w:left w:w="100" w:type="dxa"/>
              <w:bottom w:w="60" w:type="dxa"/>
              <w:right w:w="100" w:type="dxa"/>
            </w:tcMar>
            <w:vAlign w:val="center"/>
          </w:tcPr>
          <w:p w14:paraId="358D624A" w14:textId="77777777" w:rsidR="00711273" w:rsidRDefault="00A537C0">
            <w:pPr>
              <w:spacing w:before="20" w:after="20"/>
            </w:pPr>
            <w:r>
              <w:rPr>
                <w:sz w:val="19"/>
                <w:szCs w:val="19"/>
              </w:rPr>
              <w:t>S02</w:t>
            </w:r>
          </w:p>
        </w:tc>
        <w:tc>
          <w:tcPr>
            <w:tcW w:w="2246" w:type="dxa"/>
            <w:shd w:val="clear" w:color="auto" w:fill="F2F2F2"/>
            <w:tcMar>
              <w:top w:w="60" w:type="dxa"/>
              <w:left w:w="100" w:type="dxa"/>
              <w:bottom w:w="60" w:type="dxa"/>
              <w:right w:w="100" w:type="dxa"/>
            </w:tcMar>
            <w:vAlign w:val="center"/>
          </w:tcPr>
          <w:p w14:paraId="358D624B" w14:textId="77777777" w:rsidR="00711273" w:rsidRDefault="00A537C0">
            <w:pPr>
              <w:spacing w:before="20" w:after="20"/>
            </w:pPr>
            <w:r>
              <w:rPr>
                <w:sz w:val="19"/>
                <w:szCs w:val="19"/>
              </w:rPr>
              <w:t>Full tracking documentation (All, P0)</w:t>
            </w:r>
          </w:p>
        </w:tc>
        <w:tc>
          <w:tcPr>
            <w:tcW w:w="3136" w:type="dxa"/>
            <w:shd w:val="clear" w:color="auto" w:fill="F2F2F2"/>
            <w:tcMar>
              <w:top w:w="60" w:type="dxa"/>
              <w:left w:w="100" w:type="dxa"/>
              <w:bottom w:w="60" w:type="dxa"/>
              <w:right w:w="100" w:type="dxa"/>
            </w:tcMar>
            <w:vAlign w:val="center"/>
          </w:tcPr>
          <w:p w14:paraId="358D624C" w14:textId="77777777" w:rsidR="00711273" w:rsidRDefault="00A537C0">
            <w:pPr>
              <w:spacing w:before="20" w:after="20"/>
            </w:pPr>
            <w:r>
              <w:rPr>
                <w:sz w:val="19"/>
                <w:szCs w:val="19"/>
              </w:rPr>
              <w:t>Role-based runbooks per team/platform + centralised event &amp; conversion dictionary + change-management process for new tracking requests.</w:t>
            </w:r>
          </w:p>
        </w:tc>
        <w:tc>
          <w:tcPr>
            <w:tcW w:w="3136" w:type="dxa"/>
            <w:shd w:val="clear" w:color="auto" w:fill="F2F2F2"/>
            <w:tcMar>
              <w:top w:w="60" w:type="dxa"/>
              <w:left w:w="100" w:type="dxa"/>
              <w:bottom w:w="60" w:type="dxa"/>
              <w:right w:w="100" w:type="dxa"/>
            </w:tcMar>
            <w:vAlign w:val="center"/>
          </w:tcPr>
          <w:p w14:paraId="358D624D" w14:textId="77777777" w:rsidR="00711273" w:rsidRDefault="00A537C0">
            <w:pPr>
              <w:spacing w:before="20" w:after="20"/>
            </w:pPr>
            <w:r>
              <w:rPr>
                <w:sz w:val="19"/>
                <w:szCs w:val="19"/>
              </w:rPr>
              <w:t xml:space="preserve">~70% falls out of the audit if you document as you go. Decide the documentation platform early (open question). Change management = how a new tracking request gets </w:t>
            </w:r>
            <w:proofErr w:type="spellStart"/>
            <w:r>
              <w:rPr>
                <w:sz w:val="19"/>
                <w:szCs w:val="19"/>
              </w:rPr>
              <w:t>specced</w:t>
            </w:r>
            <w:proofErr w:type="spellEnd"/>
            <w:r>
              <w:rPr>
                <w:sz w:val="19"/>
                <w:szCs w:val="19"/>
              </w:rPr>
              <w:t xml:space="preserve">, built, </w:t>
            </w:r>
            <w:proofErr w:type="spellStart"/>
            <w:r>
              <w:rPr>
                <w:sz w:val="19"/>
                <w:szCs w:val="19"/>
              </w:rPr>
              <w:t>QA'd</w:t>
            </w:r>
            <w:proofErr w:type="spellEnd"/>
            <w:r>
              <w:rPr>
                <w:sz w:val="19"/>
                <w:szCs w:val="19"/>
              </w:rPr>
              <w:t>, and recorded so the estate never rots again.</w:t>
            </w:r>
          </w:p>
        </w:tc>
      </w:tr>
      <w:tr w:rsidR="00711273" w14:paraId="358D6253" w14:textId="77777777">
        <w:tc>
          <w:tcPr>
            <w:tcW w:w="842" w:type="dxa"/>
            <w:tcMar>
              <w:top w:w="60" w:type="dxa"/>
              <w:left w:w="100" w:type="dxa"/>
              <w:bottom w:w="60" w:type="dxa"/>
              <w:right w:w="100" w:type="dxa"/>
            </w:tcMar>
            <w:vAlign w:val="center"/>
          </w:tcPr>
          <w:p w14:paraId="358D624F" w14:textId="77777777" w:rsidR="00711273" w:rsidRDefault="00A537C0">
            <w:pPr>
              <w:spacing w:before="20" w:after="20"/>
            </w:pPr>
            <w:r>
              <w:rPr>
                <w:sz w:val="19"/>
                <w:szCs w:val="19"/>
              </w:rPr>
              <w:t>S03</w:t>
            </w:r>
          </w:p>
        </w:tc>
        <w:tc>
          <w:tcPr>
            <w:tcW w:w="2246" w:type="dxa"/>
            <w:tcMar>
              <w:top w:w="60" w:type="dxa"/>
              <w:left w:w="100" w:type="dxa"/>
              <w:bottom w:w="60" w:type="dxa"/>
              <w:right w:w="100" w:type="dxa"/>
            </w:tcMar>
            <w:vAlign w:val="center"/>
          </w:tcPr>
          <w:p w14:paraId="358D6250" w14:textId="77777777" w:rsidR="00711273" w:rsidRDefault="00A537C0">
            <w:pPr>
              <w:spacing w:before="20" w:after="20"/>
            </w:pPr>
            <w:r>
              <w:rPr>
                <w:sz w:val="19"/>
                <w:szCs w:val="19"/>
              </w:rPr>
              <w:t>Better app attribution (All, PP first, P0)</w:t>
            </w:r>
          </w:p>
        </w:tc>
        <w:tc>
          <w:tcPr>
            <w:tcW w:w="3136" w:type="dxa"/>
            <w:tcMar>
              <w:top w:w="60" w:type="dxa"/>
              <w:left w:w="100" w:type="dxa"/>
              <w:bottom w:w="60" w:type="dxa"/>
              <w:right w:w="100" w:type="dxa"/>
            </w:tcMar>
            <w:vAlign w:val="center"/>
          </w:tcPr>
          <w:p w14:paraId="358D6251" w14:textId="77777777" w:rsidR="00711273" w:rsidRDefault="00A537C0">
            <w:pPr>
              <w:spacing w:before="20" w:after="20"/>
            </w:pPr>
            <w:proofErr w:type="spellStart"/>
            <w:r>
              <w:rPr>
                <w:sz w:val="19"/>
                <w:szCs w:val="19"/>
              </w:rPr>
              <w:t>AppsFlyer</w:t>
            </w:r>
            <w:proofErr w:type="spellEnd"/>
            <w:r>
              <w:rPr>
                <w:sz w:val="19"/>
                <w:szCs w:val="19"/>
              </w:rPr>
              <w:t xml:space="preserve"> live in the PP app this week (PACK tickets, ETA EOW at sheet time).</w:t>
            </w:r>
          </w:p>
        </w:tc>
        <w:tc>
          <w:tcPr>
            <w:tcW w:w="3136" w:type="dxa"/>
            <w:tcMar>
              <w:top w:w="60" w:type="dxa"/>
              <w:left w:w="100" w:type="dxa"/>
              <w:bottom w:w="60" w:type="dxa"/>
              <w:right w:w="100" w:type="dxa"/>
            </w:tcMar>
            <w:vAlign w:val="center"/>
          </w:tcPr>
          <w:p w14:paraId="358D6252" w14:textId="77777777" w:rsidR="00711273" w:rsidRDefault="00A537C0">
            <w:pPr>
              <w:spacing w:before="20" w:after="20"/>
            </w:pPr>
            <w:r>
              <w:rPr>
                <w:sz w:val="19"/>
                <w:szCs w:val="19"/>
              </w:rPr>
              <w:t xml:space="preserve">EXL validates the deployment: events fire, attribution reaches GA4 and ad platforms, features suit the evaluation. </w:t>
            </w:r>
            <w:r>
              <w:rPr>
                <w:b/>
                <w:bCs/>
                <w:sz w:val="19"/>
                <w:szCs w:val="19"/>
              </w:rPr>
              <w:t>Next update 8/19 — the very first deadline.</w:t>
            </w:r>
          </w:p>
        </w:tc>
      </w:tr>
      <w:tr w:rsidR="00711273" w14:paraId="358D6258" w14:textId="77777777">
        <w:tc>
          <w:tcPr>
            <w:tcW w:w="842" w:type="dxa"/>
            <w:shd w:val="clear" w:color="auto" w:fill="F2F2F2"/>
            <w:tcMar>
              <w:top w:w="60" w:type="dxa"/>
              <w:left w:w="100" w:type="dxa"/>
              <w:bottom w:w="60" w:type="dxa"/>
              <w:right w:w="100" w:type="dxa"/>
            </w:tcMar>
            <w:vAlign w:val="center"/>
          </w:tcPr>
          <w:p w14:paraId="358D6254" w14:textId="77777777" w:rsidR="00711273" w:rsidRDefault="00A537C0">
            <w:pPr>
              <w:spacing w:before="20" w:after="20"/>
            </w:pPr>
            <w:r>
              <w:rPr>
                <w:sz w:val="19"/>
                <w:szCs w:val="19"/>
              </w:rPr>
              <w:t>S04</w:t>
            </w:r>
          </w:p>
        </w:tc>
        <w:tc>
          <w:tcPr>
            <w:tcW w:w="2246" w:type="dxa"/>
            <w:shd w:val="clear" w:color="auto" w:fill="F2F2F2"/>
            <w:tcMar>
              <w:top w:w="60" w:type="dxa"/>
              <w:left w:w="100" w:type="dxa"/>
              <w:bottom w:w="60" w:type="dxa"/>
              <w:right w:w="100" w:type="dxa"/>
            </w:tcMar>
            <w:vAlign w:val="center"/>
          </w:tcPr>
          <w:p w14:paraId="358D6255" w14:textId="77777777" w:rsidR="00711273" w:rsidRDefault="00A537C0">
            <w:pPr>
              <w:spacing w:before="20" w:after="20"/>
            </w:pPr>
            <w:proofErr w:type="spellStart"/>
            <w:r>
              <w:rPr>
                <w:sz w:val="19"/>
                <w:szCs w:val="19"/>
              </w:rPr>
              <w:t>AppsFlyer</w:t>
            </w:r>
            <w:proofErr w:type="spellEnd"/>
            <w:r>
              <w:rPr>
                <w:sz w:val="19"/>
                <w:szCs w:val="19"/>
              </w:rPr>
              <w:t xml:space="preserve"> eval + </w:t>
            </w:r>
            <w:proofErr w:type="spellStart"/>
            <w:r>
              <w:rPr>
                <w:sz w:val="19"/>
                <w:szCs w:val="19"/>
              </w:rPr>
              <w:t>Branch→AF</w:t>
            </w:r>
            <w:proofErr w:type="spellEnd"/>
            <w:r>
              <w:rPr>
                <w:sz w:val="19"/>
                <w:szCs w:val="19"/>
              </w:rPr>
              <w:t xml:space="preserve"> migration (PSA, P1)</w:t>
            </w:r>
          </w:p>
        </w:tc>
        <w:tc>
          <w:tcPr>
            <w:tcW w:w="3136" w:type="dxa"/>
            <w:shd w:val="clear" w:color="auto" w:fill="F2F2F2"/>
            <w:tcMar>
              <w:top w:w="60" w:type="dxa"/>
              <w:left w:w="100" w:type="dxa"/>
              <w:bottom w:w="60" w:type="dxa"/>
              <w:right w:w="100" w:type="dxa"/>
            </w:tcMar>
            <w:vAlign w:val="center"/>
          </w:tcPr>
          <w:p w14:paraId="358D6256" w14:textId="77777777" w:rsidR="00711273" w:rsidRDefault="00A537C0">
            <w:pPr>
              <w:spacing w:before="20" w:after="20"/>
            </w:pPr>
            <w:r>
              <w:rPr>
                <w:sz w:val="19"/>
                <w:szCs w:val="19"/>
              </w:rPr>
              <w:t xml:space="preserve">30-day AF trial from 8/17; decision needed before 9/29 Branch EOC; then migration (SDK swap, links, </w:t>
            </w:r>
            <w:r>
              <w:rPr>
                <w:sz w:val="19"/>
                <w:szCs w:val="19"/>
              </w:rPr>
              <w:lastRenderedPageBreak/>
              <w:t>models for the historical break; PCGS first-time instrumentation).</w:t>
            </w:r>
          </w:p>
        </w:tc>
        <w:tc>
          <w:tcPr>
            <w:tcW w:w="3136" w:type="dxa"/>
            <w:shd w:val="clear" w:color="auto" w:fill="F2F2F2"/>
            <w:tcMar>
              <w:top w:w="60" w:type="dxa"/>
              <w:left w:w="100" w:type="dxa"/>
              <w:bottom w:w="60" w:type="dxa"/>
              <w:right w:w="100" w:type="dxa"/>
            </w:tcMar>
            <w:vAlign w:val="center"/>
          </w:tcPr>
          <w:p w14:paraId="358D6257" w14:textId="77777777" w:rsidR="00711273" w:rsidRDefault="00A537C0">
            <w:pPr>
              <w:spacing w:before="20" w:after="20"/>
            </w:pPr>
            <w:r>
              <w:rPr>
                <w:sz w:val="19"/>
                <w:szCs w:val="19"/>
              </w:rPr>
              <w:lastRenderedPageBreak/>
              <w:t>Light migration planning during trial; consolidate decision-grade trial findings; full plan/execution post-</w:t>
            </w:r>
            <w:r>
              <w:rPr>
                <w:sz w:val="19"/>
                <w:szCs w:val="19"/>
              </w:rPr>
              <w:lastRenderedPageBreak/>
              <w:t>decision. Define numeric success criteria for the trial early (a drafted discovery question).</w:t>
            </w:r>
          </w:p>
        </w:tc>
      </w:tr>
      <w:tr w:rsidR="00711273" w14:paraId="358D625D" w14:textId="77777777">
        <w:tc>
          <w:tcPr>
            <w:tcW w:w="842" w:type="dxa"/>
            <w:tcMar>
              <w:top w:w="60" w:type="dxa"/>
              <w:left w:w="100" w:type="dxa"/>
              <w:bottom w:w="60" w:type="dxa"/>
              <w:right w:w="100" w:type="dxa"/>
            </w:tcMar>
            <w:vAlign w:val="center"/>
          </w:tcPr>
          <w:p w14:paraId="358D6259" w14:textId="77777777" w:rsidR="00711273" w:rsidRDefault="00A537C0">
            <w:pPr>
              <w:spacing w:before="20" w:after="20"/>
            </w:pPr>
            <w:r>
              <w:rPr>
                <w:sz w:val="19"/>
                <w:szCs w:val="19"/>
              </w:rPr>
              <w:lastRenderedPageBreak/>
              <w:t>S05</w:t>
            </w:r>
          </w:p>
        </w:tc>
        <w:tc>
          <w:tcPr>
            <w:tcW w:w="2246" w:type="dxa"/>
            <w:tcMar>
              <w:top w:w="60" w:type="dxa"/>
              <w:left w:w="100" w:type="dxa"/>
              <w:bottom w:w="60" w:type="dxa"/>
              <w:right w:w="100" w:type="dxa"/>
            </w:tcMar>
            <w:vAlign w:val="center"/>
          </w:tcPr>
          <w:p w14:paraId="358D625A" w14:textId="77777777" w:rsidR="00711273" w:rsidRDefault="00A537C0">
            <w:pPr>
              <w:spacing w:before="20" w:after="20"/>
            </w:pPr>
            <w:r>
              <w:rPr>
                <w:sz w:val="19"/>
                <w:szCs w:val="19"/>
              </w:rPr>
              <w:t xml:space="preserve">Strengthen paid tracking — </w:t>
            </w:r>
            <w:proofErr w:type="spellStart"/>
            <w:r>
              <w:rPr>
                <w:sz w:val="19"/>
                <w:szCs w:val="19"/>
              </w:rPr>
              <w:t>sGTM</w:t>
            </w:r>
            <w:proofErr w:type="spellEnd"/>
            <w:r>
              <w:rPr>
                <w:sz w:val="19"/>
                <w:szCs w:val="19"/>
              </w:rPr>
              <w:t>/CAPI (All, P0)</w:t>
            </w:r>
          </w:p>
        </w:tc>
        <w:tc>
          <w:tcPr>
            <w:tcW w:w="3136" w:type="dxa"/>
            <w:tcMar>
              <w:top w:w="60" w:type="dxa"/>
              <w:left w:w="100" w:type="dxa"/>
              <w:bottom w:w="60" w:type="dxa"/>
              <w:right w:w="100" w:type="dxa"/>
            </w:tcMar>
            <w:vAlign w:val="center"/>
          </w:tcPr>
          <w:p w14:paraId="358D625B" w14:textId="77777777" w:rsidR="00711273" w:rsidRDefault="00A537C0">
            <w:pPr>
              <w:spacing w:before="20" w:after="20"/>
            </w:pPr>
            <w:r>
              <w:rPr>
                <w:sz w:val="19"/>
                <w:szCs w:val="19"/>
              </w:rPr>
              <w:t xml:space="preserve">Turn </w:t>
            </w:r>
            <w:proofErr w:type="spellStart"/>
            <w:r>
              <w:rPr>
                <w:sz w:val="19"/>
                <w:szCs w:val="19"/>
              </w:rPr>
              <w:t>sGTM</w:t>
            </w:r>
            <w:proofErr w:type="spellEnd"/>
            <w:r>
              <w:rPr>
                <w:sz w:val="19"/>
                <w:szCs w:val="19"/>
              </w:rPr>
              <w:t xml:space="preserve"> from script-loader into real server-side event pipeline. Meta CAPI + Google Ads first. Gated on 1P subdomains from GameStop IT (PP) and IT (PCGS).</w:t>
            </w:r>
          </w:p>
        </w:tc>
        <w:tc>
          <w:tcPr>
            <w:tcW w:w="3136" w:type="dxa"/>
            <w:tcMar>
              <w:top w:w="60" w:type="dxa"/>
              <w:left w:w="100" w:type="dxa"/>
              <w:bottom w:w="60" w:type="dxa"/>
              <w:right w:w="100" w:type="dxa"/>
            </w:tcMar>
            <w:vAlign w:val="center"/>
          </w:tcPr>
          <w:p w14:paraId="358D625C" w14:textId="77777777" w:rsidR="00711273" w:rsidRDefault="00A537C0">
            <w:pPr>
              <w:spacing w:before="20" w:after="20"/>
            </w:pPr>
            <w:r>
              <w:rPr>
                <w:sz w:val="19"/>
                <w:szCs w:val="19"/>
              </w:rPr>
              <w:t>Architect, itemise tickets across teams, implement, QA, document. Chase the subdomain requests immediately — they gate everything. Establish baseline match rates/EQS so improvement is provable.</w:t>
            </w:r>
          </w:p>
        </w:tc>
      </w:tr>
      <w:tr w:rsidR="00711273" w14:paraId="358D6262" w14:textId="77777777">
        <w:tc>
          <w:tcPr>
            <w:tcW w:w="842" w:type="dxa"/>
            <w:shd w:val="clear" w:color="auto" w:fill="F2F2F2"/>
            <w:tcMar>
              <w:top w:w="60" w:type="dxa"/>
              <w:left w:w="100" w:type="dxa"/>
              <w:bottom w:w="60" w:type="dxa"/>
              <w:right w:w="100" w:type="dxa"/>
            </w:tcMar>
            <w:vAlign w:val="center"/>
          </w:tcPr>
          <w:p w14:paraId="358D625E" w14:textId="77777777" w:rsidR="00711273" w:rsidRDefault="00A537C0">
            <w:pPr>
              <w:spacing w:before="20" w:after="20"/>
            </w:pPr>
            <w:r>
              <w:rPr>
                <w:sz w:val="19"/>
                <w:szCs w:val="19"/>
              </w:rPr>
              <w:t>S06</w:t>
            </w:r>
          </w:p>
        </w:tc>
        <w:tc>
          <w:tcPr>
            <w:tcW w:w="2246" w:type="dxa"/>
            <w:shd w:val="clear" w:color="auto" w:fill="F2F2F2"/>
            <w:tcMar>
              <w:top w:w="60" w:type="dxa"/>
              <w:left w:w="100" w:type="dxa"/>
              <w:bottom w:w="60" w:type="dxa"/>
              <w:right w:w="100" w:type="dxa"/>
            </w:tcMar>
            <w:vAlign w:val="center"/>
          </w:tcPr>
          <w:p w14:paraId="358D625F" w14:textId="77777777" w:rsidR="00711273" w:rsidRDefault="00A537C0">
            <w:pPr>
              <w:spacing w:before="20" w:after="20"/>
            </w:pPr>
            <w:r>
              <w:rPr>
                <w:sz w:val="19"/>
                <w:szCs w:val="19"/>
              </w:rPr>
              <w:t>PP interim reporting — Google + Meta (PP, P0)</w:t>
            </w:r>
          </w:p>
        </w:tc>
        <w:tc>
          <w:tcPr>
            <w:tcW w:w="3136" w:type="dxa"/>
            <w:shd w:val="clear" w:color="auto" w:fill="F2F2F2"/>
            <w:tcMar>
              <w:top w:w="60" w:type="dxa"/>
              <w:left w:w="100" w:type="dxa"/>
              <w:bottom w:w="60" w:type="dxa"/>
              <w:right w:w="100" w:type="dxa"/>
            </w:tcMar>
            <w:vAlign w:val="center"/>
          </w:tcPr>
          <w:p w14:paraId="358D6260" w14:textId="77777777" w:rsidR="00711273" w:rsidRDefault="00A537C0">
            <w:pPr>
              <w:spacing w:before="20" w:after="20"/>
            </w:pPr>
            <w:r>
              <w:rPr>
                <w:sz w:val="19"/>
                <w:szCs w:val="19"/>
              </w:rPr>
              <w:t>Automate PP paid performance report to 99% by 8/31 (DPE-5111/5112). Finalise UTM "stuffing" format; refresh PP &amp; PSA Link Inventories.</w:t>
            </w:r>
          </w:p>
        </w:tc>
        <w:tc>
          <w:tcPr>
            <w:tcW w:w="3136" w:type="dxa"/>
            <w:shd w:val="clear" w:color="auto" w:fill="F2F2F2"/>
            <w:tcMar>
              <w:top w:w="60" w:type="dxa"/>
              <w:left w:w="100" w:type="dxa"/>
              <w:bottom w:w="60" w:type="dxa"/>
              <w:right w:w="100" w:type="dxa"/>
            </w:tcMar>
            <w:vAlign w:val="center"/>
          </w:tcPr>
          <w:p w14:paraId="358D6261" w14:textId="77777777" w:rsidR="00711273" w:rsidRDefault="00A537C0">
            <w:pPr>
              <w:spacing w:before="20" w:after="20"/>
            </w:pPr>
            <w:r>
              <w:rPr>
                <w:sz w:val="19"/>
                <w:szCs w:val="19"/>
              </w:rPr>
              <w:t xml:space="preserve">"UTM stuffing" = the convention for packing tracking parameters into campaign URLs; the </w:t>
            </w:r>
            <w:r>
              <w:rPr>
                <w:b/>
                <w:bCs/>
                <w:sz w:val="19"/>
                <w:szCs w:val="19"/>
              </w:rPr>
              <w:t>Link Inventory</w:t>
            </w:r>
            <w:r>
              <w:rPr>
                <w:sz w:val="19"/>
                <w:szCs w:val="19"/>
              </w:rPr>
              <w:t xml:space="preserve"> is the master sheet of campaign links. Open questions already logged: current state? taxonomy final? cost data included? built in GA4 UI or automating an existing manual report?</w:t>
            </w:r>
          </w:p>
        </w:tc>
      </w:tr>
      <w:tr w:rsidR="00711273" w14:paraId="358D6267" w14:textId="77777777">
        <w:tc>
          <w:tcPr>
            <w:tcW w:w="842" w:type="dxa"/>
            <w:tcMar>
              <w:top w:w="60" w:type="dxa"/>
              <w:left w:w="100" w:type="dxa"/>
              <w:bottom w:w="60" w:type="dxa"/>
              <w:right w:w="100" w:type="dxa"/>
            </w:tcMar>
            <w:vAlign w:val="center"/>
          </w:tcPr>
          <w:p w14:paraId="358D6263" w14:textId="77777777" w:rsidR="00711273" w:rsidRDefault="00A537C0">
            <w:pPr>
              <w:spacing w:before="20" w:after="20"/>
            </w:pPr>
            <w:r>
              <w:rPr>
                <w:sz w:val="19"/>
                <w:szCs w:val="19"/>
              </w:rPr>
              <w:t>S07</w:t>
            </w:r>
          </w:p>
        </w:tc>
        <w:tc>
          <w:tcPr>
            <w:tcW w:w="2246" w:type="dxa"/>
            <w:tcMar>
              <w:top w:w="60" w:type="dxa"/>
              <w:left w:w="100" w:type="dxa"/>
              <w:bottom w:w="60" w:type="dxa"/>
              <w:right w:w="100" w:type="dxa"/>
            </w:tcMar>
            <w:vAlign w:val="center"/>
          </w:tcPr>
          <w:p w14:paraId="358D6264" w14:textId="77777777" w:rsidR="00711273" w:rsidRDefault="00A537C0">
            <w:pPr>
              <w:spacing w:before="20" w:after="20"/>
            </w:pPr>
            <w:r>
              <w:rPr>
                <w:sz w:val="19"/>
                <w:szCs w:val="19"/>
              </w:rPr>
              <w:t xml:space="preserve">PP interim reporting — TikTok + </w:t>
            </w:r>
            <w:proofErr w:type="spellStart"/>
            <w:r>
              <w:rPr>
                <w:sz w:val="19"/>
                <w:szCs w:val="19"/>
              </w:rPr>
              <w:t>StackAdapt</w:t>
            </w:r>
            <w:proofErr w:type="spellEnd"/>
            <w:r>
              <w:rPr>
                <w:sz w:val="19"/>
                <w:szCs w:val="19"/>
              </w:rPr>
              <w:t xml:space="preserve"> (PP, P0)</w:t>
            </w:r>
          </w:p>
        </w:tc>
        <w:tc>
          <w:tcPr>
            <w:tcW w:w="3136" w:type="dxa"/>
            <w:tcMar>
              <w:top w:w="60" w:type="dxa"/>
              <w:left w:w="100" w:type="dxa"/>
              <w:bottom w:w="60" w:type="dxa"/>
              <w:right w:w="100" w:type="dxa"/>
            </w:tcMar>
            <w:vAlign w:val="center"/>
          </w:tcPr>
          <w:p w14:paraId="358D6265" w14:textId="77777777" w:rsidR="00711273" w:rsidRDefault="00A537C0">
            <w:pPr>
              <w:spacing w:before="20" w:after="20"/>
            </w:pPr>
            <w:r>
              <w:rPr>
                <w:sz w:val="19"/>
                <w:szCs w:val="19"/>
              </w:rPr>
              <w:t xml:space="preserve">Same pattern for the second channel wave (DPE-5060), sequenced after G/Meta. </w:t>
            </w:r>
            <w:proofErr w:type="spellStart"/>
            <w:r>
              <w:rPr>
                <w:sz w:val="19"/>
                <w:szCs w:val="19"/>
              </w:rPr>
              <w:t>StackAdapt</w:t>
            </w:r>
            <w:proofErr w:type="spellEnd"/>
            <w:r>
              <w:rPr>
                <w:sz w:val="19"/>
                <w:szCs w:val="19"/>
              </w:rPr>
              <w:t xml:space="preserve"> is a programmatic (display/native/CTV) DSP.</w:t>
            </w:r>
          </w:p>
        </w:tc>
        <w:tc>
          <w:tcPr>
            <w:tcW w:w="3136" w:type="dxa"/>
            <w:tcMar>
              <w:top w:w="60" w:type="dxa"/>
              <w:left w:w="100" w:type="dxa"/>
              <w:bottom w:w="60" w:type="dxa"/>
              <w:right w:w="100" w:type="dxa"/>
            </w:tcMar>
            <w:vAlign w:val="center"/>
          </w:tcPr>
          <w:p w14:paraId="358D6266" w14:textId="77777777" w:rsidR="00711273" w:rsidRDefault="00A537C0">
            <w:pPr>
              <w:spacing w:before="20" w:after="20"/>
            </w:pPr>
            <w:r>
              <w:rPr>
                <w:sz w:val="19"/>
                <w:szCs w:val="19"/>
              </w:rPr>
              <w:t>Guide UTM stuffing; update Link Inventory. Timing depends on how the first wave lands.</w:t>
            </w:r>
          </w:p>
        </w:tc>
      </w:tr>
      <w:tr w:rsidR="00711273" w14:paraId="358D626C" w14:textId="77777777">
        <w:tc>
          <w:tcPr>
            <w:tcW w:w="842" w:type="dxa"/>
            <w:shd w:val="clear" w:color="auto" w:fill="F2F2F2"/>
            <w:tcMar>
              <w:top w:w="60" w:type="dxa"/>
              <w:left w:w="100" w:type="dxa"/>
              <w:bottom w:w="60" w:type="dxa"/>
              <w:right w:w="100" w:type="dxa"/>
            </w:tcMar>
            <w:vAlign w:val="center"/>
          </w:tcPr>
          <w:p w14:paraId="358D6268" w14:textId="77777777" w:rsidR="00711273" w:rsidRDefault="00A537C0">
            <w:pPr>
              <w:spacing w:before="20" w:after="20"/>
            </w:pPr>
            <w:r>
              <w:rPr>
                <w:sz w:val="19"/>
                <w:szCs w:val="19"/>
              </w:rPr>
              <w:t>S08</w:t>
            </w:r>
          </w:p>
        </w:tc>
        <w:tc>
          <w:tcPr>
            <w:tcW w:w="2246" w:type="dxa"/>
            <w:shd w:val="clear" w:color="auto" w:fill="F2F2F2"/>
            <w:tcMar>
              <w:top w:w="60" w:type="dxa"/>
              <w:left w:w="100" w:type="dxa"/>
              <w:bottom w:w="60" w:type="dxa"/>
              <w:right w:w="100" w:type="dxa"/>
            </w:tcMar>
            <w:vAlign w:val="center"/>
          </w:tcPr>
          <w:p w14:paraId="358D6269" w14:textId="77777777" w:rsidR="00711273" w:rsidRDefault="00A537C0">
            <w:pPr>
              <w:spacing w:before="20" w:after="20"/>
            </w:pPr>
            <w:r>
              <w:rPr>
                <w:sz w:val="19"/>
                <w:szCs w:val="19"/>
              </w:rPr>
              <w:t>PSA app tracking optimisations (PSA, P1)</w:t>
            </w:r>
          </w:p>
        </w:tc>
        <w:tc>
          <w:tcPr>
            <w:tcW w:w="3136" w:type="dxa"/>
            <w:shd w:val="clear" w:color="auto" w:fill="F2F2F2"/>
            <w:tcMar>
              <w:top w:w="60" w:type="dxa"/>
              <w:left w:w="100" w:type="dxa"/>
              <w:bottom w:w="60" w:type="dxa"/>
              <w:right w:w="100" w:type="dxa"/>
            </w:tcMar>
            <w:vAlign w:val="center"/>
          </w:tcPr>
          <w:p w14:paraId="358D626A" w14:textId="77777777" w:rsidR="00711273" w:rsidRDefault="00A537C0">
            <w:pPr>
              <w:spacing w:before="20" w:after="20"/>
            </w:pPr>
            <w:r>
              <w:rPr>
                <w:sz w:val="19"/>
                <w:szCs w:val="19"/>
              </w:rPr>
              <w:t xml:space="preserve">PGX-4933 &amp; PGX-4935 deployed 30 Jun, never </w:t>
            </w:r>
            <w:proofErr w:type="spellStart"/>
            <w:r>
              <w:rPr>
                <w:sz w:val="19"/>
                <w:szCs w:val="19"/>
              </w:rPr>
              <w:t>QA'd</w:t>
            </w:r>
            <w:proofErr w:type="spellEnd"/>
            <w:r>
              <w:rPr>
                <w:sz w:val="19"/>
                <w:szCs w:val="19"/>
              </w:rPr>
              <w:t>; PGX-4932 blocked because no analytics spec exists.</w:t>
            </w:r>
          </w:p>
        </w:tc>
        <w:tc>
          <w:tcPr>
            <w:tcW w:w="3136" w:type="dxa"/>
            <w:shd w:val="clear" w:color="auto" w:fill="F2F2F2"/>
            <w:tcMar>
              <w:top w:w="60" w:type="dxa"/>
              <w:left w:w="100" w:type="dxa"/>
              <w:bottom w:w="60" w:type="dxa"/>
              <w:right w:w="100" w:type="dxa"/>
            </w:tcMar>
            <w:vAlign w:val="center"/>
          </w:tcPr>
          <w:p w14:paraId="358D626B" w14:textId="77777777" w:rsidR="00711273" w:rsidRDefault="00A537C0">
            <w:pPr>
              <w:spacing w:before="20" w:after="20"/>
            </w:pPr>
            <w:r>
              <w:rPr>
                <w:sz w:val="19"/>
                <w:szCs w:val="19"/>
              </w:rPr>
              <w:t>EXL QAs the two deployed tickets and writes the spec that unblocks PGX-4932. A perfect first task for your offshore hire.</w:t>
            </w:r>
          </w:p>
        </w:tc>
      </w:tr>
      <w:tr w:rsidR="00711273" w14:paraId="358D6271" w14:textId="77777777">
        <w:tc>
          <w:tcPr>
            <w:tcW w:w="842" w:type="dxa"/>
            <w:tcMar>
              <w:top w:w="60" w:type="dxa"/>
              <w:left w:w="100" w:type="dxa"/>
              <w:bottom w:w="60" w:type="dxa"/>
              <w:right w:w="100" w:type="dxa"/>
            </w:tcMar>
            <w:vAlign w:val="center"/>
          </w:tcPr>
          <w:p w14:paraId="358D626D" w14:textId="77777777" w:rsidR="00711273" w:rsidRDefault="00A537C0">
            <w:pPr>
              <w:spacing w:before="20" w:after="20"/>
            </w:pPr>
            <w:r>
              <w:rPr>
                <w:sz w:val="19"/>
                <w:szCs w:val="19"/>
              </w:rPr>
              <w:t>S09</w:t>
            </w:r>
          </w:p>
        </w:tc>
        <w:tc>
          <w:tcPr>
            <w:tcW w:w="2246" w:type="dxa"/>
            <w:tcMar>
              <w:top w:w="60" w:type="dxa"/>
              <w:left w:w="100" w:type="dxa"/>
              <w:bottom w:w="60" w:type="dxa"/>
              <w:right w:w="100" w:type="dxa"/>
            </w:tcMar>
            <w:vAlign w:val="center"/>
          </w:tcPr>
          <w:p w14:paraId="358D626E" w14:textId="77777777" w:rsidR="00711273" w:rsidRDefault="00A537C0">
            <w:pPr>
              <w:spacing w:before="20" w:after="20"/>
            </w:pPr>
            <w:r>
              <w:rPr>
                <w:sz w:val="19"/>
                <w:szCs w:val="19"/>
              </w:rPr>
              <w:t>Redline app tracking continuity (PSA, P0)</w:t>
            </w:r>
          </w:p>
        </w:tc>
        <w:tc>
          <w:tcPr>
            <w:tcW w:w="3136" w:type="dxa"/>
            <w:tcMar>
              <w:top w:w="60" w:type="dxa"/>
              <w:left w:w="100" w:type="dxa"/>
              <w:bottom w:w="60" w:type="dxa"/>
              <w:right w:w="100" w:type="dxa"/>
            </w:tcMar>
            <w:vAlign w:val="center"/>
          </w:tcPr>
          <w:p w14:paraId="358D626F" w14:textId="77777777" w:rsidR="00711273" w:rsidRDefault="00A537C0">
            <w:pPr>
              <w:spacing w:before="20" w:after="20"/>
            </w:pPr>
            <w:r>
              <w:rPr>
                <w:sz w:val="19"/>
                <w:szCs w:val="19"/>
              </w:rPr>
              <w:t>PSA app overhaul ("Redline") launches 8/31; rebuilds silently break tracking.</w:t>
            </w:r>
          </w:p>
        </w:tc>
        <w:tc>
          <w:tcPr>
            <w:tcW w:w="3136" w:type="dxa"/>
            <w:tcMar>
              <w:top w:w="60" w:type="dxa"/>
              <w:left w:w="100" w:type="dxa"/>
              <w:bottom w:w="60" w:type="dxa"/>
              <w:right w:w="100" w:type="dxa"/>
            </w:tcMar>
            <w:vAlign w:val="center"/>
          </w:tcPr>
          <w:p w14:paraId="358D6270" w14:textId="77777777" w:rsidR="00711273" w:rsidRDefault="00A537C0">
            <w:pPr>
              <w:spacing w:before="20" w:after="20"/>
            </w:pPr>
            <w:r>
              <w:rPr>
                <w:sz w:val="19"/>
                <w:szCs w:val="19"/>
              </w:rPr>
              <w:t>Regression-QA all tracked events in the new build pre- and post-launch. Clarify (logged question): one-off launch support or a standing QA process for future releases?</w:t>
            </w:r>
          </w:p>
        </w:tc>
      </w:tr>
      <w:tr w:rsidR="00711273" w14:paraId="358D6276" w14:textId="77777777">
        <w:tc>
          <w:tcPr>
            <w:tcW w:w="842" w:type="dxa"/>
            <w:shd w:val="clear" w:color="auto" w:fill="F2F2F2"/>
            <w:tcMar>
              <w:top w:w="60" w:type="dxa"/>
              <w:left w:w="100" w:type="dxa"/>
              <w:bottom w:w="60" w:type="dxa"/>
              <w:right w:w="100" w:type="dxa"/>
            </w:tcMar>
            <w:vAlign w:val="center"/>
          </w:tcPr>
          <w:p w14:paraId="358D6272" w14:textId="77777777" w:rsidR="00711273" w:rsidRDefault="00A537C0">
            <w:pPr>
              <w:spacing w:before="20" w:after="20"/>
            </w:pPr>
            <w:r>
              <w:rPr>
                <w:sz w:val="19"/>
                <w:szCs w:val="19"/>
              </w:rPr>
              <w:t>S10</w:t>
            </w:r>
          </w:p>
        </w:tc>
        <w:tc>
          <w:tcPr>
            <w:tcW w:w="2246" w:type="dxa"/>
            <w:shd w:val="clear" w:color="auto" w:fill="F2F2F2"/>
            <w:tcMar>
              <w:top w:w="60" w:type="dxa"/>
              <w:left w:w="100" w:type="dxa"/>
              <w:bottom w:w="60" w:type="dxa"/>
              <w:right w:w="100" w:type="dxa"/>
            </w:tcMar>
            <w:vAlign w:val="center"/>
          </w:tcPr>
          <w:p w14:paraId="358D6273" w14:textId="77777777" w:rsidR="00711273" w:rsidRDefault="00A537C0">
            <w:pPr>
              <w:spacing w:before="20" w:after="20"/>
            </w:pPr>
            <w:r>
              <w:rPr>
                <w:sz w:val="19"/>
                <w:szCs w:val="19"/>
              </w:rPr>
              <w:t>Close QM enablement loop (All, P1)</w:t>
            </w:r>
          </w:p>
        </w:tc>
        <w:tc>
          <w:tcPr>
            <w:tcW w:w="3136" w:type="dxa"/>
            <w:shd w:val="clear" w:color="auto" w:fill="F2F2F2"/>
            <w:tcMar>
              <w:top w:w="60" w:type="dxa"/>
              <w:left w:w="100" w:type="dxa"/>
              <w:bottom w:w="60" w:type="dxa"/>
              <w:right w:w="100" w:type="dxa"/>
            </w:tcMar>
            <w:vAlign w:val="center"/>
          </w:tcPr>
          <w:p w14:paraId="358D6274" w14:textId="77777777" w:rsidR="00711273" w:rsidRDefault="00A537C0">
            <w:pPr>
              <w:spacing w:before="20" w:after="20"/>
            </w:pPr>
            <w:r>
              <w:rPr>
                <w:sz w:val="19"/>
                <w:szCs w:val="19"/>
              </w:rPr>
              <w:t>QM deployed but unadopted; vendor awaiting direction.</w:t>
            </w:r>
          </w:p>
        </w:tc>
        <w:tc>
          <w:tcPr>
            <w:tcW w:w="3136" w:type="dxa"/>
            <w:shd w:val="clear" w:color="auto" w:fill="F2F2F2"/>
            <w:tcMar>
              <w:top w:w="60" w:type="dxa"/>
              <w:left w:w="100" w:type="dxa"/>
              <w:bottom w:w="60" w:type="dxa"/>
              <w:right w:w="100" w:type="dxa"/>
            </w:tcMar>
            <w:vAlign w:val="center"/>
          </w:tcPr>
          <w:p w14:paraId="358D6275" w14:textId="77777777" w:rsidR="00711273" w:rsidRDefault="00A537C0">
            <w:pPr>
              <w:spacing w:before="20" w:after="20"/>
            </w:pPr>
            <w:r>
              <w:rPr>
                <w:sz w:val="19"/>
                <w:szCs w:val="19"/>
              </w:rPr>
              <w:t>Collect trainee feedback, define team KPI dashboards, name champions + internal QM POC. Coordination-heavy quick win; was due for update 8/14.</w:t>
            </w:r>
          </w:p>
        </w:tc>
      </w:tr>
      <w:tr w:rsidR="00711273" w14:paraId="358D627B" w14:textId="77777777">
        <w:tc>
          <w:tcPr>
            <w:tcW w:w="842" w:type="dxa"/>
            <w:tcMar>
              <w:top w:w="60" w:type="dxa"/>
              <w:left w:w="100" w:type="dxa"/>
              <w:bottom w:w="60" w:type="dxa"/>
              <w:right w:w="100" w:type="dxa"/>
            </w:tcMar>
            <w:vAlign w:val="center"/>
          </w:tcPr>
          <w:p w14:paraId="358D6277" w14:textId="77777777" w:rsidR="00711273" w:rsidRDefault="00A537C0">
            <w:pPr>
              <w:spacing w:before="20" w:after="20"/>
            </w:pPr>
            <w:r>
              <w:rPr>
                <w:sz w:val="19"/>
                <w:szCs w:val="19"/>
              </w:rPr>
              <w:t>S11</w:t>
            </w:r>
          </w:p>
        </w:tc>
        <w:tc>
          <w:tcPr>
            <w:tcW w:w="2246" w:type="dxa"/>
            <w:tcMar>
              <w:top w:w="60" w:type="dxa"/>
              <w:left w:w="100" w:type="dxa"/>
              <w:bottom w:w="60" w:type="dxa"/>
              <w:right w:w="100" w:type="dxa"/>
            </w:tcMar>
            <w:vAlign w:val="center"/>
          </w:tcPr>
          <w:p w14:paraId="358D6278" w14:textId="77777777" w:rsidR="00711273" w:rsidRDefault="00A537C0">
            <w:pPr>
              <w:spacing w:before="20" w:after="20"/>
            </w:pPr>
            <w:r>
              <w:rPr>
                <w:sz w:val="19"/>
                <w:szCs w:val="19"/>
              </w:rPr>
              <w:t>PSA Rankings tracking (PSA, P0)</w:t>
            </w:r>
          </w:p>
        </w:tc>
        <w:tc>
          <w:tcPr>
            <w:tcW w:w="3136" w:type="dxa"/>
            <w:tcMar>
              <w:top w:w="60" w:type="dxa"/>
              <w:left w:w="100" w:type="dxa"/>
              <w:bottom w:w="60" w:type="dxa"/>
              <w:right w:w="100" w:type="dxa"/>
            </w:tcMar>
            <w:vAlign w:val="center"/>
          </w:tcPr>
          <w:p w14:paraId="358D6279" w14:textId="77777777" w:rsidR="00711273" w:rsidRDefault="00A537C0">
            <w:pPr>
              <w:spacing w:before="20" w:after="20"/>
            </w:pPr>
            <w:r>
              <w:rPr>
                <w:sz w:val="19"/>
                <w:szCs w:val="19"/>
              </w:rPr>
              <w:t>New ~10-page subdomain, September launch, leadership watching traffic numbers.</w:t>
            </w:r>
          </w:p>
        </w:tc>
        <w:tc>
          <w:tcPr>
            <w:tcW w:w="3136" w:type="dxa"/>
            <w:tcMar>
              <w:top w:w="60" w:type="dxa"/>
              <w:left w:w="100" w:type="dxa"/>
              <w:bottom w:w="60" w:type="dxa"/>
              <w:right w:w="100" w:type="dxa"/>
            </w:tcMar>
            <w:vAlign w:val="center"/>
          </w:tcPr>
          <w:p w14:paraId="358D627A" w14:textId="77777777" w:rsidR="00711273" w:rsidRDefault="00A537C0">
            <w:pPr>
              <w:spacing w:before="20" w:after="20"/>
            </w:pPr>
            <w:r>
              <w:rPr>
                <w:sz w:val="19"/>
                <w:szCs w:val="19"/>
              </w:rPr>
              <w:t>GA4 + QM measurement plan, tagging, QA in the week before launch. Small but zero tolerance for wrong launch-week numbers.</w:t>
            </w:r>
          </w:p>
        </w:tc>
      </w:tr>
      <w:tr w:rsidR="00711273" w14:paraId="358D6280" w14:textId="77777777">
        <w:tc>
          <w:tcPr>
            <w:tcW w:w="842" w:type="dxa"/>
            <w:shd w:val="clear" w:color="auto" w:fill="F2F2F2"/>
            <w:tcMar>
              <w:top w:w="60" w:type="dxa"/>
              <w:left w:w="100" w:type="dxa"/>
              <w:bottom w:w="60" w:type="dxa"/>
              <w:right w:w="100" w:type="dxa"/>
            </w:tcMar>
            <w:vAlign w:val="center"/>
          </w:tcPr>
          <w:p w14:paraId="358D627C" w14:textId="77777777" w:rsidR="00711273" w:rsidRDefault="00A537C0">
            <w:pPr>
              <w:spacing w:before="20" w:after="20"/>
            </w:pPr>
            <w:r>
              <w:rPr>
                <w:sz w:val="19"/>
                <w:szCs w:val="19"/>
              </w:rPr>
              <w:t>S12</w:t>
            </w:r>
          </w:p>
        </w:tc>
        <w:tc>
          <w:tcPr>
            <w:tcW w:w="2246" w:type="dxa"/>
            <w:shd w:val="clear" w:color="auto" w:fill="F2F2F2"/>
            <w:tcMar>
              <w:top w:w="60" w:type="dxa"/>
              <w:left w:w="100" w:type="dxa"/>
              <w:bottom w:w="60" w:type="dxa"/>
              <w:right w:w="100" w:type="dxa"/>
            </w:tcMar>
            <w:vAlign w:val="center"/>
          </w:tcPr>
          <w:p w14:paraId="358D627D" w14:textId="77777777" w:rsidR="00711273" w:rsidRDefault="00A537C0">
            <w:pPr>
              <w:spacing w:before="20" w:after="20"/>
            </w:pPr>
            <w:r>
              <w:rPr>
                <w:sz w:val="19"/>
                <w:szCs w:val="19"/>
              </w:rPr>
              <w:t xml:space="preserve">Germany </w:t>
            </w:r>
            <w:proofErr w:type="gramStart"/>
            <w:r>
              <w:rPr>
                <w:sz w:val="19"/>
                <w:szCs w:val="19"/>
              </w:rPr>
              <w:t>launch</w:t>
            </w:r>
            <w:proofErr w:type="gramEnd"/>
            <w:r>
              <w:rPr>
                <w:sz w:val="19"/>
                <w:szCs w:val="19"/>
              </w:rPr>
              <w:t xml:space="preserve"> data integrity (All, PSA first, P0)</w:t>
            </w:r>
          </w:p>
        </w:tc>
        <w:tc>
          <w:tcPr>
            <w:tcW w:w="3136" w:type="dxa"/>
            <w:shd w:val="clear" w:color="auto" w:fill="F2F2F2"/>
            <w:tcMar>
              <w:top w:w="60" w:type="dxa"/>
              <w:left w:w="100" w:type="dxa"/>
              <w:bottom w:w="60" w:type="dxa"/>
              <w:right w:w="100" w:type="dxa"/>
            </w:tcMar>
            <w:vAlign w:val="center"/>
          </w:tcPr>
          <w:p w14:paraId="358D627E" w14:textId="77777777" w:rsidR="00711273" w:rsidRDefault="00A537C0">
            <w:pPr>
              <w:spacing w:before="20" w:after="20"/>
            </w:pPr>
            <w:r>
              <w:rPr>
                <w:sz w:val="19"/>
                <w:szCs w:val="19"/>
              </w:rPr>
              <w:t xml:space="preserve">Compliance is handled (Legal + Osano). The EXL ask is </w:t>
            </w:r>
            <w:r>
              <w:rPr>
                <w:i/>
                <w:iCs/>
                <w:sz w:val="19"/>
                <w:szCs w:val="19"/>
              </w:rPr>
              <w:t>methodology</w:t>
            </w:r>
            <w:r>
              <w:rPr>
                <w:sz w:val="19"/>
                <w:szCs w:val="19"/>
              </w:rPr>
              <w:t>: stop skewed pulls (default filters, report annotations, with the Data Team) and propose modelling for low-consent datasets (EU, CA).</w:t>
            </w:r>
          </w:p>
        </w:tc>
        <w:tc>
          <w:tcPr>
            <w:tcW w:w="3136" w:type="dxa"/>
            <w:shd w:val="clear" w:color="auto" w:fill="F2F2F2"/>
            <w:tcMar>
              <w:top w:w="60" w:type="dxa"/>
              <w:left w:w="100" w:type="dxa"/>
              <w:bottom w:w="60" w:type="dxa"/>
              <w:right w:w="100" w:type="dxa"/>
            </w:tcMar>
            <w:vAlign w:val="center"/>
          </w:tcPr>
          <w:p w14:paraId="358D627F" w14:textId="77777777" w:rsidR="00711273" w:rsidRDefault="00A537C0">
            <w:pPr>
              <w:spacing w:before="20" w:after="20"/>
            </w:pPr>
            <w:r>
              <w:rPr>
                <w:sz w:val="19"/>
                <w:szCs w:val="19"/>
              </w:rPr>
              <w:t>Thought partnership, not implementation. Deliver a methodology note: how to flag/segment consent-limited data, when to model (e.g., consent-mode style up-weighting), what execs may see.</w:t>
            </w:r>
          </w:p>
        </w:tc>
      </w:tr>
      <w:tr w:rsidR="00711273" w14:paraId="358D6285" w14:textId="77777777">
        <w:tc>
          <w:tcPr>
            <w:tcW w:w="842" w:type="dxa"/>
            <w:tcMar>
              <w:top w:w="60" w:type="dxa"/>
              <w:left w:w="100" w:type="dxa"/>
              <w:bottom w:w="60" w:type="dxa"/>
              <w:right w:w="100" w:type="dxa"/>
            </w:tcMar>
            <w:vAlign w:val="center"/>
          </w:tcPr>
          <w:p w14:paraId="358D6281" w14:textId="77777777" w:rsidR="00711273" w:rsidRDefault="00A537C0">
            <w:pPr>
              <w:spacing w:before="20" w:after="20"/>
            </w:pPr>
            <w:r>
              <w:rPr>
                <w:sz w:val="19"/>
                <w:szCs w:val="19"/>
              </w:rPr>
              <w:lastRenderedPageBreak/>
              <w:t>S13</w:t>
            </w:r>
          </w:p>
        </w:tc>
        <w:tc>
          <w:tcPr>
            <w:tcW w:w="2246" w:type="dxa"/>
            <w:tcMar>
              <w:top w:w="60" w:type="dxa"/>
              <w:left w:w="100" w:type="dxa"/>
              <w:bottom w:w="60" w:type="dxa"/>
              <w:right w:w="100" w:type="dxa"/>
            </w:tcMar>
            <w:vAlign w:val="center"/>
          </w:tcPr>
          <w:p w14:paraId="358D6282" w14:textId="77777777" w:rsidR="00711273" w:rsidRDefault="00A537C0">
            <w:pPr>
              <w:spacing w:before="20" w:after="20"/>
            </w:pPr>
            <w:r>
              <w:rPr>
                <w:sz w:val="19"/>
                <w:szCs w:val="19"/>
              </w:rPr>
              <w:t>Marketplace reporting (Marketplace, P0)</w:t>
            </w:r>
          </w:p>
        </w:tc>
        <w:tc>
          <w:tcPr>
            <w:tcW w:w="3136" w:type="dxa"/>
            <w:tcMar>
              <w:top w:w="60" w:type="dxa"/>
              <w:left w:w="100" w:type="dxa"/>
              <w:bottom w:w="60" w:type="dxa"/>
              <w:right w:w="100" w:type="dxa"/>
            </w:tcMar>
            <w:vAlign w:val="center"/>
          </w:tcPr>
          <w:p w14:paraId="358D6283" w14:textId="77777777" w:rsidR="00711273" w:rsidRDefault="00A537C0">
            <w:pPr>
              <w:spacing w:before="20" w:after="20"/>
            </w:pPr>
            <w:r>
              <w:rPr>
                <w:sz w:val="19"/>
                <w:szCs w:val="19"/>
              </w:rPr>
              <w:t>DPE-4164 stalled at 80% since Q2.</w:t>
            </w:r>
          </w:p>
        </w:tc>
        <w:tc>
          <w:tcPr>
            <w:tcW w:w="3136" w:type="dxa"/>
            <w:tcMar>
              <w:top w:w="60" w:type="dxa"/>
              <w:left w:w="100" w:type="dxa"/>
              <w:bottom w:w="60" w:type="dxa"/>
              <w:right w:w="100" w:type="dxa"/>
            </w:tcMar>
            <w:vAlign w:val="center"/>
          </w:tcPr>
          <w:p w14:paraId="358D6284" w14:textId="77777777" w:rsidR="00711273" w:rsidRDefault="00A537C0">
            <w:pPr>
              <w:spacing w:before="20" w:after="20"/>
            </w:pPr>
            <w:r>
              <w:rPr>
                <w:sz w:val="19"/>
                <w:szCs w:val="19"/>
              </w:rPr>
              <w:t>EXL provides QA + refinement feedback to push it over the line. Clarify what "Marketplace" covers and where the report lives (logged question).</w:t>
            </w:r>
          </w:p>
        </w:tc>
      </w:tr>
      <w:tr w:rsidR="00711273" w14:paraId="358D628A" w14:textId="77777777">
        <w:tc>
          <w:tcPr>
            <w:tcW w:w="842" w:type="dxa"/>
            <w:shd w:val="clear" w:color="auto" w:fill="F2F2F2"/>
            <w:tcMar>
              <w:top w:w="60" w:type="dxa"/>
              <w:left w:w="100" w:type="dxa"/>
              <w:bottom w:w="60" w:type="dxa"/>
              <w:right w:w="100" w:type="dxa"/>
            </w:tcMar>
            <w:vAlign w:val="center"/>
          </w:tcPr>
          <w:p w14:paraId="358D6286" w14:textId="77777777" w:rsidR="00711273" w:rsidRDefault="00A537C0">
            <w:pPr>
              <w:spacing w:before="20" w:after="20"/>
            </w:pPr>
            <w:r>
              <w:rPr>
                <w:sz w:val="19"/>
                <w:szCs w:val="19"/>
              </w:rPr>
              <w:t>S14</w:t>
            </w:r>
          </w:p>
        </w:tc>
        <w:tc>
          <w:tcPr>
            <w:tcW w:w="2246" w:type="dxa"/>
            <w:shd w:val="clear" w:color="auto" w:fill="F2F2F2"/>
            <w:tcMar>
              <w:top w:w="60" w:type="dxa"/>
              <w:left w:w="100" w:type="dxa"/>
              <w:bottom w:w="60" w:type="dxa"/>
              <w:right w:w="100" w:type="dxa"/>
            </w:tcMar>
            <w:vAlign w:val="center"/>
          </w:tcPr>
          <w:p w14:paraId="358D6287" w14:textId="77777777" w:rsidR="00711273" w:rsidRDefault="00A537C0">
            <w:pPr>
              <w:spacing w:before="20" w:after="20"/>
            </w:pPr>
            <w:r>
              <w:rPr>
                <w:sz w:val="19"/>
                <w:szCs w:val="19"/>
              </w:rPr>
              <w:t xml:space="preserve">CRM </w:t>
            </w:r>
            <w:proofErr w:type="spellStart"/>
            <w:r>
              <w:rPr>
                <w:sz w:val="19"/>
                <w:szCs w:val="19"/>
              </w:rPr>
              <w:t>deeplink</w:t>
            </w:r>
            <w:proofErr w:type="spellEnd"/>
            <w:r>
              <w:rPr>
                <w:sz w:val="19"/>
                <w:szCs w:val="19"/>
              </w:rPr>
              <w:t xml:space="preserve"> enablement (All except PP, P0?)</w:t>
            </w:r>
          </w:p>
        </w:tc>
        <w:tc>
          <w:tcPr>
            <w:tcW w:w="3136" w:type="dxa"/>
            <w:shd w:val="clear" w:color="auto" w:fill="F2F2F2"/>
            <w:tcMar>
              <w:top w:w="60" w:type="dxa"/>
              <w:left w:w="100" w:type="dxa"/>
              <w:bottom w:w="60" w:type="dxa"/>
              <w:right w:w="100" w:type="dxa"/>
            </w:tcMar>
            <w:vAlign w:val="center"/>
          </w:tcPr>
          <w:p w14:paraId="358D6288" w14:textId="77777777" w:rsidR="00711273" w:rsidRDefault="00A537C0">
            <w:pPr>
              <w:spacing w:before="20" w:after="20"/>
            </w:pPr>
            <w:proofErr w:type="spellStart"/>
            <w:r>
              <w:rPr>
                <w:sz w:val="19"/>
                <w:szCs w:val="19"/>
              </w:rPr>
              <w:t>Deeplinks</w:t>
            </w:r>
            <w:proofErr w:type="spellEnd"/>
            <w:r>
              <w:rPr>
                <w:sz w:val="19"/>
                <w:szCs w:val="19"/>
              </w:rPr>
              <w:t xml:space="preserve"> from SFMC emails/push via Branch have been failing; work stalled (PGX-4936) because both SFMC and Branch might be replaced.</w:t>
            </w:r>
          </w:p>
        </w:tc>
        <w:tc>
          <w:tcPr>
            <w:tcW w:w="3136" w:type="dxa"/>
            <w:shd w:val="clear" w:color="auto" w:fill="F2F2F2"/>
            <w:tcMar>
              <w:top w:w="60" w:type="dxa"/>
              <w:left w:w="100" w:type="dxa"/>
              <w:bottom w:w="60" w:type="dxa"/>
              <w:right w:w="100" w:type="dxa"/>
            </w:tcMar>
            <w:vAlign w:val="center"/>
          </w:tcPr>
          <w:p w14:paraId="358D6289" w14:textId="77777777" w:rsidR="00711273" w:rsidRDefault="00A537C0">
            <w:pPr>
              <w:spacing w:before="20" w:after="20"/>
            </w:pPr>
            <w:r>
              <w:rPr>
                <w:sz w:val="19"/>
                <w:szCs w:val="19"/>
              </w:rPr>
              <w:t xml:space="preserve">Ensure </w:t>
            </w:r>
            <w:proofErr w:type="spellStart"/>
            <w:r>
              <w:rPr>
                <w:sz w:val="19"/>
                <w:szCs w:val="19"/>
              </w:rPr>
              <w:t>deeplink</w:t>
            </w:r>
            <w:proofErr w:type="spellEnd"/>
            <w:r>
              <w:rPr>
                <w:sz w:val="19"/>
                <w:szCs w:val="19"/>
              </w:rPr>
              <w:t xml:space="preserve"> requirements are written into the CRM RFP and the Branch-vs-AF evaluation criteria. Ask why PP is excluded (logged question).</w:t>
            </w:r>
          </w:p>
        </w:tc>
      </w:tr>
      <w:tr w:rsidR="00711273" w14:paraId="358D628F" w14:textId="77777777">
        <w:tc>
          <w:tcPr>
            <w:tcW w:w="842" w:type="dxa"/>
            <w:tcMar>
              <w:top w:w="60" w:type="dxa"/>
              <w:left w:w="100" w:type="dxa"/>
              <w:bottom w:w="60" w:type="dxa"/>
              <w:right w:w="100" w:type="dxa"/>
            </w:tcMar>
            <w:vAlign w:val="center"/>
          </w:tcPr>
          <w:p w14:paraId="358D628B" w14:textId="77777777" w:rsidR="00711273" w:rsidRDefault="00A537C0">
            <w:pPr>
              <w:spacing w:before="20" w:after="20"/>
            </w:pPr>
            <w:r>
              <w:rPr>
                <w:sz w:val="19"/>
                <w:szCs w:val="19"/>
              </w:rPr>
              <w:t>S15</w:t>
            </w:r>
          </w:p>
        </w:tc>
        <w:tc>
          <w:tcPr>
            <w:tcW w:w="2246" w:type="dxa"/>
            <w:tcMar>
              <w:top w:w="60" w:type="dxa"/>
              <w:left w:w="100" w:type="dxa"/>
              <w:bottom w:w="60" w:type="dxa"/>
              <w:right w:w="100" w:type="dxa"/>
            </w:tcMar>
            <w:vAlign w:val="center"/>
          </w:tcPr>
          <w:p w14:paraId="358D628C" w14:textId="77777777" w:rsidR="00711273" w:rsidRDefault="00A537C0">
            <w:pPr>
              <w:spacing w:before="20" w:after="20"/>
            </w:pPr>
            <w:r>
              <w:rPr>
                <w:sz w:val="19"/>
                <w:szCs w:val="19"/>
              </w:rPr>
              <w:t>Support new PP instances (PP, P0)</w:t>
            </w:r>
          </w:p>
        </w:tc>
        <w:tc>
          <w:tcPr>
            <w:tcW w:w="3136" w:type="dxa"/>
            <w:tcMar>
              <w:top w:w="60" w:type="dxa"/>
              <w:left w:w="100" w:type="dxa"/>
              <w:bottom w:w="60" w:type="dxa"/>
              <w:right w:w="100" w:type="dxa"/>
            </w:tcMar>
            <w:vAlign w:val="center"/>
          </w:tcPr>
          <w:p w14:paraId="358D628D" w14:textId="77777777" w:rsidR="00711273" w:rsidRDefault="00A537C0">
            <w:pPr>
              <w:spacing w:before="20" w:after="20"/>
            </w:pPr>
            <w:r>
              <w:rPr>
                <w:sz w:val="19"/>
                <w:szCs w:val="19"/>
              </w:rPr>
              <w:t>Multi-PP expansion possibly launching Q4; every team told to "scope implementation."</w:t>
            </w:r>
          </w:p>
        </w:tc>
        <w:tc>
          <w:tcPr>
            <w:tcW w:w="3136" w:type="dxa"/>
            <w:tcMar>
              <w:top w:w="60" w:type="dxa"/>
              <w:left w:w="100" w:type="dxa"/>
              <w:bottom w:w="60" w:type="dxa"/>
              <w:right w:w="100" w:type="dxa"/>
            </w:tcMar>
            <w:vAlign w:val="center"/>
          </w:tcPr>
          <w:p w14:paraId="358D628E" w14:textId="77777777" w:rsidR="00711273" w:rsidRDefault="00A537C0">
            <w:pPr>
              <w:spacing w:before="20" w:after="20"/>
            </w:pPr>
            <w:r>
              <w:rPr>
                <w:sz w:val="19"/>
                <w:szCs w:val="19"/>
              </w:rPr>
              <w:t>Co-scope tracking/attribution/reporting per new instance. First step is defining what an "instance" is (logged question: new verticals? geographies? partners?).</w:t>
            </w:r>
          </w:p>
        </w:tc>
      </w:tr>
      <w:tr w:rsidR="00711273" w14:paraId="358D6294" w14:textId="77777777">
        <w:tc>
          <w:tcPr>
            <w:tcW w:w="842" w:type="dxa"/>
            <w:shd w:val="clear" w:color="auto" w:fill="F2F2F2"/>
            <w:tcMar>
              <w:top w:w="60" w:type="dxa"/>
              <w:left w:w="100" w:type="dxa"/>
              <w:bottom w:w="60" w:type="dxa"/>
              <w:right w:w="100" w:type="dxa"/>
            </w:tcMar>
            <w:vAlign w:val="center"/>
          </w:tcPr>
          <w:p w14:paraId="358D6290" w14:textId="77777777" w:rsidR="00711273" w:rsidRDefault="00A537C0">
            <w:pPr>
              <w:spacing w:before="20" w:after="20"/>
            </w:pPr>
            <w:r>
              <w:rPr>
                <w:sz w:val="19"/>
                <w:szCs w:val="19"/>
              </w:rPr>
              <w:t>S16</w:t>
            </w:r>
          </w:p>
        </w:tc>
        <w:tc>
          <w:tcPr>
            <w:tcW w:w="2246" w:type="dxa"/>
            <w:shd w:val="clear" w:color="auto" w:fill="F2F2F2"/>
            <w:tcMar>
              <w:top w:w="60" w:type="dxa"/>
              <w:left w:w="100" w:type="dxa"/>
              <w:bottom w:w="60" w:type="dxa"/>
              <w:right w:w="100" w:type="dxa"/>
            </w:tcMar>
            <w:vAlign w:val="center"/>
          </w:tcPr>
          <w:p w14:paraId="358D6291" w14:textId="77777777" w:rsidR="00711273" w:rsidRDefault="00A537C0">
            <w:pPr>
              <w:spacing w:before="20" w:after="20"/>
            </w:pPr>
            <w:r>
              <w:rPr>
                <w:sz w:val="19"/>
                <w:szCs w:val="19"/>
              </w:rPr>
              <w:t>PP reporting — Q4 data model (PP, P0)</w:t>
            </w:r>
          </w:p>
        </w:tc>
        <w:tc>
          <w:tcPr>
            <w:tcW w:w="3136" w:type="dxa"/>
            <w:shd w:val="clear" w:color="auto" w:fill="F2F2F2"/>
            <w:tcMar>
              <w:top w:w="60" w:type="dxa"/>
              <w:left w:w="100" w:type="dxa"/>
              <w:bottom w:w="60" w:type="dxa"/>
              <w:right w:w="100" w:type="dxa"/>
            </w:tcMar>
            <w:vAlign w:val="center"/>
          </w:tcPr>
          <w:p w14:paraId="358D6292" w14:textId="77777777" w:rsidR="00711273" w:rsidRDefault="00A537C0">
            <w:pPr>
              <w:spacing w:before="20" w:after="20"/>
            </w:pPr>
            <w:r>
              <w:rPr>
                <w:sz w:val="19"/>
                <w:szCs w:val="19"/>
              </w:rPr>
              <w:t>After the interim automation, build a proper data model for accuracy/maintainability.</w:t>
            </w:r>
          </w:p>
        </w:tc>
        <w:tc>
          <w:tcPr>
            <w:tcW w:w="3136" w:type="dxa"/>
            <w:shd w:val="clear" w:color="auto" w:fill="F2F2F2"/>
            <w:tcMar>
              <w:top w:w="60" w:type="dxa"/>
              <w:left w:w="100" w:type="dxa"/>
              <w:bottom w:w="60" w:type="dxa"/>
              <w:right w:w="100" w:type="dxa"/>
            </w:tcMar>
            <w:vAlign w:val="center"/>
          </w:tcPr>
          <w:p w14:paraId="358D6293" w14:textId="77777777" w:rsidR="00711273" w:rsidRDefault="00A537C0">
            <w:pPr>
              <w:spacing w:before="20" w:after="20"/>
            </w:pPr>
            <w:r>
              <w:rPr>
                <w:sz w:val="19"/>
                <w:szCs w:val="19"/>
              </w:rPr>
              <w:t>Requirements work with the Data Team; pace depends on perceived quality of the interim dashboard.</w:t>
            </w:r>
          </w:p>
        </w:tc>
      </w:tr>
      <w:tr w:rsidR="00711273" w14:paraId="358D6299" w14:textId="77777777">
        <w:tc>
          <w:tcPr>
            <w:tcW w:w="842" w:type="dxa"/>
            <w:tcMar>
              <w:top w:w="60" w:type="dxa"/>
              <w:left w:w="100" w:type="dxa"/>
              <w:bottom w:w="60" w:type="dxa"/>
              <w:right w:w="100" w:type="dxa"/>
            </w:tcMar>
            <w:vAlign w:val="center"/>
          </w:tcPr>
          <w:p w14:paraId="358D6295" w14:textId="77777777" w:rsidR="00711273" w:rsidRDefault="00A537C0">
            <w:pPr>
              <w:spacing w:before="20" w:after="20"/>
            </w:pPr>
            <w:r>
              <w:rPr>
                <w:sz w:val="19"/>
                <w:szCs w:val="19"/>
              </w:rPr>
              <w:t>S17</w:t>
            </w:r>
          </w:p>
        </w:tc>
        <w:tc>
          <w:tcPr>
            <w:tcW w:w="2246" w:type="dxa"/>
            <w:tcMar>
              <w:top w:w="60" w:type="dxa"/>
              <w:left w:w="100" w:type="dxa"/>
              <w:bottom w:w="60" w:type="dxa"/>
              <w:right w:w="100" w:type="dxa"/>
            </w:tcMar>
            <w:vAlign w:val="center"/>
          </w:tcPr>
          <w:p w14:paraId="358D6296" w14:textId="77777777" w:rsidR="00711273" w:rsidRDefault="00A537C0">
            <w:pPr>
              <w:spacing w:before="20" w:after="20"/>
            </w:pPr>
            <w:r>
              <w:rPr>
                <w:sz w:val="19"/>
                <w:szCs w:val="19"/>
              </w:rPr>
              <w:t xml:space="preserve">Signup source for PSA Go + </w:t>
            </w:r>
            <w:proofErr w:type="spellStart"/>
            <w:r>
              <w:rPr>
                <w:sz w:val="19"/>
                <w:szCs w:val="19"/>
              </w:rPr>
              <w:t>VaaS</w:t>
            </w:r>
            <w:proofErr w:type="spellEnd"/>
            <w:r>
              <w:rPr>
                <w:sz w:val="19"/>
                <w:szCs w:val="19"/>
              </w:rPr>
              <w:t xml:space="preserve"> (PSA, P0)</w:t>
            </w:r>
          </w:p>
        </w:tc>
        <w:tc>
          <w:tcPr>
            <w:tcW w:w="3136" w:type="dxa"/>
            <w:tcMar>
              <w:top w:w="60" w:type="dxa"/>
              <w:left w:w="100" w:type="dxa"/>
              <w:bottom w:w="60" w:type="dxa"/>
              <w:right w:w="100" w:type="dxa"/>
            </w:tcMar>
            <w:vAlign w:val="center"/>
          </w:tcPr>
          <w:p w14:paraId="358D6297" w14:textId="77777777" w:rsidR="00711273" w:rsidRDefault="00A537C0">
            <w:pPr>
              <w:spacing w:before="20" w:after="20"/>
            </w:pPr>
            <w:r>
              <w:rPr>
                <w:sz w:val="19"/>
                <w:szCs w:val="19"/>
              </w:rPr>
              <w:t xml:space="preserve">Neither product can attribute registrations to marketing channels; DPE-5087 stalled; </w:t>
            </w:r>
            <w:proofErr w:type="spellStart"/>
            <w:r>
              <w:rPr>
                <w:sz w:val="19"/>
                <w:szCs w:val="19"/>
              </w:rPr>
              <w:t>VaaS</w:t>
            </w:r>
            <w:proofErr w:type="spellEnd"/>
            <w:r>
              <w:rPr>
                <w:sz w:val="19"/>
                <w:szCs w:val="19"/>
              </w:rPr>
              <w:t xml:space="preserve"> </w:t>
            </w:r>
            <w:proofErr w:type="spellStart"/>
            <w:r>
              <w:rPr>
                <w:sz w:val="19"/>
                <w:szCs w:val="19"/>
              </w:rPr>
              <w:t>unscoped</w:t>
            </w:r>
            <w:proofErr w:type="spellEnd"/>
            <w:r>
              <w:rPr>
                <w:sz w:val="19"/>
                <w:szCs w:val="19"/>
              </w:rPr>
              <w:t xml:space="preserve"> (Paul involved).</w:t>
            </w:r>
          </w:p>
        </w:tc>
        <w:tc>
          <w:tcPr>
            <w:tcW w:w="3136" w:type="dxa"/>
            <w:tcMar>
              <w:top w:w="60" w:type="dxa"/>
              <w:left w:w="100" w:type="dxa"/>
              <w:bottom w:w="60" w:type="dxa"/>
              <w:right w:w="100" w:type="dxa"/>
            </w:tcMar>
            <w:vAlign w:val="center"/>
          </w:tcPr>
          <w:p w14:paraId="358D6298" w14:textId="77777777" w:rsidR="00711273" w:rsidRDefault="00A537C0">
            <w:pPr>
              <w:spacing w:before="20" w:after="20"/>
            </w:pPr>
            <w:r>
              <w:rPr>
                <w:sz w:val="19"/>
                <w:szCs w:val="19"/>
              </w:rPr>
              <w:t>Options assessment for a unified signup-source solution across both.</w:t>
            </w:r>
          </w:p>
        </w:tc>
      </w:tr>
      <w:tr w:rsidR="00711273" w14:paraId="358D629E" w14:textId="77777777">
        <w:tc>
          <w:tcPr>
            <w:tcW w:w="842" w:type="dxa"/>
            <w:shd w:val="clear" w:color="auto" w:fill="F2F2F2"/>
            <w:tcMar>
              <w:top w:w="60" w:type="dxa"/>
              <w:left w:w="100" w:type="dxa"/>
              <w:bottom w:w="60" w:type="dxa"/>
              <w:right w:w="100" w:type="dxa"/>
            </w:tcMar>
            <w:vAlign w:val="center"/>
          </w:tcPr>
          <w:p w14:paraId="358D629A" w14:textId="77777777" w:rsidR="00711273" w:rsidRDefault="00A537C0">
            <w:pPr>
              <w:spacing w:before="20" w:after="20"/>
            </w:pPr>
            <w:r>
              <w:rPr>
                <w:sz w:val="19"/>
                <w:szCs w:val="19"/>
              </w:rPr>
              <w:t>S18</w:t>
            </w:r>
          </w:p>
        </w:tc>
        <w:tc>
          <w:tcPr>
            <w:tcW w:w="2246" w:type="dxa"/>
            <w:shd w:val="clear" w:color="auto" w:fill="F2F2F2"/>
            <w:tcMar>
              <w:top w:w="60" w:type="dxa"/>
              <w:left w:w="100" w:type="dxa"/>
              <w:bottom w:w="60" w:type="dxa"/>
              <w:right w:w="100" w:type="dxa"/>
            </w:tcMar>
            <w:vAlign w:val="center"/>
          </w:tcPr>
          <w:p w14:paraId="358D629B" w14:textId="77777777" w:rsidR="00711273" w:rsidRDefault="00A537C0">
            <w:pPr>
              <w:spacing w:before="20" w:after="20"/>
            </w:pPr>
            <w:proofErr w:type="spellStart"/>
            <w:r>
              <w:rPr>
                <w:sz w:val="19"/>
                <w:szCs w:val="19"/>
              </w:rPr>
              <w:t>OneTrust</w:t>
            </w:r>
            <w:proofErr w:type="spellEnd"/>
            <w:r>
              <w:rPr>
                <w:sz w:val="19"/>
                <w:szCs w:val="19"/>
              </w:rPr>
              <w:t xml:space="preserve"> audit + Osano migration (BGS, P0)</w:t>
            </w:r>
          </w:p>
        </w:tc>
        <w:tc>
          <w:tcPr>
            <w:tcW w:w="3136" w:type="dxa"/>
            <w:shd w:val="clear" w:color="auto" w:fill="F2F2F2"/>
            <w:tcMar>
              <w:top w:w="60" w:type="dxa"/>
              <w:left w:w="100" w:type="dxa"/>
              <w:bottom w:w="60" w:type="dxa"/>
              <w:right w:w="100" w:type="dxa"/>
            </w:tcMar>
            <w:vAlign w:val="center"/>
          </w:tcPr>
          <w:p w14:paraId="358D629C" w14:textId="77777777" w:rsidR="00711273" w:rsidRDefault="00A537C0">
            <w:pPr>
              <w:spacing w:before="20" w:after="20"/>
            </w:pPr>
            <w:r>
              <w:rPr>
                <w:sz w:val="19"/>
                <w:szCs w:val="19"/>
              </w:rPr>
              <w:t xml:space="preserve">BGS is on </w:t>
            </w:r>
            <w:proofErr w:type="spellStart"/>
            <w:r>
              <w:rPr>
                <w:sz w:val="19"/>
                <w:szCs w:val="19"/>
              </w:rPr>
              <w:t>OneTrust</w:t>
            </w:r>
            <w:proofErr w:type="spellEnd"/>
            <w:r>
              <w:rPr>
                <w:sz w:val="19"/>
                <w:szCs w:val="19"/>
              </w:rPr>
              <w:t>; rest of estate on Osano; Legal must give a timeline before anything moves.</w:t>
            </w:r>
          </w:p>
        </w:tc>
        <w:tc>
          <w:tcPr>
            <w:tcW w:w="3136" w:type="dxa"/>
            <w:shd w:val="clear" w:color="auto" w:fill="F2F2F2"/>
            <w:tcMar>
              <w:top w:w="60" w:type="dxa"/>
              <w:left w:w="100" w:type="dxa"/>
              <w:bottom w:w="60" w:type="dxa"/>
              <w:right w:w="100" w:type="dxa"/>
            </w:tcMar>
            <w:vAlign w:val="center"/>
          </w:tcPr>
          <w:p w14:paraId="358D629D" w14:textId="77777777" w:rsidR="00711273" w:rsidRDefault="00A537C0">
            <w:pPr>
              <w:spacing w:before="20" w:after="20"/>
            </w:pPr>
            <w:r>
              <w:rPr>
                <w:sz w:val="19"/>
                <w:szCs w:val="19"/>
              </w:rPr>
              <w:t>Just get the timeline from Legal, then plan. Don't spend cycles here yet.</w:t>
            </w:r>
          </w:p>
        </w:tc>
      </w:tr>
    </w:tbl>
    <w:p w14:paraId="358D629F" w14:textId="77777777" w:rsidR="00711273" w:rsidRDefault="00711273">
      <w:pPr>
        <w:spacing w:after="120"/>
      </w:pPr>
    </w:p>
    <w:p w14:paraId="358D62A0" w14:textId="77777777" w:rsidR="00711273" w:rsidRDefault="00A537C0">
      <w:pPr>
        <w:pStyle w:val="Heading2"/>
        <w:pBdr>
          <w:bottom w:val="single" w:sz="6" w:space="2" w:color="F37021"/>
        </w:pBdr>
        <w:spacing w:before="240" w:after="120"/>
      </w:pPr>
      <w:bookmarkStart w:id="25" w:name="_Toc237967365"/>
      <w:r>
        <w:rPr>
          <w:b/>
          <w:bCs/>
          <w:color w:val="1F3557"/>
        </w:rPr>
        <w:t>6.1 The PoC phase plan (from the planning workbook)</w:t>
      </w:r>
      <w:bookmarkEnd w:id="25"/>
    </w:p>
    <w:p w14:paraId="358D62A1" w14:textId="77777777" w:rsidR="00711273" w:rsidRDefault="00A537C0">
      <w:pPr>
        <w:pStyle w:val="ListParagraph"/>
        <w:numPr>
          <w:ilvl w:val="0"/>
          <w:numId w:val="2"/>
        </w:numPr>
        <w:spacing w:after="60"/>
      </w:pPr>
      <w:r>
        <w:rPr>
          <w:b/>
          <w:bCs/>
        </w:rPr>
        <w:t>Phase 0 — Mobilisation:</w:t>
      </w:r>
      <w:r>
        <w:t xml:space="preserve"> kick-off, audit scope agreed, Tier-1 access provisioned, QM loop closed (S01, S10).</w:t>
      </w:r>
    </w:p>
    <w:p w14:paraId="358D62A2" w14:textId="77777777" w:rsidR="00711273" w:rsidRDefault="00A537C0">
      <w:pPr>
        <w:pStyle w:val="ListParagraph"/>
        <w:numPr>
          <w:ilvl w:val="0"/>
          <w:numId w:val="2"/>
        </w:numPr>
        <w:spacing w:after="60"/>
      </w:pPr>
      <w:r>
        <w:rPr>
          <w:b/>
          <w:bCs/>
        </w:rPr>
        <w:t>Phase 1 — Early wins:</w:t>
      </w:r>
      <w:r>
        <w:t xml:space="preserve"> PGX QA + specs (S08), AF feature validation (S03), UTM stuffing standard + Link Inventories (S06), Germany methodology alignment (S12).</w:t>
      </w:r>
    </w:p>
    <w:p w14:paraId="358D62A3" w14:textId="77777777" w:rsidR="00711273" w:rsidRDefault="00A537C0">
      <w:pPr>
        <w:pStyle w:val="ListParagraph"/>
        <w:numPr>
          <w:ilvl w:val="0"/>
          <w:numId w:val="2"/>
        </w:numPr>
        <w:spacing w:after="60"/>
      </w:pPr>
      <w:r>
        <w:rPr>
          <w:b/>
          <w:bCs/>
        </w:rPr>
        <w:t>Phase 2 — Foundation:</w:t>
      </w:r>
      <w:r>
        <w:t xml:space="preserve"> audit fieldwork → scored gap register → ticket-ready backlog; documentation to 70%; change-management process live (S01, S02).</w:t>
      </w:r>
    </w:p>
    <w:p w14:paraId="358D62A4" w14:textId="77777777" w:rsidR="00711273" w:rsidRDefault="00A537C0">
      <w:pPr>
        <w:pStyle w:val="ListParagraph"/>
        <w:numPr>
          <w:ilvl w:val="0"/>
          <w:numId w:val="2"/>
        </w:numPr>
        <w:spacing w:after="60"/>
      </w:pPr>
      <w:r>
        <w:rPr>
          <w:b/>
          <w:bCs/>
        </w:rPr>
        <w:t>Phase 3 — Paid build:</w:t>
      </w:r>
      <w:r>
        <w:t xml:space="preserve"> </w:t>
      </w:r>
      <w:proofErr w:type="spellStart"/>
      <w:r>
        <w:t>sGTM</w:t>
      </w:r>
      <w:proofErr w:type="spellEnd"/>
      <w:r>
        <w:t xml:space="preserve"> architecture + tickets; Meta CAPI </w:t>
      </w:r>
      <w:proofErr w:type="gramStart"/>
      <w:r>
        <w:t>live</w:t>
      </w:r>
      <w:proofErr w:type="gramEnd"/>
      <w:r>
        <w:t>; Google Ads server-side live; Marketplace reporting unstuck (S05, S13).</w:t>
      </w:r>
    </w:p>
    <w:p w14:paraId="358D62A5" w14:textId="77777777" w:rsidR="00711273" w:rsidRDefault="00A537C0">
      <w:pPr>
        <w:pStyle w:val="ListParagraph"/>
        <w:numPr>
          <w:ilvl w:val="0"/>
          <w:numId w:val="2"/>
        </w:numPr>
        <w:spacing w:after="60"/>
      </w:pPr>
      <w:r>
        <w:rPr>
          <w:b/>
          <w:bCs/>
        </w:rPr>
        <w:t>Phase 4 — Launch support:</w:t>
      </w:r>
      <w:r>
        <w:t xml:space="preserve"> Redline continuity QA; Rankings tracking live; multi-PP scoped (S09, S11, S15).</w:t>
      </w:r>
    </w:p>
    <w:p w14:paraId="358D62A6" w14:textId="77777777" w:rsidR="00711273" w:rsidRDefault="00A537C0">
      <w:pPr>
        <w:pStyle w:val="ListParagraph"/>
        <w:numPr>
          <w:ilvl w:val="0"/>
          <w:numId w:val="2"/>
        </w:numPr>
        <w:spacing w:after="60"/>
      </w:pPr>
      <w:r>
        <w:rPr>
          <w:b/>
          <w:bCs/>
        </w:rPr>
        <w:t>Phase 5 — Decision support:</w:t>
      </w:r>
      <w:r>
        <w:t xml:space="preserve"> AF trial findings consolidated ahead of 9/29; migration planning/execution if approved (S04).</w:t>
      </w:r>
    </w:p>
    <w:p w14:paraId="358D62A7" w14:textId="77777777" w:rsidR="00711273" w:rsidRDefault="00A537C0">
      <w:pPr>
        <w:pStyle w:val="ListParagraph"/>
        <w:numPr>
          <w:ilvl w:val="0"/>
          <w:numId w:val="2"/>
        </w:numPr>
        <w:spacing w:after="60"/>
      </w:pPr>
      <w:r>
        <w:rPr>
          <w:b/>
          <w:bCs/>
        </w:rPr>
        <w:t>Phase 6 — Second wave:</w:t>
      </w:r>
      <w:r>
        <w:t xml:space="preserve"> TikTok/</w:t>
      </w:r>
      <w:proofErr w:type="spellStart"/>
      <w:r>
        <w:t>StackAdapt</w:t>
      </w:r>
      <w:proofErr w:type="spellEnd"/>
      <w:r>
        <w:t xml:space="preserve"> reporting; Q4 model requirements; PSA Go/</w:t>
      </w:r>
      <w:proofErr w:type="spellStart"/>
      <w:r>
        <w:t>VaaS</w:t>
      </w:r>
      <w:proofErr w:type="spellEnd"/>
      <w:r>
        <w:t xml:space="preserve"> options paper; CRM </w:t>
      </w:r>
      <w:proofErr w:type="spellStart"/>
      <w:r>
        <w:t>deeplink</w:t>
      </w:r>
      <w:proofErr w:type="spellEnd"/>
      <w:r>
        <w:t xml:space="preserve"> requirements; </w:t>
      </w:r>
      <w:proofErr w:type="spellStart"/>
      <w:r>
        <w:t>OneTrust</w:t>
      </w:r>
      <w:proofErr w:type="spellEnd"/>
      <w:r>
        <w:t xml:space="preserve"> timeline (S07, S14, S16, S17, S18).</w:t>
      </w:r>
    </w:p>
    <w:p w14:paraId="358D62A8" w14:textId="77777777" w:rsidR="00711273" w:rsidRDefault="00A537C0">
      <w:pPr>
        <w:pStyle w:val="Heading2"/>
        <w:pBdr>
          <w:bottom w:val="single" w:sz="6" w:space="2" w:color="F37021"/>
        </w:pBdr>
        <w:spacing w:before="240" w:after="120"/>
      </w:pPr>
      <w:bookmarkStart w:id="26" w:name="_Toc237967366"/>
      <w:r>
        <w:rPr>
          <w:b/>
          <w:bCs/>
          <w:color w:val="1F3557"/>
        </w:rPr>
        <w:t>6.2 The critical calendar</w:t>
      </w:r>
      <w:bookmarkEnd w:id="2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21"/>
        <w:gridCol w:w="6739"/>
      </w:tblGrid>
      <w:tr w:rsidR="00711273" w14:paraId="358D62AB" w14:textId="77777777">
        <w:trPr>
          <w:tblHeader/>
        </w:trPr>
        <w:tc>
          <w:tcPr>
            <w:tcW w:w="2621" w:type="dxa"/>
            <w:shd w:val="clear" w:color="auto" w:fill="1F3557"/>
            <w:tcMar>
              <w:top w:w="60" w:type="dxa"/>
              <w:left w:w="100" w:type="dxa"/>
              <w:bottom w:w="60" w:type="dxa"/>
              <w:right w:w="100" w:type="dxa"/>
            </w:tcMar>
            <w:vAlign w:val="center"/>
          </w:tcPr>
          <w:p w14:paraId="358D62A9" w14:textId="77777777" w:rsidR="00711273" w:rsidRDefault="00A537C0">
            <w:pPr>
              <w:spacing w:before="20" w:after="20"/>
            </w:pPr>
            <w:r>
              <w:rPr>
                <w:b/>
                <w:bCs/>
                <w:color w:val="FFFFFF"/>
                <w:sz w:val="19"/>
                <w:szCs w:val="19"/>
              </w:rPr>
              <w:lastRenderedPageBreak/>
              <w:t>Date</w:t>
            </w:r>
          </w:p>
        </w:tc>
        <w:tc>
          <w:tcPr>
            <w:tcW w:w="6739" w:type="dxa"/>
            <w:shd w:val="clear" w:color="auto" w:fill="1F3557"/>
            <w:tcMar>
              <w:top w:w="60" w:type="dxa"/>
              <w:left w:w="100" w:type="dxa"/>
              <w:bottom w:w="60" w:type="dxa"/>
              <w:right w:w="100" w:type="dxa"/>
            </w:tcMar>
            <w:vAlign w:val="center"/>
          </w:tcPr>
          <w:p w14:paraId="358D62AA" w14:textId="77777777" w:rsidR="00711273" w:rsidRDefault="00A537C0">
            <w:pPr>
              <w:spacing w:before="20" w:after="20"/>
            </w:pPr>
            <w:r>
              <w:rPr>
                <w:b/>
                <w:bCs/>
                <w:color w:val="FFFFFF"/>
                <w:sz w:val="19"/>
                <w:szCs w:val="19"/>
              </w:rPr>
              <w:t>What lands</w:t>
            </w:r>
          </w:p>
        </w:tc>
      </w:tr>
      <w:tr w:rsidR="00711273" w14:paraId="358D62AE" w14:textId="77777777">
        <w:tc>
          <w:tcPr>
            <w:tcW w:w="2621" w:type="dxa"/>
            <w:tcMar>
              <w:top w:w="60" w:type="dxa"/>
              <w:left w:w="100" w:type="dxa"/>
              <w:bottom w:w="60" w:type="dxa"/>
              <w:right w:w="100" w:type="dxa"/>
            </w:tcMar>
            <w:vAlign w:val="center"/>
          </w:tcPr>
          <w:p w14:paraId="358D62AC" w14:textId="77777777" w:rsidR="00711273" w:rsidRDefault="00A537C0">
            <w:pPr>
              <w:spacing w:before="20" w:after="20"/>
            </w:pPr>
            <w:r>
              <w:rPr>
                <w:sz w:val="19"/>
                <w:szCs w:val="19"/>
              </w:rPr>
              <w:t>8/17</w:t>
            </w:r>
          </w:p>
        </w:tc>
        <w:tc>
          <w:tcPr>
            <w:tcW w:w="6739" w:type="dxa"/>
            <w:tcMar>
              <w:top w:w="60" w:type="dxa"/>
              <w:left w:w="100" w:type="dxa"/>
              <w:bottom w:w="60" w:type="dxa"/>
              <w:right w:w="100" w:type="dxa"/>
            </w:tcMar>
            <w:vAlign w:val="center"/>
          </w:tcPr>
          <w:p w14:paraId="358D62AD" w14:textId="77777777" w:rsidR="00711273" w:rsidRDefault="00A537C0">
            <w:pPr>
              <w:spacing w:before="20" w:after="20"/>
            </w:pPr>
            <w:r>
              <w:rPr>
                <w:sz w:val="19"/>
                <w:szCs w:val="19"/>
              </w:rPr>
              <w:t xml:space="preserve">PSA </w:t>
            </w:r>
            <w:proofErr w:type="spellStart"/>
            <w:r>
              <w:rPr>
                <w:sz w:val="19"/>
                <w:szCs w:val="19"/>
              </w:rPr>
              <w:t>AppsFlyer</w:t>
            </w:r>
            <w:proofErr w:type="spellEnd"/>
            <w:r>
              <w:rPr>
                <w:sz w:val="19"/>
                <w:szCs w:val="19"/>
              </w:rPr>
              <w:t xml:space="preserve"> 30-day trial starts</w:t>
            </w:r>
          </w:p>
        </w:tc>
      </w:tr>
      <w:tr w:rsidR="00711273" w14:paraId="358D62B1" w14:textId="77777777">
        <w:tc>
          <w:tcPr>
            <w:tcW w:w="2621" w:type="dxa"/>
            <w:shd w:val="clear" w:color="auto" w:fill="F2F2F2"/>
            <w:tcMar>
              <w:top w:w="60" w:type="dxa"/>
              <w:left w:w="100" w:type="dxa"/>
              <w:bottom w:w="60" w:type="dxa"/>
              <w:right w:w="100" w:type="dxa"/>
            </w:tcMar>
            <w:vAlign w:val="center"/>
          </w:tcPr>
          <w:p w14:paraId="358D62AF" w14:textId="77777777" w:rsidR="00711273" w:rsidRDefault="00A537C0">
            <w:pPr>
              <w:spacing w:before="20" w:after="20"/>
            </w:pPr>
            <w:r>
              <w:rPr>
                <w:sz w:val="19"/>
                <w:szCs w:val="19"/>
              </w:rPr>
              <w:t>8/19</w:t>
            </w:r>
          </w:p>
        </w:tc>
        <w:tc>
          <w:tcPr>
            <w:tcW w:w="6739" w:type="dxa"/>
            <w:shd w:val="clear" w:color="auto" w:fill="F2F2F2"/>
            <w:tcMar>
              <w:top w:w="60" w:type="dxa"/>
              <w:left w:w="100" w:type="dxa"/>
              <w:bottom w:w="60" w:type="dxa"/>
              <w:right w:w="100" w:type="dxa"/>
            </w:tcMar>
            <w:vAlign w:val="center"/>
          </w:tcPr>
          <w:p w14:paraId="358D62B0" w14:textId="77777777" w:rsidR="00711273" w:rsidRDefault="00A537C0">
            <w:pPr>
              <w:spacing w:before="20" w:after="20"/>
            </w:pPr>
            <w:r>
              <w:rPr>
                <w:sz w:val="19"/>
                <w:szCs w:val="19"/>
              </w:rPr>
              <w:t>Update due: AF-in-PP validation (S03)</w:t>
            </w:r>
          </w:p>
        </w:tc>
      </w:tr>
      <w:tr w:rsidR="00711273" w14:paraId="358D62B4" w14:textId="77777777">
        <w:tc>
          <w:tcPr>
            <w:tcW w:w="2621" w:type="dxa"/>
            <w:tcMar>
              <w:top w:w="60" w:type="dxa"/>
              <w:left w:w="100" w:type="dxa"/>
              <w:bottom w:w="60" w:type="dxa"/>
              <w:right w:w="100" w:type="dxa"/>
            </w:tcMar>
            <w:vAlign w:val="center"/>
          </w:tcPr>
          <w:p w14:paraId="358D62B2" w14:textId="77777777" w:rsidR="00711273" w:rsidRDefault="00A537C0">
            <w:pPr>
              <w:spacing w:before="20" w:after="20"/>
            </w:pPr>
            <w:r>
              <w:rPr>
                <w:sz w:val="19"/>
                <w:szCs w:val="19"/>
              </w:rPr>
              <w:t>8/21</w:t>
            </w:r>
          </w:p>
        </w:tc>
        <w:tc>
          <w:tcPr>
            <w:tcW w:w="6739" w:type="dxa"/>
            <w:tcMar>
              <w:top w:w="60" w:type="dxa"/>
              <w:left w:w="100" w:type="dxa"/>
              <w:bottom w:w="60" w:type="dxa"/>
              <w:right w:w="100" w:type="dxa"/>
            </w:tcMar>
            <w:vAlign w:val="center"/>
          </w:tcPr>
          <w:p w14:paraId="358D62B3" w14:textId="77777777" w:rsidR="00711273" w:rsidRDefault="00A537C0">
            <w:pPr>
              <w:spacing w:before="20" w:after="20"/>
            </w:pPr>
            <w:r>
              <w:rPr>
                <w:sz w:val="19"/>
                <w:szCs w:val="19"/>
              </w:rPr>
              <w:t>Updates due: Germany methodology (S12), PP interim reporting (S06), PSA app QA/specs (S08)</w:t>
            </w:r>
          </w:p>
        </w:tc>
      </w:tr>
      <w:tr w:rsidR="00711273" w14:paraId="358D62B7" w14:textId="77777777">
        <w:tc>
          <w:tcPr>
            <w:tcW w:w="2621" w:type="dxa"/>
            <w:shd w:val="clear" w:color="auto" w:fill="F2F2F2"/>
            <w:tcMar>
              <w:top w:w="60" w:type="dxa"/>
              <w:left w:w="100" w:type="dxa"/>
              <w:bottom w:w="60" w:type="dxa"/>
              <w:right w:w="100" w:type="dxa"/>
            </w:tcMar>
            <w:vAlign w:val="center"/>
          </w:tcPr>
          <w:p w14:paraId="358D62B5" w14:textId="77777777" w:rsidR="00711273" w:rsidRDefault="00A537C0">
            <w:pPr>
              <w:spacing w:before="20" w:after="20"/>
            </w:pPr>
            <w:r>
              <w:rPr>
                <w:sz w:val="19"/>
                <w:szCs w:val="19"/>
              </w:rPr>
              <w:t>8/31</w:t>
            </w:r>
          </w:p>
        </w:tc>
        <w:tc>
          <w:tcPr>
            <w:tcW w:w="6739" w:type="dxa"/>
            <w:shd w:val="clear" w:color="auto" w:fill="F2F2F2"/>
            <w:tcMar>
              <w:top w:w="60" w:type="dxa"/>
              <w:left w:w="100" w:type="dxa"/>
              <w:bottom w:w="60" w:type="dxa"/>
              <w:right w:w="100" w:type="dxa"/>
            </w:tcMar>
            <w:vAlign w:val="center"/>
          </w:tcPr>
          <w:p w14:paraId="358D62B6" w14:textId="77777777" w:rsidR="00711273" w:rsidRDefault="00A537C0">
            <w:pPr>
              <w:spacing w:before="20" w:after="20"/>
            </w:pPr>
            <w:r>
              <w:rPr>
                <w:sz w:val="19"/>
                <w:szCs w:val="19"/>
              </w:rPr>
              <w:t>PP paid report 99% automated; Redline launch; audit/docs milestones due</w:t>
            </w:r>
          </w:p>
        </w:tc>
      </w:tr>
      <w:tr w:rsidR="00711273" w14:paraId="358D62BA" w14:textId="77777777">
        <w:tc>
          <w:tcPr>
            <w:tcW w:w="2621" w:type="dxa"/>
            <w:tcMar>
              <w:top w:w="60" w:type="dxa"/>
              <w:left w:w="100" w:type="dxa"/>
              <w:bottom w:w="60" w:type="dxa"/>
              <w:right w:w="100" w:type="dxa"/>
            </w:tcMar>
            <w:vAlign w:val="center"/>
          </w:tcPr>
          <w:p w14:paraId="358D62B8" w14:textId="77777777" w:rsidR="00711273" w:rsidRDefault="00A537C0">
            <w:pPr>
              <w:spacing w:before="20" w:after="20"/>
            </w:pPr>
            <w:r>
              <w:rPr>
                <w:sz w:val="19"/>
                <w:szCs w:val="19"/>
              </w:rPr>
              <w:t>Mid-Sep</w:t>
            </w:r>
          </w:p>
        </w:tc>
        <w:tc>
          <w:tcPr>
            <w:tcW w:w="6739" w:type="dxa"/>
            <w:tcMar>
              <w:top w:w="60" w:type="dxa"/>
              <w:left w:w="100" w:type="dxa"/>
              <w:bottom w:w="60" w:type="dxa"/>
              <w:right w:w="100" w:type="dxa"/>
            </w:tcMar>
            <w:vAlign w:val="center"/>
          </w:tcPr>
          <w:p w14:paraId="358D62B9" w14:textId="77777777" w:rsidR="00711273" w:rsidRDefault="00A537C0">
            <w:pPr>
              <w:spacing w:before="20" w:after="20"/>
            </w:pPr>
            <w:r>
              <w:rPr>
                <w:sz w:val="19"/>
                <w:szCs w:val="19"/>
              </w:rPr>
              <w:t xml:space="preserve">~end of AF 30-day trial → decision window; CRM </w:t>
            </w:r>
            <w:proofErr w:type="spellStart"/>
            <w:r>
              <w:rPr>
                <w:sz w:val="19"/>
                <w:szCs w:val="19"/>
              </w:rPr>
              <w:t>deeplink</w:t>
            </w:r>
            <w:proofErr w:type="spellEnd"/>
            <w:r>
              <w:rPr>
                <w:sz w:val="19"/>
                <w:szCs w:val="19"/>
              </w:rPr>
              <w:t xml:space="preserve"> update (9/15)</w:t>
            </w:r>
          </w:p>
        </w:tc>
      </w:tr>
      <w:tr w:rsidR="00711273" w14:paraId="358D62BD" w14:textId="77777777">
        <w:tc>
          <w:tcPr>
            <w:tcW w:w="2621" w:type="dxa"/>
            <w:shd w:val="clear" w:color="auto" w:fill="F2F2F2"/>
            <w:tcMar>
              <w:top w:w="60" w:type="dxa"/>
              <w:left w:w="100" w:type="dxa"/>
              <w:bottom w:w="60" w:type="dxa"/>
              <w:right w:w="100" w:type="dxa"/>
            </w:tcMar>
            <w:vAlign w:val="center"/>
          </w:tcPr>
          <w:p w14:paraId="358D62BB" w14:textId="77777777" w:rsidR="00711273" w:rsidRDefault="00A537C0">
            <w:pPr>
              <w:spacing w:before="20" w:after="20"/>
            </w:pPr>
            <w:r>
              <w:rPr>
                <w:sz w:val="19"/>
                <w:szCs w:val="19"/>
              </w:rPr>
              <w:t>Sept</w:t>
            </w:r>
          </w:p>
        </w:tc>
        <w:tc>
          <w:tcPr>
            <w:tcW w:w="6739" w:type="dxa"/>
            <w:shd w:val="clear" w:color="auto" w:fill="F2F2F2"/>
            <w:tcMar>
              <w:top w:w="60" w:type="dxa"/>
              <w:left w:w="100" w:type="dxa"/>
              <w:bottom w:w="60" w:type="dxa"/>
              <w:right w:w="100" w:type="dxa"/>
            </w:tcMar>
            <w:vAlign w:val="center"/>
          </w:tcPr>
          <w:p w14:paraId="358D62BC" w14:textId="77777777" w:rsidR="00711273" w:rsidRDefault="00A537C0">
            <w:pPr>
              <w:spacing w:before="20" w:after="20"/>
            </w:pPr>
            <w:r>
              <w:rPr>
                <w:sz w:val="19"/>
                <w:szCs w:val="19"/>
              </w:rPr>
              <w:t>PSA Rankings launch (tracking live at launch)</w:t>
            </w:r>
          </w:p>
        </w:tc>
      </w:tr>
      <w:tr w:rsidR="00711273" w14:paraId="358D62C0" w14:textId="77777777">
        <w:tc>
          <w:tcPr>
            <w:tcW w:w="2621" w:type="dxa"/>
            <w:tcMar>
              <w:top w:w="60" w:type="dxa"/>
              <w:left w:w="100" w:type="dxa"/>
              <w:bottom w:w="60" w:type="dxa"/>
              <w:right w:w="100" w:type="dxa"/>
            </w:tcMar>
            <w:vAlign w:val="center"/>
          </w:tcPr>
          <w:p w14:paraId="358D62BE" w14:textId="77777777" w:rsidR="00711273" w:rsidRDefault="00A537C0">
            <w:pPr>
              <w:spacing w:before="20" w:after="20"/>
            </w:pPr>
            <w:r>
              <w:rPr>
                <w:b/>
                <w:bCs/>
                <w:sz w:val="19"/>
                <w:szCs w:val="19"/>
              </w:rPr>
              <w:t>9/29</w:t>
            </w:r>
          </w:p>
        </w:tc>
        <w:tc>
          <w:tcPr>
            <w:tcW w:w="6739" w:type="dxa"/>
            <w:tcMar>
              <w:top w:w="60" w:type="dxa"/>
              <w:left w:w="100" w:type="dxa"/>
              <w:bottom w:w="60" w:type="dxa"/>
              <w:right w:w="100" w:type="dxa"/>
            </w:tcMar>
            <w:vAlign w:val="center"/>
          </w:tcPr>
          <w:p w14:paraId="358D62BF" w14:textId="77777777" w:rsidR="00711273" w:rsidRDefault="00A537C0">
            <w:pPr>
              <w:spacing w:before="20" w:after="20"/>
            </w:pPr>
            <w:r>
              <w:rPr>
                <w:b/>
                <w:bCs/>
                <w:sz w:val="19"/>
                <w:szCs w:val="19"/>
              </w:rPr>
              <w:t>Branch.io contract ends — AF decision must precede this</w:t>
            </w:r>
          </w:p>
        </w:tc>
      </w:tr>
      <w:tr w:rsidR="00711273" w14:paraId="358D62C3" w14:textId="77777777">
        <w:tc>
          <w:tcPr>
            <w:tcW w:w="2621" w:type="dxa"/>
            <w:shd w:val="clear" w:color="auto" w:fill="F2F2F2"/>
            <w:tcMar>
              <w:top w:w="60" w:type="dxa"/>
              <w:left w:w="100" w:type="dxa"/>
              <w:bottom w:w="60" w:type="dxa"/>
              <w:right w:w="100" w:type="dxa"/>
            </w:tcMar>
            <w:vAlign w:val="center"/>
          </w:tcPr>
          <w:p w14:paraId="358D62C1" w14:textId="77777777" w:rsidR="00711273" w:rsidRDefault="00A537C0">
            <w:pPr>
              <w:spacing w:before="20" w:after="20"/>
            </w:pPr>
            <w:r>
              <w:rPr>
                <w:sz w:val="19"/>
                <w:szCs w:val="19"/>
              </w:rPr>
              <w:t>9/30</w:t>
            </w:r>
          </w:p>
        </w:tc>
        <w:tc>
          <w:tcPr>
            <w:tcW w:w="6739" w:type="dxa"/>
            <w:shd w:val="clear" w:color="auto" w:fill="F2F2F2"/>
            <w:tcMar>
              <w:top w:w="60" w:type="dxa"/>
              <w:left w:w="100" w:type="dxa"/>
              <w:bottom w:w="60" w:type="dxa"/>
              <w:right w:w="100" w:type="dxa"/>
            </w:tcMar>
            <w:vAlign w:val="center"/>
          </w:tcPr>
          <w:p w14:paraId="358D62C2" w14:textId="77777777" w:rsidR="00711273" w:rsidRDefault="00A537C0">
            <w:pPr>
              <w:spacing w:before="20" w:after="20"/>
            </w:pPr>
            <w:r>
              <w:rPr>
                <w:sz w:val="19"/>
                <w:szCs w:val="19"/>
              </w:rPr>
              <w:t>TikTok/</w:t>
            </w:r>
            <w:proofErr w:type="spellStart"/>
            <w:r>
              <w:rPr>
                <w:sz w:val="19"/>
                <w:szCs w:val="19"/>
              </w:rPr>
              <w:t>StackAdapt</w:t>
            </w:r>
            <w:proofErr w:type="spellEnd"/>
            <w:r>
              <w:rPr>
                <w:sz w:val="19"/>
                <w:szCs w:val="19"/>
              </w:rPr>
              <w:t>, Q4 model planning, PSA Go/</w:t>
            </w:r>
            <w:proofErr w:type="spellStart"/>
            <w:r>
              <w:rPr>
                <w:sz w:val="19"/>
                <w:szCs w:val="19"/>
              </w:rPr>
              <w:t>VaaS</w:t>
            </w:r>
            <w:proofErr w:type="spellEnd"/>
            <w:r>
              <w:rPr>
                <w:sz w:val="19"/>
                <w:szCs w:val="19"/>
              </w:rPr>
              <w:t xml:space="preserve">, </w:t>
            </w:r>
            <w:proofErr w:type="spellStart"/>
            <w:r>
              <w:rPr>
                <w:sz w:val="19"/>
                <w:szCs w:val="19"/>
              </w:rPr>
              <w:t>OneTrust</w:t>
            </w:r>
            <w:proofErr w:type="spellEnd"/>
            <w:r>
              <w:rPr>
                <w:sz w:val="19"/>
                <w:szCs w:val="19"/>
              </w:rPr>
              <w:t xml:space="preserve"> updates due</w:t>
            </w:r>
          </w:p>
        </w:tc>
      </w:tr>
      <w:tr w:rsidR="00711273" w14:paraId="358D62C6" w14:textId="77777777">
        <w:tc>
          <w:tcPr>
            <w:tcW w:w="2621" w:type="dxa"/>
            <w:tcMar>
              <w:top w:w="60" w:type="dxa"/>
              <w:left w:w="100" w:type="dxa"/>
              <w:bottom w:w="60" w:type="dxa"/>
              <w:right w:w="100" w:type="dxa"/>
            </w:tcMar>
            <w:vAlign w:val="center"/>
          </w:tcPr>
          <w:p w14:paraId="358D62C4" w14:textId="77777777" w:rsidR="00711273" w:rsidRDefault="00A537C0">
            <w:pPr>
              <w:spacing w:before="20" w:after="20"/>
            </w:pPr>
            <w:r>
              <w:rPr>
                <w:sz w:val="19"/>
                <w:szCs w:val="19"/>
              </w:rPr>
              <w:t>Q4</w:t>
            </w:r>
          </w:p>
        </w:tc>
        <w:tc>
          <w:tcPr>
            <w:tcW w:w="6739" w:type="dxa"/>
            <w:tcMar>
              <w:top w:w="60" w:type="dxa"/>
              <w:left w:w="100" w:type="dxa"/>
              <w:bottom w:w="60" w:type="dxa"/>
              <w:right w:w="100" w:type="dxa"/>
            </w:tcMar>
            <w:vAlign w:val="center"/>
          </w:tcPr>
          <w:p w14:paraId="358D62C5" w14:textId="77777777" w:rsidR="00711273" w:rsidRDefault="00A537C0">
            <w:pPr>
              <w:spacing w:before="20" w:after="20"/>
            </w:pPr>
            <w:r>
              <w:rPr>
                <w:sz w:val="19"/>
                <w:szCs w:val="19"/>
              </w:rPr>
              <w:t>Possible multi-PP launch; up to two SDK swaps if AF approved; full PP data model</w:t>
            </w:r>
          </w:p>
        </w:tc>
      </w:tr>
    </w:tbl>
    <w:p w14:paraId="358D62C9" w14:textId="289184F1" w:rsidR="00711273" w:rsidRDefault="00A537C0">
      <w:pPr>
        <w:pStyle w:val="Heading1"/>
        <w:spacing w:before="200" w:after="160"/>
      </w:pPr>
      <w:bookmarkStart w:id="27" w:name="_Toc237967367"/>
      <w:r>
        <w:rPr>
          <w:b/>
          <w:bCs/>
          <w:color w:val="1F3557"/>
        </w:rPr>
        <w:t>7. Core Concepts</w:t>
      </w:r>
      <w:bookmarkEnd w:id="27"/>
    </w:p>
    <w:p w14:paraId="358D62CA" w14:textId="77777777" w:rsidR="00711273" w:rsidRDefault="00A537C0">
      <w:pPr>
        <w:spacing w:after="120" w:line="276" w:lineRule="auto"/>
      </w:pPr>
      <w:r>
        <w:t>These are the ideas that everything above rests on. If you can explain each of these in two sentences to a non-technical stakeholder, you can run this engagement.</w:t>
      </w:r>
    </w:p>
    <w:p w14:paraId="358D62CB" w14:textId="77777777" w:rsidR="00711273" w:rsidRDefault="00A537C0">
      <w:pPr>
        <w:spacing w:after="120" w:line="276" w:lineRule="auto"/>
      </w:pPr>
      <w:r>
        <w:rPr>
          <w:b/>
          <w:bCs/>
        </w:rPr>
        <w:t>Event-based tracking.</w:t>
      </w:r>
      <w:r>
        <w:t xml:space="preserve"> Every user action (</w:t>
      </w:r>
      <w:proofErr w:type="spellStart"/>
      <w:r>
        <w:t>page_view</w:t>
      </w:r>
      <w:proofErr w:type="spellEnd"/>
      <w:r>
        <w:t xml:space="preserve">, </w:t>
      </w:r>
      <w:proofErr w:type="spellStart"/>
      <w:r>
        <w:t>add_to_cart</w:t>
      </w:r>
      <w:proofErr w:type="spellEnd"/>
      <w:r>
        <w:t xml:space="preserve">, purchase, </w:t>
      </w:r>
      <w:proofErr w:type="spellStart"/>
      <w:r>
        <w:t>sign_up</w:t>
      </w:r>
      <w:proofErr w:type="spellEnd"/>
      <w:r>
        <w:t xml:space="preserve">, </w:t>
      </w:r>
      <w:proofErr w:type="spellStart"/>
      <w:r>
        <w:t>pack_opened</w:t>
      </w:r>
      <w:proofErr w:type="spellEnd"/>
      <w:r>
        <w:t xml:space="preserve">) is an event with parameters (value, currency, </w:t>
      </w:r>
      <w:proofErr w:type="spellStart"/>
      <w:r>
        <w:t>item_id</w:t>
      </w:r>
      <w:proofErr w:type="spellEnd"/>
      <w:r>
        <w:t xml:space="preserve">...). The </w:t>
      </w:r>
      <w:r>
        <w:rPr>
          <w:b/>
          <w:bCs/>
        </w:rPr>
        <w:t>tracking spec / measurement plan</w:t>
      </w:r>
      <w:r>
        <w:t xml:space="preserve"> is the contract listing every event, its parameters, and where it fires. The audit checks reality against the spec; the documentation </w:t>
      </w:r>
      <w:r>
        <w:rPr>
          <w:i/>
          <w:iCs/>
        </w:rPr>
        <w:t>is</w:t>
      </w:r>
      <w:r>
        <w:t xml:space="preserve"> the spec, maintained.</w:t>
      </w:r>
    </w:p>
    <w:p w14:paraId="358D62CC" w14:textId="77777777" w:rsidR="00711273" w:rsidRDefault="00A537C0">
      <w:pPr>
        <w:spacing w:after="120" w:line="276" w:lineRule="auto"/>
      </w:pPr>
      <w:r>
        <w:rPr>
          <w:b/>
          <w:bCs/>
        </w:rPr>
        <w:t>Client-side vs server-side.</w:t>
      </w:r>
      <w:r>
        <w:t xml:space="preserve"> Client-side = tags fire in the browser/app and talk directly to vendors; easy, but </w:t>
      </w:r>
      <w:proofErr w:type="spellStart"/>
      <w:r>
        <w:t>blockable</w:t>
      </w:r>
      <w:proofErr w:type="spellEnd"/>
      <w:r>
        <w:t xml:space="preserve"> and privacy-fragile. Server-side = one stream to your own endpoint, which fans out to vendors; robust and controlled, but you own the infrastructure. Collectors is mid-transition (</w:t>
      </w:r>
      <w:proofErr w:type="spellStart"/>
      <w:r>
        <w:t>sGTM</w:t>
      </w:r>
      <w:proofErr w:type="spellEnd"/>
      <w:r>
        <w:t xml:space="preserve"> exists, carries no events yet).</w:t>
      </w:r>
    </w:p>
    <w:p w14:paraId="358D62CD" w14:textId="77777777" w:rsidR="00711273" w:rsidRDefault="00A537C0">
      <w:pPr>
        <w:spacing w:after="120" w:line="276" w:lineRule="auto"/>
      </w:pPr>
      <w:r>
        <w:rPr>
          <w:b/>
          <w:bCs/>
        </w:rPr>
        <w:t>Attribution.</w:t>
      </w:r>
      <w:r>
        <w:t xml:space="preserve"> Assigning credit for a conversion to a touchpoint. Web attribution ≈ GA4 + ad-platform pixels/CAPI. App attribution ≈ MMP (Branch/</w:t>
      </w:r>
      <w:proofErr w:type="spellStart"/>
      <w:r>
        <w:t>AppsFlyer</w:t>
      </w:r>
      <w:proofErr w:type="spellEnd"/>
      <w:r>
        <w:t xml:space="preserve">) because the app-store gap breaks web techniques; on iOS, ATT consent rates and </w:t>
      </w:r>
      <w:proofErr w:type="spellStart"/>
      <w:r>
        <w:t>SKAdNetwork's</w:t>
      </w:r>
      <w:proofErr w:type="spellEnd"/>
      <w:r>
        <w:t xml:space="preserve"> aggregated </w:t>
      </w:r>
      <w:proofErr w:type="spellStart"/>
      <w:r>
        <w:t>postbacks</w:t>
      </w:r>
      <w:proofErr w:type="spellEnd"/>
      <w:r>
        <w:t xml:space="preserve"> limit granularity. Never promise "perfect attribution" — the honest framing is </w:t>
      </w:r>
      <w:r>
        <w:rPr>
          <w:i/>
          <w:iCs/>
        </w:rPr>
        <w:t>reliable, decision-grade signals</w:t>
      </w:r>
      <w:r>
        <w:t>.</w:t>
      </w:r>
    </w:p>
    <w:p w14:paraId="358D62CE" w14:textId="77777777" w:rsidR="00711273" w:rsidRDefault="00A537C0">
      <w:pPr>
        <w:spacing w:after="120" w:line="276" w:lineRule="auto"/>
      </w:pPr>
      <w:r>
        <w:rPr>
          <w:b/>
          <w:bCs/>
        </w:rPr>
        <w:t>Deep linking.</w:t>
      </w:r>
      <w:r>
        <w:t xml:space="preserve"> Standard link → website. Deep link → specific in-app screen. Deferred deep link → survives the install step. Branded link products: Branch links, </w:t>
      </w:r>
      <w:proofErr w:type="spellStart"/>
      <w:r>
        <w:t>AppsFlyer</w:t>
      </w:r>
      <w:proofErr w:type="spellEnd"/>
      <w:r>
        <w:t xml:space="preserve"> </w:t>
      </w:r>
      <w:proofErr w:type="spellStart"/>
      <w:r>
        <w:t>OneLink</w:t>
      </w:r>
      <w:proofErr w:type="spellEnd"/>
      <w:r>
        <w:t>. CRM deep links = these links inside SFMC emails/push.</w:t>
      </w:r>
    </w:p>
    <w:p w14:paraId="358D62CF" w14:textId="77777777" w:rsidR="00711273" w:rsidRDefault="00A537C0">
      <w:pPr>
        <w:spacing w:after="120" w:line="276" w:lineRule="auto"/>
      </w:pPr>
      <w:r>
        <w:rPr>
          <w:b/>
          <w:bCs/>
        </w:rPr>
        <w:t>UTM parameters.</w:t>
      </w:r>
      <w:r>
        <w:t xml:space="preserve"> </w:t>
      </w:r>
      <w:proofErr w:type="spellStart"/>
      <w:r>
        <w:t>utm_source</w:t>
      </w:r>
      <w:proofErr w:type="spellEnd"/>
      <w:r>
        <w:t xml:space="preserve"> / </w:t>
      </w:r>
      <w:proofErr w:type="spellStart"/>
      <w:r>
        <w:t>utm_medium</w:t>
      </w:r>
      <w:proofErr w:type="spellEnd"/>
      <w:r>
        <w:t xml:space="preserve"> / </w:t>
      </w:r>
      <w:proofErr w:type="spellStart"/>
      <w:r>
        <w:t>utm_campaign</w:t>
      </w:r>
      <w:proofErr w:type="spellEnd"/>
      <w:r>
        <w:t xml:space="preserve"> / </w:t>
      </w:r>
      <w:proofErr w:type="spellStart"/>
      <w:r>
        <w:t>utm_content</w:t>
      </w:r>
      <w:proofErr w:type="spellEnd"/>
      <w:r>
        <w:t xml:space="preserve"> / </w:t>
      </w:r>
      <w:proofErr w:type="spellStart"/>
      <w:r>
        <w:t>utm_term</w:t>
      </w:r>
      <w:proofErr w:type="spellEnd"/>
      <w:r>
        <w:t xml:space="preserve"> appended to URLs so GA4 knows where traffic came from. "UTM stuffing" (Stephen's term) = the standard for constructing them; inconsistency here is why "(not set)" haunts source/medium reports. The Link Inventory is the governance artefact.</w:t>
      </w:r>
    </w:p>
    <w:p w14:paraId="358D62D0" w14:textId="77777777" w:rsidR="00711273" w:rsidRDefault="00A537C0">
      <w:pPr>
        <w:spacing w:after="120" w:line="276" w:lineRule="auto"/>
      </w:pPr>
      <w:r>
        <w:rPr>
          <w:b/>
          <w:bCs/>
        </w:rPr>
        <w:t>Conversion APIs &amp; match quality.</w:t>
      </w:r>
      <w:r>
        <w:t xml:space="preserve"> Server-posted conversions with hashed identifiers (email, phone) improve the ad platform's ability to match a conversion to a user — measured as match rate / event match quality — which improves optimisation and measured ROAS.</w:t>
      </w:r>
    </w:p>
    <w:p w14:paraId="358D62D1" w14:textId="77777777" w:rsidR="00711273" w:rsidRDefault="00A537C0">
      <w:pPr>
        <w:spacing w:after="120" w:line="276" w:lineRule="auto"/>
      </w:pPr>
      <w:r>
        <w:rPr>
          <w:b/>
          <w:bCs/>
        </w:rPr>
        <w:lastRenderedPageBreak/>
        <w:t>Consent &amp; consent skew.</w:t>
      </w:r>
      <w:r>
        <w:t xml:space="preserve"> CMP (Osano/</w:t>
      </w:r>
      <w:proofErr w:type="spellStart"/>
      <w:r>
        <w:t>OneTrust</w:t>
      </w:r>
      <w:proofErr w:type="spellEnd"/>
      <w:r>
        <w:t>) gates tracking on user consent. Opt-in regions → only a fraction of users tracked → regional data is directional, not literal. Mitigations: default filters, report annotations, exclusion from ad-hoc pulls, and modelled conversions (e.g., Google Consent Mode behavioural modelling).</w:t>
      </w:r>
    </w:p>
    <w:p w14:paraId="358D62D2" w14:textId="77777777" w:rsidR="00711273" w:rsidRDefault="00A537C0">
      <w:pPr>
        <w:spacing w:after="120" w:line="276" w:lineRule="auto"/>
      </w:pPr>
      <w:r>
        <w:rPr>
          <w:b/>
          <w:bCs/>
        </w:rPr>
        <w:t xml:space="preserve">GA4 → </w:t>
      </w:r>
      <w:proofErr w:type="spellStart"/>
      <w:r>
        <w:rPr>
          <w:b/>
          <w:bCs/>
        </w:rPr>
        <w:t>BigQuery</w:t>
      </w:r>
      <w:proofErr w:type="spellEnd"/>
      <w:r>
        <w:rPr>
          <w:b/>
          <w:bCs/>
        </w:rPr>
        <w:t xml:space="preserve"> export.</w:t>
      </w:r>
      <w:r>
        <w:t xml:space="preserve"> Raw events land in date-sharded tables with nested records; SQL against them (UNNEST of </w:t>
      </w:r>
      <w:proofErr w:type="spellStart"/>
      <w:r>
        <w:t>event_params</w:t>
      </w:r>
      <w:proofErr w:type="spellEnd"/>
      <w:r>
        <w:t>) powers data-quality checks the GA4 UI can't do — duplicate events, missing purchase values, spec mismatches, "(not set)" volumes. This is the audit's analytical engine and a core hiring skill.</w:t>
      </w:r>
    </w:p>
    <w:p w14:paraId="358D62D3" w14:textId="77777777" w:rsidR="00711273" w:rsidRDefault="00A537C0">
      <w:pPr>
        <w:spacing w:after="120" w:line="276" w:lineRule="auto"/>
      </w:pPr>
      <w:r>
        <w:rPr>
          <w:b/>
          <w:bCs/>
        </w:rPr>
        <w:t>QA tooling.</w:t>
      </w:r>
      <w:r>
        <w:t xml:space="preserve"> GTM Preview mode (watch tags/triggers fire), GA4 DebugView (watch events arrive), browser </w:t>
      </w:r>
      <w:proofErr w:type="spellStart"/>
      <w:r>
        <w:t>DevTools</w:t>
      </w:r>
      <w:proofErr w:type="spellEnd"/>
      <w:r>
        <w:t xml:space="preserve"> network tab (inspect the actual /collect payloads), Firebase DebugView + device/emulator testing for apps, </w:t>
      </w:r>
      <w:proofErr w:type="spellStart"/>
      <w:r>
        <w:t>AppsFlyer</w:t>
      </w:r>
      <w:proofErr w:type="spellEnd"/>
      <w:r>
        <w:t xml:space="preserve"> event logs for attribution validation, Quantum Metric replays for funnel verification. Evidence from these tools is what makes an audit finding credible.</w:t>
      </w:r>
    </w:p>
    <w:p w14:paraId="358D6373" w14:textId="31933F49" w:rsidR="00711273" w:rsidRDefault="00A537C0">
      <w:pPr>
        <w:spacing w:after="120" w:line="276" w:lineRule="auto"/>
      </w:pPr>
      <w:r>
        <w:rPr>
          <w:b/>
          <w:bCs/>
        </w:rPr>
        <w:t>Audit method in one line.</w:t>
      </w:r>
      <w:r>
        <w:t xml:space="preserve"> Inventory what </w:t>
      </w:r>
      <w:r>
        <w:rPr>
          <w:i/>
          <w:iCs/>
        </w:rPr>
        <w:t>should</w:t>
      </w:r>
      <w:r>
        <w:t xml:space="preserve"> fire (spec) → observe what </w:t>
      </w:r>
      <w:r>
        <w:rPr>
          <w:i/>
          <w:iCs/>
        </w:rPr>
        <w:t>does</w:t>
      </w:r>
      <w:r>
        <w:t xml:space="preserve"> fire (tools above + BQ queries) → log every gap with surface, category, root cause, evidence, recommended fix → score by impact → write ticket-ready remediation specs.</w:t>
      </w:r>
    </w:p>
    <w:sectPr w:rsidR="0071127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2B51" w14:textId="77777777" w:rsidR="0089040B" w:rsidRDefault="0089040B">
      <w:r>
        <w:separator/>
      </w:r>
    </w:p>
  </w:endnote>
  <w:endnote w:type="continuationSeparator" w:id="0">
    <w:p w14:paraId="6B45A333" w14:textId="77777777" w:rsidR="0089040B" w:rsidRDefault="00890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6375" w14:textId="2D131281" w:rsidR="00711273" w:rsidRDefault="00A537C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C6EF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C6EF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96B3" w14:textId="77777777" w:rsidR="0089040B" w:rsidRDefault="0089040B">
      <w:r>
        <w:separator/>
      </w:r>
    </w:p>
  </w:footnote>
  <w:footnote w:type="continuationSeparator" w:id="0">
    <w:p w14:paraId="604DD3B8" w14:textId="77777777" w:rsidR="0089040B" w:rsidRDefault="00890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6374" w14:textId="01061469" w:rsidR="00711273" w:rsidRPr="00A52FC4" w:rsidRDefault="00711273">
    <w:pPr>
      <w:pBdr>
        <w:bottom w:val="single" w:sz="4" w:space="4" w:color="D9D9D9"/>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73D"/>
    <w:multiLevelType w:val="hybridMultilevel"/>
    <w:tmpl w:val="D1BEF44A"/>
    <w:lvl w:ilvl="0" w:tplc="7286121E">
      <w:start w:val="1"/>
      <w:numFmt w:val="bullet"/>
      <w:lvlText w:val="●"/>
      <w:lvlJc w:val="left"/>
      <w:pPr>
        <w:ind w:left="720" w:hanging="360"/>
      </w:pPr>
    </w:lvl>
    <w:lvl w:ilvl="1" w:tplc="54E07DB2">
      <w:start w:val="1"/>
      <w:numFmt w:val="bullet"/>
      <w:lvlText w:val="○"/>
      <w:lvlJc w:val="left"/>
      <w:pPr>
        <w:ind w:left="1440" w:hanging="360"/>
      </w:pPr>
    </w:lvl>
    <w:lvl w:ilvl="2" w:tplc="B11E6C3E">
      <w:start w:val="1"/>
      <w:numFmt w:val="bullet"/>
      <w:lvlText w:val="■"/>
      <w:lvlJc w:val="left"/>
      <w:pPr>
        <w:ind w:left="2160" w:hanging="360"/>
      </w:pPr>
    </w:lvl>
    <w:lvl w:ilvl="3" w:tplc="1D56AC14">
      <w:start w:val="1"/>
      <w:numFmt w:val="bullet"/>
      <w:lvlText w:val="●"/>
      <w:lvlJc w:val="left"/>
      <w:pPr>
        <w:ind w:left="2880" w:hanging="360"/>
      </w:pPr>
    </w:lvl>
    <w:lvl w:ilvl="4" w:tplc="1E8422C2">
      <w:start w:val="1"/>
      <w:numFmt w:val="bullet"/>
      <w:lvlText w:val="○"/>
      <w:lvlJc w:val="left"/>
      <w:pPr>
        <w:ind w:left="3600" w:hanging="360"/>
      </w:pPr>
    </w:lvl>
    <w:lvl w:ilvl="5" w:tplc="B1AA6AF2">
      <w:start w:val="1"/>
      <w:numFmt w:val="bullet"/>
      <w:lvlText w:val="■"/>
      <w:lvlJc w:val="left"/>
      <w:pPr>
        <w:ind w:left="4320" w:hanging="360"/>
      </w:pPr>
    </w:lvl>
    <w:lvl w:ilvl="6" w:tplc="3E549570">
      <w:start w:val="1"/>
      <w:numFmt w:val="bullet"/>
      <w:lvlText w:val="●"/>
      <w:lvlJc w:val="left"/>
      <w:pPr>
        <w:ind w:left="5040" w:hanging="360"/>
      </w:pPr>
    </w:lvl>
    <w:lvl w:ilvl="7" w:tplc="7EA4B930">
      <w:start w:val="1"/>
      <w:numFmt w:val="bullet"/>
      <w:lvlText w:val="●"/>
      <w:lvlJc w:val="left"/>
      <w:pPr>
        <w:ind w:left="5760" w:hanging="360"/>
      </w:pPr>
    </w:lvl>
    <w:lvl w:ilvl="8" w:tplc="0F3A5F86">
      <w:start w:val="1"/>
      <w:numFmt w:val="bullet"/>
      <w:lvlText w:val="●"/>
      <w:lvlJc w:val="left"/>
      <w:pPr>
        <w:ind w:left="6480" w:hanging="360"/>
      </w:pPr>
    </w:lvl>
  </w:abstractNum>
  <w:abstractNum w:abstractNumId="1" w15:restartNumberingAfterBreak="0">
    <w:nsid w:val="2F7A107F"/>
    <w:multiLevelType w:val="hybridMultilevel"/>
    <w:tmpl w:val="1306520C"/>
    <w:lvl w:ilvl="0" w:tplc="08200940">
      <w:start w:val="1"/>
      <w:numFmt w:val="decimal"/>
      <w:lvlText w:val="%1."/>
      <w:lvlJc w:val="left"/>
      <w:pPr>
        <w:ind w:left="400" w:hanging="240"/>
      </w:pPr>
    </w:lvl>
    <w:lvl w:ilvl="1" w:tplc="23CEDB98">
      <w:numFmt w:val="decimal"/>
      <w:lvlText w:val=""/>
      <w:lvlJc w:val="left"/>
    </w:lvl>
    <w:lvl w:ilvl="2" w:tplc="D05E40EE">
      <w:numFmt w:val="decimal"/>
      <w:lvlText w:val=""/>
      <w:lvlJc w:val="left"/>
    </w:lvl>
    <w:lvl w:ilvl="3" w:tplc="7B029F44">
      <w:numFmt w:val="decimal"/>
      <w:lvlText w:val=""/>
      <w:lvlJc w:val="left"/>
    </w:lvl>
    <w:lvl w:ilvl="4" w:tplc="5DD42030">
      <w:numFmt w:val="decimal"/>
      <w:lvlText w:val=""/>
      <w:lvlJc w:val="left"/>
    </w:lvl>
    <w:lvl w:ilvl="5" w:tplc="1BC82828">
      <w:numFmt w:val="decimal"/>
      <w:lvlText w:val=""/>
      <w:lvlJc w:val="left"/>
    </w:lvl>
    <w:lvl w:ilvl="6" w:tplc="E1762CA6">
      <w:numFmt w:val="decimal"/>
      <w:lvlText w:val=""/>
      <w:lvlJc w:val="left"/>
    </w:lvl>
    <w:lvl w:ilvl="7" w:tplc="4DF4034E">
      <w:numFmt w:val="decimal"/>
      <w:lvlText w:val=""/>
      <w:lvlJc w:val="left"/>
    </w:lvl>
    <w:lvl w:ilvl="8" w:tplc="3B5223B0">
      <w:numFmt w:val="decimal"/>
      <w:lvlText w:val=""/>
      <w:lvlJc w:val="left"/>
    </w:lvl>
  </w:abstractNum>
  <w:abstractNum w:abstractNumId="2" w15:restartNumberingAfterBreak="0">
    <w:nsid w:val="39CB6671"/>
    <w:multiLevelType w:val="hybridMultilevel"/>
    <w:tmpl w:val="84341DD4"/>
    <w:lvl w:ilvl="0" w:tplc="CA8039D4">
      <w:start w:val="1"/>
      <w:numFmt w:val="bullet"/>
      <w:lvlText w:val="•"/>
      <w:lvlJc w:val="left"/>
      <w:pPr>
        <w:ind w:left="360" w:hanging="200"/>
      </w:pPr>
    </w:lvl>
    <w:lvl w:ilvl="1" w:tplc="CF1AAB70">
      <w:numFmt w:val="decimal"/>
      <w:lvlText w:val=""/>
      <w:lvlJc w:val="left"/>
    </w:lvl>
    <w:lvl w:ilvl="2" w:tplc="5F0E105A">
      <w:numFmt w:val="decimal"/>
      <w:lvlText w:val=""/>
      <w:lvlJc w:val="left"/>
    </w:lvl>
    <w:lvl w:ilvl="3" w:tplc="B2B43C7C">
      <w:numFmt w:val="decimal"/>
      <w:lvlText w:val=""/>
      <w:lvlJc w:val="left"/>
    </w:lvl>
    <w:lvl w:ilvl="4" w:tplc="CD6EA25A">
      <w:numFmt w:val="decimal"/>
      <w:lvlText w:val=""/>
      <w:lvlJc w:val="left"/>
    </w:lvl>
    <w:lvl w:ilvl="5" w:tplc="06B0F5C6">
      <w:numFmt w:val="decimal"/>
      <w:lvlText w:val=""/>
      <w:lvlJc w:val="left"/>
    </w:lvl>
    <w:lvl w:ilvl="6" w:tplc="3A7E6046">
      <w:numFmt w:val="decimal"/>
      <w:lvlText w:val=""/>
      <w:lvlJc w:val="left"/>
    </w:lvl>
    <w:lvl w:ilvl="7" w:tplc="F326BD52">
      <w:numFmt w:val="decimal"/>
      <w:lvlText w:val=""/>
      <w:lvlJc w:val="left"/>
    </w:lvl>
    <w:lvl w:ilvl="8" w:tplc="7B8C2006">
      <w:numFmt w:val="decimal"/>
      <w:lvlText w:val=""/>
      <w:lvlJc w:val="left"/>
    </w:lvl>
  </w:abstractNum>
  <w:num w:numId="1" w16cid:durableId="2064207159">
    <w:abstractNumId w:val="0"/>
    <w:lvlOverride w:ilvl="0">
      <w:startOverride w:val="1"/>
    </w:lvlOverride>
  </w:num>
  <w:num w:numId="2" w16cid:durableId="1460997163">
    <w:abstractNumId w:val="2"/>
    <w:lvlOverride w:ilvl="0">
      <w:startOverride w:val="1"/>
    </w:lvlOverride>
  </w:num>
  <w:num w:numId="3" w16cid:durableId="458569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273"/>
    <w:rsid w:val="002064A7"/>
    <w:rsid w:val="00711273"/>
    <w:rsid w:val="00721173"/>
    <w:rsid w:val="0089040B"/>
    <w:rsid w:val="009C6B04"/>
    <w:rsid w:val="00A52FC4"/>
    <w:rsid w:val="00A537C0"/>
    <w:rsid w:val="00B9297D"/>
    <w:rsid w:val="00C06700"/>
    <w:rsid w:val="00CC6EFD"/>
    <w:rsid w:val="00E02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61A8"/>
  <w15:docId w15:val="{5F8236F0-FCAB-450A-9FD3-3187B8DB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6EFD"/>
    <w:pPr>
      <w:spacing w:after="100"/>
    </w:pPr>
  </w:style>
  <w:style w:type="paragraph" w:styleId="TOC2">
    <w:name w:val="toc 2"/>
    <w:basedOn w:val="Normal"/>
    <w:next w:val="Normal"/>
    <w:autoRedefine/>
    <w:uiPriority w:val="39"/>
    <w:unhideWhenUsed/>
    <w:rsid w:val="00CC6EFD"/>
    <w:pPr>
      <w:spacing w:after="100"/>
      <w:ind w:left="210"/>
    </w:pPr>
  </w:style>
  <w:style w:type="paragraph" w:styleId="Header">
    <w:name w:val="header"/>
    <w:basedOn w:val="Normal"/>
    <w:link w:val="HeaderChar"/>
    <w:uiPriority w:val="99"/>
    <w:unhideWhenUsed/>
    <w:rsid w:val="00A52FC4"/>
    <w:pPr>
      <w:tabs>
        <w:tab w:val="center" w:pos="4513"/>
        <w:tab w:val="right" w:pos="9026"/>
      </w:tabs>
    </w:pPr>
  </w:style>
  <w:style w:type="character" w:customStyle="1" w:styleId="HeaderChar">
    <w:name w:val="Header Char"/>
    <w:basedOn w:val="DefaultParagraphFont"/>
    <w:link w:val="Header"/>
    <w:uiPriority w:val="99"/>
    <w:rsid w:val="00A52FC4"/>
  </w:style>
  <w:style w:type="paragraph" w:styleId="Footer">
    <w:name w:val="footer"/>
    <w:basedOn w:val="Normal"/>
    <w:link w:val="FooterChar"/>
    <w:uiPriority w:val="99"/>
    <w:unhideWhenUsed/>
    <w:rsid w:val="00A52FC4"/>
    <w:pPr>
      <w:tabs>
        <w:tab w:val="center" w:pos="4513"/>
        <w:tab w:val="right" w:pos="9026"/>
      </w:tabs>
    </w:pPr>
  </w:style>
  <w:style w:type="character" w:customStyle="1" w:styleId="FooterChar">
    <w:name w:val="Footer Char"/>
    <w:basedOn w:val="DefaultParagraphFont"/>
    <w:link w:val="Footer"/>
    <w:uiPriority w:val="99"/>
    <w:rsid w:val="00A52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5010</Words>
  <Characters>28210</Characters>
  <Application>Microsoft Office Word</Application>
  <DocSecurity>0</DocSecurity>
  <Lines>723</Lines>
  <Paragraphs>390</Paragraphs>
  <ScaleCrop>false</ScaleCrop>
  <Company/>
  <LinksUpToDate>false</LinksUpToDate>
  <CharactersWithSpaces>32830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Nayan Das</cp:lastModifiedBy>
  <cp:revision>6</cp:revision>
  <dcterms:created xsi:type="dcterms:W3CDTF">2026-08-18T12:09:00Z</dcterms:created>
  <dcterms:modified xsi:type="dcterms:W3CDTF">2026-08-20T09:36:00Z</dcterms:modified>
</cp:coreProperties>
</file>