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B8860B"/>
          <w:spacing w:val="20"/>
          <w:sz w:val="24"/>
          <w:szCs w:val="24"/>
        </w:rPr>
        <w:t xml:space="preserve">STRATEGIC ANALYSIS REPORT</w:t>
      </w:r>
    </w:p>
    <w:p>
      <w:pPr>
        <w:spacing w:after="400"/>
        <w:jc w:val="center"/>
      </w:pPr>
      <w:r>
        <w:rPr>
          <w:b/>
          <w:bCs/>
          <w:color w:val="1F3864"/>
          <w:sz w:val="52"/>
          <w:szCs w:val="52"/>
        </w:rPr>
        <w:t xml:space="preserve">SWOT &amp; PESTLE Analysis for a Startup Idea</w:t>
      </w:r>
    </w:p>
    <w:p>
      <w:pPr>
        <w:spacing w:after="200"/>
        <w:jc w:val="center"/>
      </w:pPr>
      <w:r>
        <w:rPr>
          <w:i/>
          <w:iCs/>
          <w:color w:val="595959"/>
          <w:sz w:val="28"/>
          <w:szCs w:val="28"/>
        </w:rPr>
        <w:t xml:space="preserve">Case Study: ChargeNova Mobility - EV Charging Station Network for Tier-2 Indian Cities</w:t>
      </w:r>
    </w:p>
    <w:p>
      <w:pPr>
        <w:spacing w:after="80" w:before="1600"/>
        <w:jc w:val="center"/>
      </w:pPr>
      <w:r>
        <w:rPr>
          <w:color w:val="595959"/>
          <w:sz w:val="22"/>
          <w:szCs w:val="22"/>
        </w:rPr>
        <w:t xml:space="preserve">Prepared as a Business Analyst Strategic Evaluation Project</w:t>
      </w:r>
    </w:p>
    <w:p>
      <w:pPr>
        <w:spacing w:after="80"/>
        <w:jc w:val="center"/>
      </w:pPr>
      <w:r>
        <w:rPr>
          <w:color w:val="595959"/>
          <w:sz w:val="20"/>
          <w:szCs w:val="20"/>
        </w:rPr>
        <w:t xml:space="preserve">Framework: Strengths, Weaknesses, Opportunities, Threats (SWOT) and Political, Economic, Social, Technological, Legal, Environmental (PESTLE) Analysis</w:t>
      </w:r>
    </w:p>
    <w:p>
      <w:pPr>
        <w:spacing w:before="1600"/>
        <w:jc w:val="center"/>
      </w:pPr>
      <w:r>
        <w:rPr>
          <w:i/>
          <w:iCs/>
          <w:color w:val="808080"/>
          <w:sz w:val="18"/>
          <w:szCs w:val="18"/>
        </w:rPr>
        <w:t xml:space="preserve">Strictly an illustrative case study prepared for portfolio and educational purposes. No real company, investment, or regulatory advice is implied.</w:t>
      </w:r>
    </w:p>
    <w:p>
      <w:r>
        <w:br w:type="page"/>
      </w:r>
    </w:p>
    <w:p>
      <w:pPr>
        <w:pStyle w:val="Heading1"/>
        <w:pBdr>
          <w:bottom w:val="single" w:color="1F3864" w:sz="8" w:space="4"/>
        </w:pBdr>
      </w:pPr>
      <w:r>
        <w:t xml:space="preserve">1. Executive Summary</w:t>
      </w:r>
    </w:p>
    <w:p>
      <w:pPr>
        <w:spacing w:after="160" w:before="0"/>
        <w:jc w:val="both"/>
      </w:pPr>
      <w:r>
        <w:rPr>
          <w:sz w:val="22"/>
          <w:szCs w:val="22"/>
        </w:rPr>
        <w:t xml:space="preserve">This report presents a structured strategic evaluation of “ChargeNova Mobility,” an illustrative early-stage startup building a network of electric-vehicle (EV) charging and battery-swap stations across Tier-2 Indian cities. The objective is to assess the startup's internal strengths and weaknesses alongside the external political, economic, social, technological, legal, and environmental forces shaping its operating environment, and to translate those findings into actionable strategic recommendations.</w:t>
      </w:r>
    </w:p>
    <w:p>
      <w:pPr>
        <w:spacing w:after="160" w:before="0"/>
        <w:jc w:val="both"/>
      </w:pPr>
      <w:r>
        <w:rPr>
          <w:sz w:val="22"/>
          <w:szCs w:val="22"/>
        </w:rPr>
        <w:t xml:space="preserve">The analysis finds that ChargeNova benefits from genuine first-mover positioning in an under-served city tier, a capital-efficient hub-and-spoke infrastructure model, and strong tailwinds from national EV policy and falling battery costs. These strengths are counterbalanced by high upfront capital intensity, thin brand recognition relative to national competitors, and dependence on policy continuity and grid power quality.</w:t>
      </w:r>
    </w:p>
    <w:p>
      <w:pPr>
        <w:spacing w:after="160" w:before="0"/>
        <w:jc w:val="both"/>
      </w:pPr>
      <w:r>
        <w:rPr>
          <w:sz w:val="22"/>
          <w:szCs w:val="22"/>
        </w:rPr>
        <w:t xml:space="preserve">On balance, the startup idea is assessed as viable with moderate-to-high growth potential, contingent on disciplined site selection, securing favourable power-supply agreements, and prioritising the fastest-growing two- and three-wheeler charging segment ahead of capital-intensive four-wheeler fast-charging corridors.</w:t>
      </w:r>
    </w:p>
    <w:p>
      <w:pPr>
        <w:pStyle w:val="Heading1"/>
        <w:pBdr>
          <w:bottom w:val="single" w:color="1F3864" w:sz="8" w:space="4"/>
        </w:pBdr>
      </w:pPr>
      <w:r>
        <w:t xml:space="preserve">2. Startup Idea Overview</w:t>
      </w:r>
    </w:p>
    <w:p>
      <w:pPr>
        <w:pStyle w:val="Heading2"/>
      </w:pPr>
      <w:r>
        <w:t xml:space="preserve">2.1 Concept</w:t>
      </w:r>
    </w:p>
    <w:p>
      <w:pPr>
        <w:spacing w:after="160" w:before="0"/>
        <w:jc w:val="both"/>
      </w:pPr>
      <w:r>
        <w:rPr>
          <w:sz w:val="22"/>
          <w:szCs w:val="22"/>
        </w:rPr>
        <w:t xml:space="preserve">ChargeNova Mobility plans to deploy a network of EV charging hubs - combining standard AC charging, DC fast-charging, and two-wheeler battery-swap bays - at high-footfall retail and fuel-station locations across 12 Tier-2 Indian cities, with an asset-light, leased-site model rather than owned real estate.</w:t>
      </w:r>
    </w:p>
    <w:p>
      <w:pPr>
        <w:pStyle w:val="Heading2"/>
      </w:pPr>
      <w:r>
        <w:t xml:space="preserve">2.2 Problem Being Solved</w:t>
      </w:r>
    </w:p>
    <w:p>
      <w:pPr>
        <w:spacing w:after="160" w:before="0"/>
        <w:jc w:val="both"/>
      </w:pPr>
      <w:r>
        <w:rPr>
          <w:sz w:val="22"/>
          <w:szCs w:val="22"/>
        </w:rPr>
        <w:t xml:space="preserve">Charging infrastructure in India remains heavily concentrated in metro corridors and highways, leaving EV owners and fleet operators in Tier-2 cities with limited, inconsistent access to reliable charging - a key barrier to EV adoption outside the largest urban markets.</w:t>
      </w:r>
    </w:p>
    <w:p>
      <w:pPr>
        <w:pStyle w:val="Heading2"/>
      </w:pPr>
      <w:r>
        <w:t xml:space="preserve">2.3 Target Customer Segments</w:t>
      </w:r>
    </w:p>
    <w:p>
      <w:pPr>
        <w:pStyle w:val="ListParagraph"/>
        <w:numPr>
          <w:ilvl w:val="0"/>
          <w:numId w:val="2"/>
        </w:numPr>
        <w:spacing w:after="90"/>
      </w:pPr>
      <w:r>
        <w:rPr>
          <w:sz w:val="21"/>
          <w:szCs w:val="21"/>
        </w:rPr>
        <w:t xml:space="preserve">Individual two- and three-wheeler EV owners in dense urban clusters</w:t>
      </w:r>
    </w:p>
    <w:p>
      <w:pPr>
        <w:pStyle w:val="ListParagraph"/>
        <w:numPr>
          <w:ilvl w:val="0"/>
          <w:numId w:val="2"/>
        </w:numPr>
        <w:spacing w:after="90"/>
      </w:pPr>
      <w:r>
        <w:rPr>
          <w:sz w:val="21"/>
          <w:szCs w:val="21"/>
        </w:rPr>
        <w:t xml:space="preserve">Last-mile delivery and ride-hailing fleet operators electrifying their vehicle base</w:t>
      </w:r>
    </w:p>
    <w:p>
      <w:pPr>
        <w:pStyle w:val="ListParagraph"/>
        <w:numPr>
          <w:ilvl w:val="0"/>
          <w:numId w:val="2"/>
        </w:numPr>
        <w:spacing w:after="90"/>
      </w:pPr>
      <w:r>
        <w:rPr>
          <w:sz w:val="21"/>
          <w:szCs w:val="21"/>
        </w:rPr>
        <w:t xml:space="preserve">Four-wheeler EV owners requiring intercity and within-city fast-charging</w:t>
      </w:r>
    </w:p>
    <w:p>
      <w:pPr>
        <w:pStyle w:val="Heading2"/>
      </w:pPr>
      <w:r>
        <w:t xml:space="preserve">2.4 Key Features</w:t>
      </w:r>
    </w:p>
    <w:p>
      <w:pPr>
        <w:pStyle w:val="ListParagraph"/>
        <w:numPr>
          <w:ilvl w:val="0"/>
          <w:numId w:val="2"/>
        </w:numPr>
        <w:spacing w:after="90"/>
      </w:pPr>
      <w:r>
        <w:rPr>
          <w:sz w:val="21"/>
          <w:szCs w:val="21"/>
        </w:rPr>
        <w:t xml:space="preserve">Smart-routing mobile app showing real-time slot availability and wait-time estimates</w:t>
      </w:r>
    </w:p>
    <w:p>
      <w:pPr>
        <w:pStyle w:val="ListParagraph"/>
        <w:numPr>
          <w:ilvl w:val="0"/>
          <w:numId w:val="2"/>
        </w:numPr>
        <w:spacing w:after="90"/>
      </w:pPr>
      <w:r>
        <w:rPr>
          <w:sz w:val="21"/>
          <w:szCs w:val="21"/>
        </w:rPr>
        <w:t xml:space="preserve">Mixed-format hubs supporting AC charging, DC fast-charging, and battery swap</w:t>
      </w:r>
    </w:p>
    <w:p>
      <w:pPr>
        <w:pStyle w:val="ListParagraph"/>
        <w:numPr>
          <w:ilvl w:val="0"/>
          <w:numId w:val="2"/>
        </w:numPr>
        <w:spacing w:after="90"/>
      </w:pPr>
      <w:r>
        <w:rPr>
          <w:sz w:val="21"/>
          <w:szCs w:val="21"/>
        </w:rPr>
        <w:t xml:space="preserve">Fleet dashboard for B2B clients to monitor utilisation, billing, and energy cost</w:t>
      </w:r>
    </w:p>
    <w:p>
      <w:pPr>
        <w:pStyle w:val="Heading2"/>
      </w:pPr>
      <w:r>
        <w:t xml:space="preserve">2.5 Indicative Competitive Set</w:t>
      </w:r>
    </w:p>
    <w:p>
      <w:pPr>
        <w:spacing w:after="160" w:before="0"/>
        <w:jc w:val="both"/>
      </w:pPr>
      <w:r>
        <w:rPr>
          <w:sz w:val="22"/>
          <w:szCs w:val="22"/>
        </w:rPr>
        <w:t xml:space="preserve">Tata Power EZ Charge, Statiq, ChargeZone, and a number of regional two-wheeler battery-swap networks (see Section 5 for detailed benchmarking).</w:t>
      </w:r>
    </w:p>
    <w:p>
      <w:pPr>
        <w:pStyle w:val="Heading1"/>
        <w:pBdr>
          <w:bottom w:val="single" w:color="1F3864" w:sz="8" w:space="4"/>
        </w:pBdr>
      </w:pPr>
      <w:r>
        <w:t xml:space="preserve">3. SWOT Analysis (Internal Factors)</w:t>
      </w:r>
    </w:p>
    <w:p>
      <w:pPr>
        <w:spacing w:after="160" w:before="0"/>
        <w:jc w:val="both"/>
      </w:pPr>
      <w:r>
        <w:rPr>
          <w:sz w:val="22"/>
          <w:szCs w:val="22"/>
        </w:rPr>
        <w:t xml:space="preserve">The SWOT framework evaluates ChargeNova's internal Strengths and Weaknesses alongside external Opportunities and Threats, providing a structured 2×2 view of the startup's strategic 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2"/>
              <w:left w:val="single" w:color="BFBFBF" w:sz="2"/>
              <w:bottom w:val="single" w:color="BFBFBF" w:sz="2"/>
              <w:right w:val="single" w:color="BFBFBF" w:sz="2"/>
            </w:tcBorders>
            <w:shd w:fill="E2EFDA" w:val="clear"/>
            <w:tcMar>
              <w:top w:type="dxa" w:w="120"/>
              <w:left w:type="dxa" w:w="160"/>
              <w:bottom w:type="dxa" w:w="120"/>
              <w:right w:type="dxa" w:w="160"/>
            </w:tcMar>
          </w:tcPr>
          <w:p>
            <w:pPr>
              <w:spacing w:after="120"/>
            </w:pPr>
            <w:r>
              <w:rPr>
                <w:b/>
                <w:bCs/>
                <w:color w:val="375623"/>
                <w:sz w:val="26"/>
                <w:szCs w:val="26"/>
              </w:rPr>
              <w:t xml:space="preserve">STRENGTHS</w:t>
            </w:r>
          </w:p>
          <w:p>
            <w:pPr>
              <w:pStyle w:val="ListParagraph"/>
              <w:numPr>
                <w:ilvl w:val="0"/>
                <w:numId w:val="2"/>
              </w:numPr>
              <w:spacing w:after="80"/>
            </w:pPr>
            <w:r>
              <w:rPr>
                <w:sz w:val="20"/>
                <w:szCs w:val="20"/>
              </w:rPr>
              <w:t xml:space="preserve">First-mover footprint in 12 Tier-2 Indian cities under-served by existing charging networks</w:t>
            </w:r>
          </w:p>
          <w:p>
            <w:pPr>
              <w:pStyle w:val="ListParagraph"/>
              <w:numPr>
                <w:ilvl w:val="0"/>
                <w:numId w:val="2"/>
              </w:numPr>
              <w:spacing w:after="80"/>
            </w:pPr>
            <w:r>
              <w:rPr>
                <w:sz w:val="20"/>
                <w:szCs w:val="20"/>
              </w:rPr>
              <w:t xml:space="preserve">Proprietary smart-routing app reducing average customer wait-time to under 8 minutes</w:t>
            </w:r>
          </w:p>
          <w:p>
            <w:pPr>
              <w:pStyle w:val="ListParagraph"/>
              <w:numPr>
                <w:ilvl w:val="0"/>
                <w:numId w:val="2"/>
              </w:numPr>
              <w:spacing w:after="80"/>
            </w:pPr>
            <w:r>
              <w:rPr>
                <w:sz w:val="20"/>
                <w:szCs w:val="20"/>
              </w:rPr>
              <w:t xml:space="preserve">Asset-light hub-and-spoke model using leased retail/fuel-station real estate</w:t>
            </w:r>
          </w:p>
          <w:p>
            <w:pPr>
              <w:pStyle w:val="ListParagraph"/>
              <w:numPr>
                <w:ilvl w:val="0"/>
                <w:numId w:val="2"/>
              </w:numPr>
              <w:spacing w:after="80"/>
            </w:pPr>
            <w:r>
              <w:rPr>
                <w:sz w:val="20"/>
                <w:szCs w:val="20"/>
              </w:rPr>
              <w:t xml:space="preserve">Strategic tie-up with two regional DISCOMs for preferential commercial power tariffs</w:t>
            </w:r>
          </w:p>
          <w:p>
            <w:pPr>
              <w:pStyle w:val="ListParagraph"/>
              <w:numPr>
                <w:ilvl w:val="0"/>
                <w:numId w:val="2"/>
              </w:numPr>
              <w:spacing w:after="80"/>
            </w:pPr>
            <w:r>
              <w:rPr>
                <w:sz w:val="20"/>
                <w:szCs w:val="20"/>
              </w:rPr>
              <w:t xml:space="preserve">Founding team with combined 20+ years in power infrastructure and mobility SaaS</w:t>
            </w:r>
          </w:p>
        </w:tc>
        <w:tc>
          <w:tcPr>
            <w:tcW w:type="dxa" w:w="4680"/>
            <w:tcBorders>
              <w:top w:val="single" w:color="BFBFBF" w:sz="2"/>
              <w:left w:val="single" w:color="BFBFBF" w:sz="2"/>
              <w:bottom w:val="single" w:color="BFBFBF" w:sz="2"/>
              <w:right w:val="single" w:color="BFBFBF" w:sz="2"/>
            </w:tcBorders>
            <w:shd w:fill="FCE4D6" w:val="clear"/>
            <w:tcMar>
              <w:top w:type="dxa" w:w="120"/>
              <w:left w:type="dxa" w:w="160"/>
              <w:bottom w:type="dxa" w:w="120"/>
              <w:right w:type="dxa" w:w="160"/>
            </w:tcMar>
          </w:tcPr>
          <w:p>
            <w:pPr>
              <w:spacing w:after="120"/>
            </w:pPr>
            <w:r>
              <w:rPr>
                <w:b/>
                <w:bCs/>
                <w:color w:val="C00000"/>
                <w:sz w:val="26"/>
                <w:szCs w:val="26"/>
              </w:rPr>
              <w:t xml:space="preserve">WEAKNESSES</w:t>
            </w:r>
          </w:p>
          <w:p>
            <w:pPr>
              <w:pStyle w:val="ListParagraph"/>
              <w:numPr>
                <w:ilvl w:val="0"/>
                <w:numId w:val="2"/>
              </w:numPr>
              <w:spacing w:after="80"/>
            </w:pPr>
            <w:r>
              <w:rPr>
                <w:sz w:val="20"/>
                <w:szCs w:val="20"/>
              </w:rPr>
              <w:t xml:space="preserve">High upfront capital intensity per charging hub (~$45,000-$60,000 per site)</w:t>
            </w:r>
          </w:p>
          <w:p>
            <w:pPr>
              <w:pStyle w:val="ListParagraph"/>
              <w:numPr>
                <w:ilvl w:val="0"/>
                <w:numId w:val="2"/>
              </w:numPr>
              <w:spacing w:after="80"/>
            </w:pPr>
            <w:r>
              <w:rPr>
                <w:sz w:val="20"/>
                <w:szCs w:val="20"/>
              </w:rPr>
              <w:t xml:space="preserve">Limited brand recognition versus national players (Tata Power EZ Charge, Statiq, ChargeZone)</w:t>
            </w:r>
          </w:p>
          <w:p>
            <w:pPr>
              <w:pStyle w:val="ListParagraph"/>
              <w:numPr>
                <w:ilvl w:val="0"/>
                <w:numId w:val="2"/>
              </w:numPr>
              <w:spacing w:after="80"/>
            </w:pPr>
            <w:r>
              <w:rPr>
                <w:sz w:val="20"/>
                <w:szCs w:val="20"/>
              </w:rPr>
              <w:t xml:space="preserve">Dependence on grid power quality and uptime in smaller cities</w:t>
            </w:r>
          </w:p>
          <w:p>
            <w:pPr>
              <w:pStyle w:val="ListParagraph"/>
              <w:numPr>
                <w:ilvl w:val="0"/>
                <w:numId w:val="2"/>
              </w:numPr>
              <w:spacing w:after="80"/>
            </w:pPr>
            <w:r>
              <w:rPr>
                <w:sz w:val="20"/>
                <w:szCs w:val="20"/>
              </w:rPr>
              <w:t xml:space="preserve">Revenue concentration in two-wheeler and three-wheeler segments, lower margin than four-wheeler DC fast-charging</w:t>
            </w:r>
          </w:p>
          <w:p>
            <w:pPr>
              <w:pStyle w:val="ListParagraph"/>
              <w:numPr>
                <w:ilvl w:val="0"/>
                <w:numId w:val="2"/>
              </w:numPr>
              <w:spacing w:after="80"/>
            </w:pPr>
            <w:r>
              <w:rPr>
                <w:sz w:val="20"/>
                <w:szCs w:val="20"/>
              </w:rPr>
              <w:t xml:space="preserve">Working-capital strain from a 90-120 day receivables cycle with fleet-operator clients</w:t>
            </w:r>
          </w:p>
        </w:tc>
      </w:tr>
      <w:tr>
        <w:tc>
          <w:tcPr>
            <w:tcW w:type="dxa" w:w="4680"/>
            <w:tcBorders>
              <w:top w:val="single" w:color="BFBFBF" w:sz="2"/>
              <w:left w:val="single" w:color="BFBFBF" w:sz="2"/>
              <w:bottom w:val="single" w:color="BFBFBF" w:sz="2"/>
              <w:right w:val="single" w:color="BFBFBF" w:sz="2"/>
            </w:tcBorders>
            <w:shd w:fill="DDEBF7" w:val="clear"/>
            <w:tcMar>
              <w:top w:type="dxa" w:w="120"/>
              <w:left w:type="dxa" w:w="160"/>
              <w:bottom w:type="dxa" w:w="120"/>
              <w:right w:type="dxa" w:w="160"/>
            </w:tcMar>
          </w:tcPr>
          <w:p>
            <w:pPr>
              <w:spacing w:after="120"/>
            </w:pPr>
            <w:r>
              <w:rPr>
                <w:b/>
                <w:bCs/>
                <w:color w:val="1F4E78"/>
                <w:sz w:val="26"/>
                <w:szCs w:val="26"/>
              </w:rPr>
              <w:t xml:space="preserve">OPPORTUNITIES</w:t>
            </w:r>
          </w:p>
          <w:p>
            <w:pPr>
              <w:pStyle w:val="ListParagraph"/>
              <w:numPr>
                <w:ilvl w:val="0"/>
                <w:numId w:val="2"/>
              </w:numPr>
              <w:spacing w:after="80"/>
            </w:pPr>
            <w:r>
              <w:rPr>
                <w:sz w:val="20"/>
                <w:szCs w:val="20"/>
              </w:rPr>
              <w:t xml:space="preserve">Government push under the PM E-DRIVE scheme and state EV policies subsidising charging infrastructure</w:t>
            </w:r>
          </w:p>
          <w:p>
            <w:pPr>
              <w:pStyle w:val="ListParagraph"/>
              <w:numPr>
                <w:ilvl w:val="0"/>
                <w:numId w:val="2"/>
              </w:numPr>
              <w:spacing w:after="80"/>
            </w:pPr>
            <w:r>
              <w:rPr>
                <w:sz w:val="20"/>
                <w:szCs w:val="20"/>
              </w:rPr>
              <w:t xml:space="preserve">Rapid two- and three-wheeler EV adoption in Tier-2/3 cities, outpacing four-wheeler growth</w:t>
            </w:r>
          </w:p>
          <w:p>
            <w:pPr>
              <w:pStyle w:val="ListParagraph"/>
              <w:numPr>
                <w:ilvl w:val="0"/>
                <w:numId w:val="2"/>
              </w:numPr>
              <w:spacing w:after="80"/>
            </w:pPr>
            <w:r>
              <w:rPr>
                <w:sz w:val="20"/>
                <w:szCs w:val="20"/>
              </w:rPr>
              <w:t xml:space="preserve">Potential B2B contracts with e-commerce and food-delivery fleets electrifying last-mile delivery</w:t>
            </w:r>
          </w:p>
          <w:p>
            <w:pPr>
              <w:pStyle w:val="ListParagraph"/>
              <w:numPr>
                <w:ilvl w:val="0"/>
                <w:numId w:val="2"/>
              </w:numPr>
              <w:spacing w:after="80"/>
            </w:pPr>
            <w:r>
              <w:rPr>
                <w:sz w:val="20"/>
                <w:szCs w:val="20"/>
              </w:rPr>
              <w:t xml:space="preserve">Battery-swapping as a complementary revenue stream for the dominant two-wheeler segment</w:t>
            </w:r>
          </w:p>
          <w:p>
            <w:pPr>
              <w:pStyle w:val="ListParagraph"/>
              <w:numPr>
                <w:ilvl w:val="0"/>
                <w:numId w:val="2"/>
              </w:numPr>
              <w:spacing w:after="80"/>
            </w:pPr>
            <w:r>
              <w:rPr>
                <w:sz w:val="20"/>
                <w:szCs w:val="20"/>
              </w:rPr>
              <w:t xml:space="preserve">Carbon-credit and ESG-linked financing becoming accessible to clean-mobility infrastructure startups</w:t>
            </w:r>
          </w:p>
        </w:tc>
        <w:tc>
          <w:tcPr>
            <w:tcW w:type="dxa" w:w="4680"/>
            <w:tcBorders>
              <w:top w:val="single" w:color="BFBFBF" w:sz="2"/>
              <w:left w:val="single" w:color="BFBFBF" w:sz="2"/>
              <w:bottom w:val="single" w:color="BFBFBF" w:sz="2"/>
              <w:right w:val="single" w:color="BFBFBF" w:sz="2"/>
            </w:tcBorders>
            <w:shd w:fill="FBE5D6" w:val="clear"/>
            <w:tcMar>
              <w:top w:type="dxa" w:w="120"/>
              <w:left w:type="dxa" w:w="160"/>
              <w:bottom w:type="dxa" w:w="120"/>
              <w:right w:type="dxa" w:w="160"/>
            </w:tcMar>
          </w:tcPr>
          <w:p>
            <w:pPr>
              <w:spacing w:after="120"/>
            </w:pPr>
            <w:r>
              <w:rPr>
                <w:b/>
                <w:bCs/>
                <w:color w:val="C55A11"/>
                <w:sz w:val="26"/>
                <w:szCs w:val="26"/>
              </w:rPr>
              <w:t xml:space="preserve">THREATS</w:t>
            </w:r>
          </w:p>
          <w:p>
            <w:pPr>
              <w:pStyle w:val="ListParagraph"/>
              <w:numPr>
                <w:ilvl w:val="0"/>
                <w:numId w:val="2"/>
              </w:numPr>
              <w:spacing w:after="80"/>
            </w:pPr>
            <w:r>
              <w:rPr>
                <w:sz w:val="20"/>
                <w:szCs w:val="20"/>
              </w:rPr>
              <w:t xml:space="preserve">Aggressive expansion and price competition from well-funded national charging networks</w:t>
            </w:r>
          </w:p>
          <w:p>
            <w:pPr>
              <w:pStyle w:val="ListParagraph"/>
              <w:numPr>
                <w:ilvl w:val="0"/>
                <w:numId w:val="2"/>
              </w:numPr>
              <w:spacing w:after="80"/>
            </w:pPr>
            <w:r>
              <w:rPr>
                <w:sz w:val="20"/>
                <w:szCs w:val="20"/>
              </w:rPr>
              <w:t xml:space="preserve">Policy uncertainty as subsidy schemes are revised or sunset between budget cycles</w:t>
            </w:r>
          </w:p>
          <w:p>
            <w:pPr>
              <w:pStyle w:val="ListParagraph"/>
              <w:numPr>
                <w:ilvl w:val="0"/>
                <w:numId w:val="2"/>
              </w:numPr>
              <w:spacing w:after="80"/>
            </w:pPr>
            <w:r>
              <w:rPr>
                <w:sz w:val="20"/>
                <w:szCs w:val="20"/>
              </w:rPr>
              <w:t xml:space="preserve">Slower-than-expected EV penetration if fuel prices stabilise or battery costs remain elevated</w:t>
            </w:r>
          </w:p>
          <w:p>
            <w:pPr>
              <w:pStyle w:val="ListParagraph"/>
              <w:numPr>
                <w:ilvl w:val="0"/>
                <w:numId w:val="2"/>
              </w:numPr>
              <w:spacing w:after="80"/>
            </w:pPr>
            <w:r>
              <w:rPr>
                <w:sz w:val="20"/>
                <w:szCs w:val="20"/>
              </w:rPr>
              <w:t xml:space="preserve">Technology risk from fast-evolving charging standards (CCS2, GB/T, battery-swap formats)</w:t>
            </w:r>
          </w:p>
          <w:p>
            <w:pPr>
              <w:pStyle w:val="ListParagraph"/>
              <w:numPr>
                <w:ilvl w:val="0"/>
                <w:numId w:val="2"/>
              </w:numPr>
              <w:spacing w:after="80"/>
            </w:pPr>
            <w:r>
              <w:rPr>
                <w:sz w:val="20"/>
                <w:szCs w:val="20"/>
              </w:rPr>
              <w:t xml:space="preserve">Margin pressure if DISCOMs reduce commercial tariff concessions for EV charging loads</w:t>
            </w:r>
          </w:p>
        </w:tc>
      </w:tr>
    </w:tbl>
    <w:p>
      <w:pPr>
        <w:spacing w:before="200"/>
      </w:pPr>
    </w:p>
    <w:p>
      <w:r>
        <w:br w:type="page"/>
      </w:r>
    </w:p>
    <w:p>
      <w:pPr>
        <w:pStyle w:val="Heading1"/>
        <w:pBdr>
          <w:bottom w:val="single" w:color="1F3864" w:sz="8" w:space="4"/>
        </w:pBdr>
      </w:pPr>
      <w:r>
        <w:t xml:space="preserve">4. PESTLE Analysis (External Macro-Environmental Factors)</w:t>
      </w:r>
    </w:p>
    <w:p>
      <w:pPr>
        <w:spacing w:after="160" w:before="0"/>
        <w:jc w:val="both"/>
      </w:pPr>
      <w:r>
        <w:rPr>
          <w:sz w:val="22"/>
          <w:szCs w:val="22"/>
        </w:rPr>
        <w:t xml:space="preserve">PESTLE analysis evaluates six categories of external forces that lie largely outside the startup's direct control but materially influence its risk and opportunity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pPr>
              <w:jc w:val="center"/>
            </w:pPr>
            <w:r>
              <w:rPr>
                <w:b/>
                <w:bCs/>
                <w:color w:val="FFFFFF"/>
                <w:sz w:val="20"/>
                <w:szCs w:val="20"/>
              </w:rPr>
              <w:t xml:space="preserve">Factor</w:t>
            </w:r>
          </w:p>
        </w:tc>
        <w:tc>
          <w:tcPr>
            <w:tcW w:type="dxa" w:w="756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pPr>
              <w:jc w:val="center"/>
            </w:pPr>
            <w:r>
              <w:rPr>
                <w:b/>
                <w:bCs/>
                <w:color w:val="FFFFFF"/>
                <w:sz w:val="20"/>
                <w:szCs w:val="20"/>
              </w:rPr>
              <w:t xml:space="preserve">Analysis &amp; Strategic Implication</w:t>
            </w:r>
          </w:p>
        </w:tc>
      </w:tr>
      <w:tr>
        <w:tc>
          <w:tcPr>
            <w:tcW w:type="dxa" w:w="18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bCs/>
                <w:color w:val="1F3864"/>
                <w:sz w:val="20"/>
                <w:szCs w:val="20"/>
              </w:rPr>
              <w:t xml:space="preserve">Political</w:t>
            </w:r>
          </w:p>
        </w:tc>
        <w:tc>
          <w:tcPr>
            <w:tcW w:type="dxa" w:w="756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sz w:val="20"/>
                <w:szCs w:val="20"/>
              </w:rPr>
              <w:t xml:space="preserve">Continuation of the PM E-DRIVE scheme and state-level EV policies (capital subsidies, tax breaks on charging equipment) directly lowers hub set-up cost; however, scheme renewal cycles create medium-term policy risk.</w:t>
            </w:r>
          </w:p>
        </w:tc>
      </w:tr>
      <w:tr>
        <w:tc>
          <w:tcPr>
            <w:tcW w:type="dxa" w:w="18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bCs/>
                <w:color w:val="1F3864"/>
                <w:sz w:val="20"/>
                <w:szCs w:val="20"/>
              </w:rPr>
              <w:t xml:space="preserve">Economic</w:t>
            </w:r>
          </w:p>
        </w:tc>
        <w:tc>
          <w:tcPr>
            <w:tcW w:type="dxa" w:w="756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sz w:val="20"/>
                <w:szCs w:val="20"/>
              </w:rPr>
              <w:t xml:space="preserve">Rising fuel prices and a falling total-cost-of-ownership gap between ICE and EV two/three-wheelers continue to push adoption; a broader economic slowdown could delay fleet-operator capex decisions.</w:t>
            </w:r>
          </w:p>
        </w:tc>
      </w:tr>
      <w:tr>
        <w:tc>
          <w:tcPr>
            <w:tcW w:type="dxa" w:w="18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bCs/>
                <w:color w:val="1F3864"/>
                <w:sz w:val="20"/>
                <w:szCs w:val="20"/>
              </w:rPr>
              <w:t xml:space="preserve">Social</w:t>
            </w:r>
          </w:p>
        </w:tc>
        <w:tc>
          <w:tcPr>
            <w:tcW w:type="dxa" w:w="756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sz w:val="20"/>
                <w:szCs w:val="20"/>
              </w:rPr>
              <w:t xml:space="preserve">Younger, environmentally conscious consumers in Tier-2 cities increasingly prefer EVs; social acceptance is, however, still constrained by "range anxiety" and charging-availability perception.</w:t>
            </w:r>
          </w:p>
        </w:tc>
      </w:tr>
      <w:tr>
        <w:tc>
          <w:tcPr>
            <w:tcW w:type="dxa" w:w="18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bCs/>
                <w:color w:val="1F3864"/>
                <w:sz w:val="20"/>
                <w:szCs w:val="20"/>
              </w:rPr>
              <w:t xml:space="preserve">Technological</w:t>
            </w:r>
          </w:p>
        </w:tc>
        <w:tc>
          <w:tcPr>
            <w:tcW w:type="dxa" w:w="756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sz w:val="20"/>
                <w:szCs w:val="20"/>
              </w:rPr>
              <w:t xml:space="preserve">Falling battery costs and improving charge-time technology (fast DC charging, swap stations) expand the addressable market, but require continuous capex to avoid technology obsolescence.</w:t>
            </w:r>
          </w:p>
        </w:tc>
      </w:tr>
      <w:tr>
        <w:tc>
          <w:tcPr>
            <w:tcW w:type="dxa" w:w="18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b/>
                <w:bCs/>
                <w:color w:val="1F3864"/>
                <w:sz w:val="20"/>
                <w:szCs w:val="20"/>
              </w:rPr>
              <w:t xml:space="preserve">Legal</w:t>
            </w:r>
          </w:p>
        </w:tc>
        <w:tc>
          <w:tcPr>
            <w:tcW w:type="dxa" w:w="756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sz w:val="20"/>
                <w:szCs w:val="20"/>
              </w:rPr>
              <w:t xml:space="preserve">Evolving safety and grid-interconnection standards for charging infrastructure, plus emission-norm tightening for ICE vehicles, are net positive for adoption but raise compliance overhead.</w:t>
            </w:r>
          </w:p>
        </w:tc>
      </w:tr>
      <w:tr>
        <w:tc>
          <w:tcPr>
            <w:tcW w:type="dxa" w:w="18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b/>
                <w:bCs/>
                <w:color w:val="1F3864"/>
                <w:sz w:val="20"/>
                <w:szCs w:val="20"/>
              </w:rPr>
              <w:t xml:space="preserve">Environmental</w:t>
            </w:r>
          </w:p>
        </w:tc>
        <w:tc>
          <w:tcPr>
            <w:tcW w:type="dxa" w:w="756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sz w:val="20"/>
                <w:szCs w:val="20"/>
              </w:rPr>
              <w:t xml:space="preserve">Strong alignment with national decarbonisation and air-quality goals; growing investor and consumer preference for low-emission mobility infrastructure supports long-term demand.</w:t>
            </w:r>
          </w:p>
        </w:tc>
      </w:tr>
    </w:tbl>
    <w:p>
      <w:r>
        <w:br w:type="page"/>
      </w:r>
    </w:p>
    <w:p>
      <w:pPr>
        <w:pStyle w:val="Heading1"/>
        <w:pBdr>
          <w:bottom w:val="single" w:color="1F3864" w:sz="8" w:space="4"/>
        </w:pBdr>
      </w:pPr>
      <w:r>
        <w:t xml:space="preserve">5. Competitor Benchmarking</w:t>
      </w:r>
    </w:p>
    <w:p>
      <w:pPr>
        <w:spacing w:after="160" w:before="0"/>
        <w:jc w:val="both"/>
      </w:pPr>
      <w:r>
        <w:rPr>
          <w:sz w:val="22"/>
          <w:szCs w:val="22"/>
        </w:rPr>
        <w:t xml:space="preserve">Comparing ChargeNova against the three most relevant categories of incumbents sharpens the SWOT and PESTLE findings into a clearer view of where the startup can realistically compete.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1900"/>
        <w:gridCol w:w="1880"/>
        <w:gridCol w:w="1880"/>
      </w:tblGrid>
      <w:tr>
        <w:tc>
          <w:tcPr>
            <w:tcW w:type="dxa" w:w="240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pPr>
              <w:jc w:val="left"/>
            </w:pPr>
            <w:r>
              <w:rPr>
                <w:b/>
                <w:bCs/>
                <w:color w:val="FFFFFF"/>
                <w:sz w:val="20"/>
                <w:szCs w:val="20"/>
              </w:rPr>
              <w:t xml:space="preserve">Competitor</w:t>
            </w:r>
          </w:p>
        </w:tc>
        <w:tc>
          <w:tcPr>
            <w:tcW w:type="dxa" w:w="130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pPr>
              <w:jc w:val="left"/>
            </w:pPr>
            <w:r>
              <w:rPr>
                <w:b/>
                <w:bCs/>
                <w:color w:val="FFFFFF"/>
                <w:sz w:val="20"/>
                <w:szCs w:val="20"/>
              </w:rPr>
              <w:t xml:space="preserve">Pricing Tier</w:t>
            </w:r>
          </w:p>
        </w:tc>
        <w:tc>
          <w:tcPr>
            <w:tcW w:type="dxa" w:w="190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pPr>
              <w:jc w:val="left"/>
            </w:pPr>
            <w:r>
              <w:rPr>
                <w:b/>
                <w:bCs/>
                <w:color w:val="FFFFFF"/>
                <w:sz w:val="20"/>
                <w:szCs w:val="20"/>
              </w:rPr>
              <w:t xml:space="preserve">Market Reach</w:t>
            </w:r>
          </w:p>
        </w:tc>
        <w:tc>
          <w:tcPr>
            <w:tcW w:type="dxa" w:w="188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pPr>
              <w:jc w:val="left"/>
            </w:pPr>
            <w:r>
              <w:rPr>
                <w:b/>
                <w:bCs/>
                <w:color w:val="FFFFFF"/>
                <w:sz w:val="20"/>
                <w:szCs w:val="20"/>
              </w:rPr>
              <w:t xml:space="preserve">Strengths</w:t>
            </w:r>
          </w:p>
        </w:tc>
        <w:tc>
          <w:tcPr>
            <w:tcW w:type="dxa" w:w="1880"/>
            <w:tcBorders>
              <w:top w:val="single" w:color="BFBFBF" w:sz="2"/>
              <w:left w:val="single" w:color="BFBFBF" w:sz="2"/>
              <w:bottom w:val="single" w:color="BFBFBF" w:sz="2"/>
              <w:right w:val="single" w:color="BFBFBF" w:sz="2"/>
            </w:tcBorders>
            <w:shd w:fill="1F3864" w:val="clear"/>
            <w:tcMar>
              <w:top w:type="dxa" w:w="100"/>
              <w:left w:type="dxa" w:w="120"/>
              <w:bottom w:type="dxa" w:w="100"/>
              <w:right w:type="dxa" w:w="120"/>
            </w:tcMar>
            <w:vAlign w:val="center"/>
          </w:tcPr>
          <w:p>
            <w:pPr>
              <w:jc w:val="left"/>
            </w:pPr>
            <w:r>
              <w:rPr>
                <w:b/>
                <w:bCs/>
                <w:color w:val="FFFFFF"/>
                <w:sz w:val="20"/>
                <w:szCs w:val="20"/>
              </w:rPr>
              <w:t xml:space="preserve">Weaknesses</w:t>
            </w:r>
          </w:p>
        </w:tc>
      </w:tr>
      <w:tr>
        <w:tc>
          <w:tcPr>
            <w:tcW w:type="dxa" w:w="24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sz w:val="18"/>
                <w:szCs w:val="18"/>
              </w:rPr>
              <w:t xml:space="preserve">Tata Power EZ Charge</w:t>
            </w:r>
          </w:p>
        </w:tc>
        <w:tc>
          <w:tcPr>
            <w:tcW w:type="dxa" w:w="13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sz w:val="18"/>
                <w:szCs w:val="18"/>
              </w:rPr>
              <w:t xml:space="preserve">Premium</w:t>
            </w:r>
          </w:p>
        </w:tc>
        <w:tc>
          <w:tcPr>
            <w:tcW w:type="dxa" w:w="19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sz w:val="18"/>
                <w:szCs w:val="18"/>
              </w:rPr>
              <w:t xml:space="preserve">Pan-India, Metro-heavy</w:t>
            </w:r>
          </w:p>
        </w:tc>
        <w:tc>
          <w:tcPr>
            <w:tcW w:type="dxa" w:w="188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sz w:val="18"/>
                <w:szCs w:val="18"/>
              </w:rPr>
              <w:t xml:space="preserve">Strong brand, capital backing, OEM tie-ups</w:t>
            </w:r>
          </w:p>
        </w:tc>
        <w:tc>
          <w:tcPr>
            <w:tcW w:type="dxa" w:w="188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sz w:val="18"/>
                <w:szCs w:val="18"/>
              </w:rPr>
              <w:t xml:space="preserve">Limited Tier-2/3 presence, premium pricing</w:t>
            </w:r>
          </w:p>
        </w:tc>
      </w:tr>
      <w:tr>
        <w:tc>
          <w:tcPr>
            <w:tcW w:type="dxa" w:w="24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sz w:val="18"/>
                <w:szCs w:val="18"/>
              </w:rPr>
              <w:t xml:space="preserve">Statiq</w:t>
            </w:r>
          </w:p>
        </w:tc>
        <w:tc>
          <w:tcPr>
            <w:tcW w:type="dxa" w:w="13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sz w:val="18"/>
                <w:szCs w:val="18"/>
              </w:rPr>
              <w:t xml:space="preserve">Mid</w:t>
            </w:r>
          </w:p>
        </w:tc>
        <w:tc>
          <w:tcPr>
            <w:tcW w:type="dxa" w:w="19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sz w:val="18"/>
                <w:szCs w:val="18"/>
              </w:rPr>
              <w:t xml:space="preserve">Multi-city, asset-light</w:t>
            </w:r>
          </w:p>
        </w:tc>
        <w:tc>
          <w:tcPr>
            <w:tcW w:type="dxa" w:w="188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sz w:val="18"/>
                <w:szCs w:val="18"/>
              </w:rPr>
              <w:t xml:space="preserve">Wide network via partner sites, app ecosystem</w:t>
            </w:r>
          </w:p>
        </w:tc>
        <w:tc>
          <w:tcPr>
            <w:tcW w:type="dxa" w:w="188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sz w:val="18"/>
                <w:szCs w:val="18"/>
              </w:rPr>
              <w:t xml:space="preserve">Thinner margins, reliant on partner site uptime</w:t>
            </w:r>
          </w:p>
        </w:tc>
      </w:tr>
      <w:tr>
        <w:tc>
          <w:tcPr>
            <w:tcW w:type="dxa" w:w="24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sz w:val="18"/>
                <w:szCs w:val="18"/>
              </w:rPr>
              <w:t xml:space="preserve">ChargeZone</w:t>
            </w:r>
          </w:p>
        </w:tc>
        <w:tc>
          <w:tcPr>
            <w:tcW w:type="dxa" w:w="13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sz w:val="18"/>
                <w:szCs w:val="18"/>
              </w:rPr>
              <w:t xml:space="preserve">Mid-Premium</w:t>
            </w:r>
          </w:p>
        </w:tc>
        <w:tc>
          <w:tcPr>
            <w:tcW w:type="dxa" w:w="190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sz w:val="18"/>
                <w:szCs w:val="18"/>
              </w:rPr>
              <w:t xml:space="preserve">Highway corridors, metros</w:t>
            </w:r>
          </w:p>
        </w:tc>
        <w:tc>
          <w:tcPr>
            <w:tcW w:type="dxa" w:w="188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sz w:val="18"/>
                <w:szCs w:val="18"/>
              </w:rPr>
              <w:t xml:space="preserve">Strong highway corridor coverage</w:t>
            </w:r>
          </w:p>
        </w:tc>
        <w:tc>
          <w:tcPr>
            <w:tcW w:type="dxa" w:w="1880"/>
            <w:tcBorders>
              <w:top w:val="single" w:color="BFBFBF" w:sz="2"/>
              <w:left w:val="single" w:color="BFBFBF" w:sz="2"/>
              <w:bottom w:val="single" w:color="BFBFBF" w:sz="2"/>
              <w:right w:val="single" w:color="BFBFBF" w:sz="2"/>
            </w:tcBorders>
            <w:shd w:fill="FFFFFF" w:val="clear"/>
            <w:tcMar>
              <w:top w:type="dxa" w:w="100"/>
              <w:left w:type="dxa" w:w="120"/>
              <w:bottom w:type="dxa" w:w="100"/>
              <w:right w:type="dxa" w:w="120"/>
            </w:tcMar>
            <w:vAlign w:val="center"/>
          </w:tcPr>
          <w:p>
            <w:pPr>
              <w:jc w:val="left"/>
            </w:pPr>
            <w:r>
              <w:rPr>
                <w:sz w:val="18"/>
                <w:szCs w:val="18"/>
              </w:rPr>
              <w:t xml:space="preserve">Less focus on dense Tier-2 city micro-mobility</w:t>
            </w:r>
          </w:p>
        </w:tc>
      </w:tr>
      <w:tr>
        <w:tc>
          <w:tcPr>
            <w:tcW w:type="dxa" w:w="24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sz w:val="18"/>
                <w:szCs w:val="18"/>
              </w:rPr>
              <w:t xml:space="preserve">Battery-swap players (e.g., regional 2W swap networks)</w:t>
            </w:r>
          </w:p>
        </w:tc>
        <w:tc>
          <w:tcPr>
            <w:tcW w:type="dxa" w:w="13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sz w:val="18"/>
                <w:szCs w:val="18"/>
              </w:rPr>
              <w:t xml:space="preserve">Low-Mid</w:t>
            </w:r>
          </w:p>
        </w:tc>
        <w:tc>
          <w:tcPr>
            <w:tcW w:type="dxa" w:w="190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sz w:val="18"/>
                <w:szCs w:val="18"/>
              </w:rPr>
              <w:t xml:space="preserve">Two-wheeler dense urban clusters</w:t>
            </w:r>
          </w:p>
        </w:tc>
        <w:tc>
          <w:tcPr>
            <w:tcW w:type="dxa" w:w="188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sz w:val="18"/>
                <w:szCs w:val="18"/>
              </w:rPr>
              <w:t xml:space="preserve">Very fast turnaround, low charging anxiety</w:t>
            </w:r>
          </w:p>
        </w:tc>
        <w:tc>
          <w:tcPr>
            <w:tcW w:type="dxa" w:w="1880"/>
            <w:tcBorders>
              <w:top w:val="single" w:color="BFBFBF" w:sz="2"/>
              <w:left w:val="single" w:color="BFBFBF" w:sz="2"/>
              <w:bottom w:val="single" w:color="BFBFBF" w:sz="2"/>
              <w:right w:val="single" w:color="BFBFBF" w:sz="2"/>
            </w:tcBorders>
            <w:shd w:fill="F2F2F2" w:val="clear"/>
            <w:tcMar>
              <w:top w:type="dxa" w:w="100"/>
              <w:left w:type="dxa" w:w="120"/>
              <w:bottom w:type="dxa" w:w="100"/>
              <w:right w:type="dxa" w:w="120"/>
            </w:tcMar>
            <w:vAlign w:val="center"/>
          </w:tcPr>
          <w:p>
            <w:pPr>
              <w:jc w:val="left"/>
            </w:pPr>
            <w:r>
              <w:rPr>
                <w:sz w:val="18"/>
                <w:szCs w:val="18"/>
              </w:rPr>
              <w:t xml:space="preserve">Format lock-in, limited to compatible vehicle models</w:t>
            </w:r>
          </w:p>
        </w:tc>
      </w:tr>
    </w:tbl>
    <w:p>
      <w:pPr>
        <w:spacing w:before="200"/>
      </w:pPr>
      <w:r>
        <w:rPr>
          <w:b/>
          <w:bCs/>
          <w:sz w:val="21"/>
          <w:szCs w:val="21"/>
        </w:rPr>
        <w:t xml:space="preserve">Positioning takeaway: </w:t>
      </w:r>
      <w:r>
        <w:rPr>
          <w:sz w:val="21"/>
          <w:szCs w:val="21"/>
        </w:rPr>
        <w:t xml:space="preserve">ChargeNova's most defensible space is dense Tier-2 city two/three-wheeler charging and swap - a segment where national players are present but not dominant, and where local site-selection knowledge is a genuine advantage.</w:t>
      </w:r>
    </w:p>
    <w:p>
      <w:r>
        <w:br w:type="page"/>
      </w:r>
    </w:p>
    <w:p>
      <w:pPr>
        <w:pStyle w:val="Heading1"/>
        <w:pBdr>
          <w:bottom w:val="single" w:color="1F3864" w:sz="8" w:space="4"/>
        </w:pBdr>
      </w:pPr>
      <w:r>
        <w:t xml:space="preserve">6. Risk Assessment &amp; Strategic Recommendations</w:t>
      </w:r>
    </w:p>
    <w:p>
      <w:pPr>
        <w:pStyle w:val="Heading2"/>
      </w:pPr>
      <w:r>
        <w:t xml:space="preserve">6.1 Key Risks Identified</w:t>
      </w:r>
    </w:p>
    <w:p>
      <w:pPr>
        <w:pStyle w:val="ListParagraph"/>
        <w:numPr>
          <w:ilvl w:val="0"/>
          <w:numId w:val="2"/>
        </w:numPr>
        <w:spacing w:after="90"/>
      </w:pPr>
      <w:r>
        <w:rPr>
          <w:sz w:val="21"/>
          <w:szCs w:val="21"/>
        </w:rPr>
        <w:t xml:space="preserve">Capital intensity risk - high per-site build cost relative to early-stage funding availability</w:t>
      </w:r>
    </w:p>
    <w:p>
      <w:pPr>
        <w:pStyle w:val="ListParagraph"/>
        <w:numPr>
          <w:ilvl w:val="0"/>
          <w:numId w:val="2"/>
        </w:numPr>
        <w:spacing w:after="90"/>
      </w:pPr>
      <w:r>
        <w:rPr>
          <w:sz w:val="21"/>
          <w:szCs w:val="21"/>
        </w:rPr>
        <w:t xml:space="preserve">Policy continuity risk - dependence on subsidy schemes that are subject to budgetary revision</w:t>
      </w:r>
    </w:p>
    <w:p>
      <w:pPr>
        <w:pStyle w:val="ListParagraph"/>
        <w:numPr>
          <w:ilvl w:val="0"/>
          <w:numId w:val="2"/>
        </w:numPr>
        <w:spacing w:after="90"/>
      </w:pPr>
      <w:r>
        <w:rPr>
          <w:sz w:val="21"/>
          <w:szCs w:val="21"/>
        </w:rPr>
        <w:t xml:space="preserve">Competitive risk - well-funded national players expanding into Tier-2 markets</w:t>
      </w:r>
    </w:p>
    <w:p>
      <w:pPr>
        <w:pStyle w:val="ListParagraph"/>
        <w:numPr>
          <w:ilvl w:val="0"/>
          <w:numId w:val="2"/>
        </w:numPr>
        <w:spacing w:after="90"/>
      </w:pPr>
      <w:r>
        <w:rPr>
          <w:sz w:val="21"/>
          <w:szCs w:val="21"/>
        </w:rPr>
        <w:t xml:space="preserve">Utilisation risk - charging demand maturing slower than infrastructure roll-out in a given city</w:t>
      </w:r>
    </w:p>
    <w:p>
      <w:pPr>
        <w:pStyle w:val="Heading2"/>
      </w:pPr>
      <w:r>
        <w:t xml:space="preserve">6.2 Strategic Recommendations</w:t>
      </w:r>
    </w:p>
    <w:p>
      <w:pPr>
        <w:pStyle w:val="ListParagraph"/>
        <w:numPr>
          <w:ilvl w:val="0"/>
          <w:numId w:val="2"/>
        </w:numPr>
        <w:spacing w:after="90"/>
      </w:pPr>
      <w:r>
        <w:rPr>
          <w:sz w:val="21"/>
          <w:szCs w:val="21"/>
        </w:rPr>
        <w:t xml:space="preserve">Prioritise two- and three-wheeler fast-charging and battery-swap formats in the next 12-18 months, where Tier-2 city demand is growing fastest and competitive intensity is lowest.</w:t>
      </w:r>
    </w:p>
    <w:p>
      <w:pPr>
        <w:pStyle w:val="ListParagraph"/>
        <w:numPr>
          <w:ilvl w:val="0"/>
          <w:numId w:val="2"/>
        </w:numPr>
        <w:spacing w:after="90"/>
      </w:pPr>
      <w:r>
        <w:rPr>
          <w:sz w:val="21"/>
          <w:szCs w:val="21"/>
        </w:rPr>
        <w:t xml:space="preserve">Lock in 3-5 year power-supply agreements with regional DISCOMs to de-risk the commercial tariff assumption underpinning unit economics.</w:t>
      </w:r>
    </w:p>
    <w:p>
      <w:pPr>
        <w:pStyle w:val="ListParagraph"/>
        <w:numPr>
          <w:ilvl w:val="0"/>
          <w:numId w:val="2"/>
        </w:numPr>
        <w:spacing w:after="90"/>
      </w:pPr>
      <w:r>
        <w:rPr>
          <w:sz w:val="21"/>
          <w:szCs w:val="21"/>
        </w:rPr>
        <w:t xml:space="preserve">Pursue anchor B2B contracts with e-commerce and food-delivery fleet operators to convert variable retail demand into predictable, contracted utilisation.</w:t>
      </w:r>
    </w:p>
    <w:p>
      <w:pPr>
        <w:pStyle w:val="ListParagraph"/>
        <w:numPr>
          <w:ilvl w:val="0"/>
          <w:numId w:val="2"/>
        </w:numPr>
        <w:spacing w:after="90"/>
      </w:pPr>
      <w:r>
        <w:rPr>
          <w:sz w:val="21"/>
          <w:szCs w:val="21"/>
        </w:rPr>
        <w:t xml:space="preserve">Apply for available central and state capital-subsidy schemes before committing further owned capital, to preserve cash runway through the next 18 months.</w:t>
      </w:r>
    </w:p>
    <w:p>
      <w:pPr>
        <w:pStyle w:val="ListParagraph"/>
        <w:numPr>
          <w:ilvl w:val="0"/>
          <w:numId w:val="2"/>
        </w:numPr>
        <w:spacing w:after="90"/>
      </w:pPr>
      <w:r>
        <w:rPr>
          <w:sz w:val="21"/>
          <w:szCs w:val="21"/>
        </w:rPr>
        <w:t xml:space="preserve">Build a second, smaller revenue line in fleet energy-management SaaS (route + charge scheduling) to improve gross margin mix beyond pure hardware utilisation.</w:t>
      </w:r>
    </w:p>
    <w:p>
      <w:pPr>
        <w:pStyle w:val="ListParagraph"/>
        <w:numPr>
          <w:ilvl w:val="0"/>
          <w:numId w:val="2"/>
        </w:numPr>
        <w:spacing w:after="90"/>
      </w:pPr>
      <w:r>
        <w:rPr>
          <w:sz w:val="21"/>
          <w:szCs w:val="21"/>
        </w:rPr>
        <w:t xml:space="preserve">Stage city roll-out using a data-driven site-selection model (traffic density, EV registration growth, DISCOM tariff slabs) rather than opportunistic real-estate availability.</w:t>
      </w:r>
    </w:p>
    <w:p>
      <w:pPr>
        <w:pStyle w:val="Heading1"/>
        <w:pBdr>
          <w:bottom w:val="single" w:color="1F3864" w:sz="8" w:space="4"/>
        </w:pBdr>
      </w:pPr>
      <w:r>
        <w:t xml:space="preserve">7. Growth Outlook &amp; Conclusion</w:t>
      </w:r>
    </w:p>
    <w:p>
      <w:pPr>
        <w:spacing w:after="160" w:before="0"/>
        <w:jc w:val="both"/>
      </w:pPr>
      <w:r>
        <w:rPr>
          <w:sz w:val="22"/>
          <w:szCs w:val="22"/>
        </w:rPr>
        <w:t xml:space="preserve">Taken together, the SWOT and PESTLE findings support a cautiously positive outlook for ChargeNova Mobility. The startup idea sits at the intersection of a genuine infrastructure gap, supportive (if not fully certain) policy tailwinds, and a fast-growing but not-yet-saturated customer segment in two- and three-wheeler EV charging. The principal execution risks - capital intensity, policy dependence, and competitive response from national players - are manageable through staged, data-driven city roll-out, anchor B2B contracts, and disciplined power-cost management.</w:t>
      </w:r>
    </w:p>
    <w:p>
      <w:pPr>
        <w:spacing w:after="160" w:before="0"/>
        <w:jc w:val="both"/>
      </w:pPr>
      <w:r>
        <w:rPr>
          <w:sz w:val="22"/>
          <w:szCs w:val="22"/>
        </w:rPr>
        <w:t xml:space="preserve">This case study illustrates the broader value of pairing SWOT and PESTLE analysis before launch: it converts an appealing idea into a structured, defensible business case that founders, consultants, and investors can stress-test before capital is committed.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595959"/>
        <w:sz w:val="16"/>
        <w:szCs w:val="16"/>
      </w:rPr>
      <w:t xml:space="preserve">SWOT &amp; PESTLE Analysis for a Startup Idea</w:t>
    </w:r>
    <w:r>
      <w:rPr>
        <w:i/>
        <w:iCs/>
        <w:color w:val="595959"/>
        <w:sz w:val="16"/>
        <w:szCs w:val="16"/>
      </w:rPr>
      <w:t xml:space="preserve">	ChargeNova Mobility Case Study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40" w:before="220"/>
      <w:outlineLvl w:val="1"/>
    </w:pPr>
    <w:rPr>
      <w:rFonts w:ascii="Calibri" w:cs="Calibri" w:eastAsia="Calibri" w:hAnsi="Calibri"/>
      <w:b/>
      <w:bCs/>
      <w:color w:val="B8860B"/>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SWOT &amp; PESTLE Analysis for a Startup Idea</dc:title>
  <dc:creator>Finance Veda Research</dc:creator>
  <cp:lastModifiedBy>Un-named</cp:lastModifiedBy>
  <cp:revision>1</cp:revision>
  <dcterms:created xsi:type="dcterms:W3CDTF">2026-06-17T10:31:43.033Z</dcterms:created>
  <dcterms:modified xsi:type="dcterms:W3CDTF">2026-06-17T10:31:43.033Z</dcterms:modified>
</cp:coreProperties>
</file>

<file path=docProps/custom.xml><?xml version="1.0" encoding="utf-8"?>
<Properties xmlns="http://schemas.openxmlformats.org/officeDocument/2006/custom-properties" xmlns:vt="http://schemas.openxmlformats.org/officeDocument/2006/docPropsVTypes"/>
</file>