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F5D50"/>
          <w:sz w:val="56"/>
          <w:szCs w:val="56"/>
        </w:rPr>
        <w:t xml:space="preserve">MANUAL DE USUARIO</w:t>
      </w:r>
    </w:p>
    <w:p>
      <w:pPr>
        <w:spacing w:after="100" w:before="200"/>
        <w:jc w:val="center"/>
      </w:pPr>
      <w:r>
        <w:rPr>
          <w:b/>
          <w:bCs/>
          <w:color w:val="1F2937"/>
          <w:sz w:val="40"/>
          <w:szCs w:val="40"/>
        </w:rPr>
        <w:t xml:space="preserve">GestForce</w:t>
      </w:r>
    </w:p>
    <w:p>
      <w:pPr>
        <w:spacing w:after="800"/>
        <w:jc w:val="center"/>
      </w:pPr>
      <w:r>
        <w:rPr>
          <w:i/>
          <w:iCs/>
          <w:color w:val="6B7280"/>
          <w:sz w:val="24"/>
          <w:szCs w:val="24"/>
        </w:rPr>
        <w:t xml:space="preserve">Sistema de gestión empresarial multiempresa</w:t>
      </w:r>
    </w:p>
    <w:p>
      <w:pPr>
        <w:spacing w:after="80"/>
        <w:jc w:val="center"/>
      </w:pPr>
      <w:r>
        <w:rPr>
          <w:b/>
          <w:bCs/>
          <w:color w:val="B45309"/>
          <w:sz w:val="20"/>
          <w:szCs w:val="20"/>
        </w:rPr>
        <w:t xml:space="preserve">Versión preliminar — documento en construcción</w:t>
      </w:r>
    </w:p>
    <w:p>
      <w:pPr>
        <w:spacing w:after="40"/>
        <w:jc w:val="center"/>
      </w:pPr>
      <w:r>
        <w:rPr>
          <w:color w:val="6B7280"/>
          <w:sz w:val="18"/>
          <w:szCs w:val="18"/>
        </w:rPr>
        <w:t xml:space="preserve">Este manual se actualiza a medida que cada módulo termina su proceso de pruebas.</w:t>
      </w:r>
    </w:p>
    <w:p>
      <w:pPr>
        <w:spacing w:before="600"/>
        <w:jc w:val="center"/>
      </w:pPr>
      <w:r>
        <w:rPr>
          <w:color w:val="6B7280"/>
          <w:sz w:val="20"/>
          <w:szCs w:val="20"/>
        </w:rPr>
        <w:t xml:space="preserve">15 de septiembre de 2026</w:t>
      </w:r>
    </w:p>
    <w:p>
      <w:r>
        <w:br w:type="page"/>
      </w:r>
    </w:p>
    <w:p>
      <w:pPr>
        <w:pStyle w:val="Heading1"/>
        <w:spacing w:after="240" w:before="480"/>
      </w:pPr>
      <w:r>
        <w:t xml:space="preserve">Estado de este manual</w:t>
      </w:r>
    </w:p>
    <w:p>
      <w:pPr>
        <w:spacing w:after="160"/>
      </w:pPr>
      <w:r>
        <w:t xml:space="preserve">Este documento se construye módulo por módulo, en la medida en que cada uno termina su ronda de pruebas funcionales. Solo se documentan flujos que ya fueron verificados directamente dentro de la aplicación. La siguiente tabla resume qué tan completo está cada módulo al momento de esta versión.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2F5D50" w:color="auto" w:val="clear"/>
            <w:tcMar>
              <w:top w:type="dxa" w:w="100"/>
              <w:left w:type="dxa" w:w="120"/>
              <w:bottom w:type="dxa" w:w="100"/>
              <w:right w:type="dxa" w:w="120"/>
            </w:tcMar>
          </w:tcPr>
          <w:p>
            <w:r>
              <w:rPr>
                <w:b/>
                <w:bCs/>
                <w:color w:val="FFFFFF"/>
              </w:rPr>
              <w:t xml:space="preserve">Módulo</w:t>
            </w:r>
          </w:p>
        </w:tc>
        <w:tc>
          <w:tcPr>
            <w:tcW w:type="dxa" w:w="3000"/>
            <w:shd w:fill="2F5D50" w:color="auto" w:val="clear"/>
            <w:tcMar>
              <w:top w:type="dxa" w:w="100"/>
              <w:left w:type="dxa" w:w="120"/>
              <w:bottom w:type="dxa" w:w="100"/>
              <w:right w:type="dxa" w:w="120"/>
            </w:tcMar>
          </w:tcPr>
          <w:p>
            <w:r>
              <w:rPr>
                <w:b/>
                <w:bCs/>
                <w:color w:val="FFFFFF"/>
              </w:rPr>
              <w:t xml:space="preserve">Estado</w:t>
            </w:r>
          </w:p>
        </w:tc>
      </w:tr>
      <w:tr>
        <w:tc>
          <w:tcPr>
            <w:tcW w:type="dxa" w:w="7000"/>
            <w:tcMar>
              <w:top w:type="dxa" w:w="80"/>
              <w:left w:type="dxa" w:w="120"/>
              <w:bottom w:type="dxa" w:w="80"/>
              <w:right w:type="dxa" w:w="120"/>
            </w:tcMar>
          </w:tcPr>
          <w:p>
            <w:r>
              <w:t xml:space="preserve">Primeros pasos y navegación</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Equipo y usuarios</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Suscripción y pagos</w:t>
            </w:r>
          </w:p>
        </w:tc>
        <w:tc>
          <w:tcPr>
            <w:tcW w:type="dxa" w:w="3000"/>
            <w:tcMar>
              <w:top w:type="dxa" w:w="80"/>
              <w:left w:type="dxa" w:w="120"/>
              <w:bottom w:type="dxa" w:w="80"/>
              <w:right w:type="dxa" w:w="120"/>
            </w:tcMar>
          </w:tcPr>
          <w:p>
            <w:r>
              <w:rPr>
                <w:b/>
                <w:bCs/>
                <w:color w:val="B45309"/>
              </w:rPr>
              <w:t xml:space="preserve">Verificado (pago real pendiente)</w:t>
            </w:r>
          </w:p>
        </w:tc>
      </w:tr>
      <w:tr>
        <w:tc>
          <w:tcPr>
            <w:tcW w:type="dxa" w:w="7000"/>
            <w:tcMar>
              <w:top w:type="dxa" w:w="80"/>
              <w:left w:type="dxa" w:w="120"/>
              <w:bottom w:type="dxa" w:w="80"/>
              <w:right w:type="dxa" w:w="120"/>
            </w:tcMar>
          </w:tcPr>
          <w:p>
            <w:r>
              <w:t xml:space="preserve">Ventas</w:t>
            </w:r>
          </w:p>
        </w:tc>
        <w:tc>
          <w:tcPr>
            <w:tcW w:type="dxa" w:w="3000"/>
            <w:tcMar>
              <w:top w:type="dxa" w:w="80"/>
              <w:left w:type="dxa" w:w="120"/>
              <w:bottom w:type="dxa" w:w="80"/>
              <w:right w:type="dxa" w:w="120"/>
            </w:tcMar>
          </w:tcPr>
          <w:p>
            <w:r>
              <w:rPr>
                <w:b/>
                <w:bCs/>
                <w:color w:val="B45309"/>
              </w:rPr>
              <w:t xml:space="preserve">Verificado (envío de correo pendiente)</w:t>
            </w:r>
          </w:p>
        </w:tc>
      </w:tr>
      <w:tr>
        <w:tc>
          <w:tcPr>
            <w:tcW w:type="dxa" w:w="7000"/>
            <w:tcMar>
              <w:top w:type="dxa" w:w="80"/>
              <w:left w:type="dxa" w:w="120"/>
              <w:bottom w:type="dxa" w:w="80"/>
              <w:right w:type="dxa" w:w="120"/>
            </w:tcMar>
          </w:tcPr>
          <w:p>
            <w:r>
              <w:t xml:space="preserve">Compras</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Inventario</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Facturación electrónica (DIAN)</w:t>
            </w:r>
          </w:p>
        </w:tc>
        <w:tc>
          <w:tcPr>
            <w:tcW w:type="dxa" w:w="3000"/>
            <w:tcMar>
              <w:top w:type="dxa" w:w="80"/>
              <w:left w:type="dxa" w:w="120"/>
              <w:bottom w:type="dxa" w:w="80"/>
              <w:right w:type="dxa" w:w="120"/>
            </w:tcMar>
          </w:tcPr>
          <w:p>
            <w:r>
              <w:rPr>
                <w:b/>
                <w:bCs/>
                <w:color w:val="991B1B"/>
              </w:rPr>
              <w:t xml:space="preserve">Pendiente de pruebas</w:t>
            </w:r>
          </w:p>
        </w:tc>
      </w:tr>
      <w:tr>
        <w:tc>
          <w:tcPr>
            <w:tcW w:type="dxa" w:w="7000"/>
            <w:tcMar>
              <w:top w:type="dxa" w:w="80"/>
              <w:left w:type="dxa" w:w="120"/>
              <w:bottom w:type="dxa" w:w="80"/>
              <w:right w:type="dxa" w:w="120"/>
            </w:tcMar>
          </w:tcPr>
          <w:p>
            <w:r>
              <w:t xml:space="preserve">Nómina, Contabilidad, Finanzas</w:t>
            </w:r>
          </w:p>
        </w:tc>
        <w:tc>
          <w:tcPr>
            <w:tcW w:type="dxa" w:w="3000"/>
            <w:tcMar>
              <w:top w:type="dxa" w:w="80"/>
              <w:left w:type="dxa" w:w="120"/>
              <w:bottom w:type="dxa" w:w="80"/>
              <w:right w:type="dxa" w:w="120"/>
            </w:tcMar>
          </w:tcPr>
          <w:p>
            <w:r>
              <w:rPr>
                <w:b/>
                <w:bCs/>
                <w:color w:val="991B1B"/>
              </w:rPr>
              <w:t xml:space="preserve">Pendiente de pruebas</w:t>
            </w:r>
          </w:p>
        </w:tc>
      </w:tr>
    </w:tbl>
    <w:p>
      <w:pPr>
        <w:spacing w:before="200"/>
      </w:pPr>
    </w:p>
    <w:p>
      <w:pPr>
        <w:pBdr>
          <w:left w:val="single" w:color="2F5D50" w:sz="18" w:space="12"/>
        </w:pBdr>
        <w:spacing w:after="200" w:before="120"/>
        <w:ind w:left="200"/>
      </w:pPr>
      <w:r>
        <w:rPr>
          <w:b/>
          <w:bCs/>
          <w:color w:val="2F5D50"/>
        </w:rPr>
        <w:t xml:space="preserve">Nota: </w:t>
      </w:r>
      <w:r>
        <w:t xml:space="preserve">Los apartados marcados como "pago real pendiente" o "envío de correo pendiente" describen la pantalla y el flujo tal como se ve hoy; falta únicamente confirmar el resultado final de una acción con consecuencias reales (un cobro, un correo enviado de verdad), algo que debe hacer el propio usuario.</w:t>
      </w:r>
    </w:p>
    <w:p>
      <w:r>
        <w:br w:type="page"/>
      </w:r>
    </w:p>
    <w:p>
      <w:pPr>
        <w:pStyle w:val="Heading1"/>
        <w:spacing w:after="240" w:before="4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Introducción</w:t>
      </w:r>
    </w:p>
    <w:p>
      <w:pPr>
        <w:spacing w:after="160"/>
      </w:pPr>
      <w:r>
        <w:t xml:space="preserve">GestForce es un sistema de gestión empresarial (ERP) en la nube, pensado para que una misma cuenta pueda administrar varias empresas ("multiempresa"). Incluye módulos de Ventas, Compras, Inventario, Nómina, Contabilidad, Finanzas, gestión de Equipo y Suscripción, con soporte para facturación electrónica ante la DIAN.</w:t>
      </w:r>
    </w:p>
    <w:p>
      <w:pPr>
        <w:spacing w:after="160"/>
      </w:pPr>
      <w:r>
        <w:t xml:space="preserve">Cada empresa dentro de la cuenta tiene su propio catálogo de productos, clientes, proveedores, movimientos de inventario y usuarios con acceso. Un mismo usuario puede pertenecer a varias empresas con distintos roles (por ejemplo, Administrador en una y Vendedor en otra).</w:t>
      </w:r>
    </w:p>
    <w:p>
      <w:pPr>
        <w:pStyle w:val="Heading2"/>
        <w:spacing w:after="160" w:before="320"/>
      </w:pPr>
      <w:r>
        <w:t xml:space="preserve">Cómo usar este manual</w:t>
      </w:r>
    </w:p>
    <w:p>
      <w:pPr>
        <w:spacing w:after="160"/>
      </w:pPr>
      <w:r>
        <w:t xml:space="preserve">Cada capítulo corresponde a un módulo del menú lateral y describe los pasos tal como se comprobó que funcionan dentro de la aplicación, en orden. Cuando un paso todavía no se ha confirmado del todo (por ejemplo, porque implica un cobro real o el envío real de un correo), aparece marcado con un recuadro de "Pendiente de verificación final".</w:t>
      </w:r>
    </w:p>
    <w:p>
      <w:pPr>
        <w:pStyle w:val="Heading1"/>
        <w:spacing w:after="240" w:before="480"/>
      </w:pPr>
      <w:r>
        <w:t xml:space="preserve">2. Primeros pasos</w:t>
      </w:r>
    </w:p>
    <w:p>
      <w:pPr>
        <w:pStyle w:val="Heading2"/>
        <w:spacing w:after="160" w:before="320"/>
      </w:pPr>
      <w:r>
        <w:t xml:space="preserve">2.1 Inicio de sesión</w:t>
      </w:r>
    </w:p>
    <w:p>
      <w:pPr>
        <w:spacing w:after="160"/>
      </w:pPr>
      <w:r>
        <w:t xml:space="preserve">Ingresa a GestForce con tu correo y contraseña. Si fuiste invitado por un administrador, revisa tu correo: recibirás un enlace de invitación que te lleva a una pantalla para crear tu contraseña antes de poder iniciar sesión (ver "Equipo y usuarios").</w:t>
      </w:r>
    </w:p>
    <w:p>
      <w:pPr>
        <w:pStyle w:val="Heading2"/>
        <w:spacing w:after="160" w:before="320"/>
      </w:pPr>
      <w:r>
        <w:t xml:space="preserve">2.2 Selección de empresa</w:t>
      </w:r>
    </w:p>
    <w:p>
      <w:pPr>
        <w:spacing w:after="160"/>
      </w:pPr>
      <w:r>
        <w:t xml:space="preserve">Si tu usuario tiene acceso a más de una empresa, al iniciar sesión verás la pantalla "Selecciona tu empresa" con la lista de empresas disponibles y el rol que tienes en cada una. Elige la empresa con la que quieres trabajar; puedes cambiar de empresa en cualquier momento desde el botón con el nombre de la empresa activa, en la parte superior del menú lateral ("Cambiar empresa").</w:t>
      </w:r>
    </w:p>
    <w:p>
      <w:pPr>
        <w:pBdr>
          <w:left w:val="single" w:color="2F5D50" w:sz="18" w:space="12"/>
        </w:pBdr>
        <w:spacing w:after="200" w:before="120"/>
        <w:ind w:left="200"/>
      </w:pPr>
      <w:r>
        <w:rPr>
          <w:b/>
          <w:bCs/>
          <w:color w:val="2F5D50"/>
        </w:rPr>
        <w:t xml:space="preserve">Nota: </w:t>
      </w:r>
      <w:r>
        <w:t xml:space="preserve">Todo lo que veas y puedas hacer en el sistema (productos, clientes, facturas, etc.) corresponde siempre a la empresa activa en ese momento. Si cambias de empresa, cambia también toda la información que ves.</w:t>
      </w:r>
    </w:p>
    <w:p>
      <w:pPr>
        <w:pStyle w:val="Heading2"/>
        <w:spacing w:after="160" w:before="320"/>
      </w:pPr>
      <w:r>
        <w:t xml:space="preserve">2.3 Navegación general</w:t>
      </w:r>
    </w:p>
    <w:p>
      <w:pPr>
        <w:spacing w:after="160"/>
      </w:pPr>
      <w:r>
        <w:t xml:space="preserve">El menú lateral izquierdo da acceso a los módulos principales:</w:t>
      </w:r>
    </w:p>
    <w:p>
      <w:pPr>
        <w:pStyle w:val="ListParagraph"/>
        <w:numPr>
          <w:ilvl w:val="0"/>
          <w:numId w:val="2"/>
        </w:numPr>
        <w:spacing w:after="80"/>
      </w:pPr>
      <w:r>
        <w:t xml:space="preserve">Ventas — cotizaciones, facturas, recibos y cuentas por cobrar.</w:t>
      </w:r>
    </w:p>
    <w:p>
      <w:pPr>
        <w:pStyle w:val="ListParagraph"/>
        <w:numPr>
          <w:ilvl w:val="0"/>
          <w:numId w:val="2"/>
        </w:numPr>
        <w:spacing w:after="80"/>
      </w:pPr>
      <w:r>
        <w:t xml:space="preserve">Compras — órdenes de compra, proveedores, facturas de proveedor y cuentas por pagar.</w:t>
      </w:r>
    </w:p>
    <w:p>
      <w:pPr>
        <w:pStyle w:val="ListParagraph"/>
        <w:numPr>
          <w:ilvl w:val="0"/>
          <w:numId w:val="2"/>
        </w:numPr>
        <w:spacing w:after="80"/>
      </w:pPr>
      <w:r>
        <w:t xml:space="preserve">Inventario — catálogo de productos, movimientos de stock, kardex y ajustes.</w:t>
      </w:r>
    </w:p>
    <w:p>
      <w:pPr>
        <w:pStyle w:val="ListParagraph"/>
        <w:numPr>
          <w:ilvl w:val="0"/>
          <w:numId w:val="2"/>
        </w:numPr>
        <w:spacing w:after="80"/>
      </w:pPr>
      <w:r>
        <w:t xml:space="preserve">Nómina — gestión de empleados y liquidación (aún no verificado en este manual).</w:t>
      </w:r>
    </w:p>
    <w:p>
      <w:pPr>
        <w:pStyle w:val="ListParagraph"/>
        <w:numPr>
          <w:ilvl w:val="0"/>
          <w:numId w:val="2"/>
        </w:numPr>
        <w:spacing w:after="80"/>
      </w:pPr>
      <w:r>
        <w:t xml:space="preserve">Contabilidad — comprobantes contables (aún no verificado en este manual).</w:t>
      </w:r>
    </w:p>
    <w:p>
      <w:pPr>
        <w:pStyle w:val="ListParagraph"/>
        <w:numPr>
          <w:ilvl w:val="0"/>
          <w:numId w:val="2"/>
        </w:numPr>
        <w:spacing w:after="80"/>
      </w:pPr>
      <w:r>
        <w:t xml:space="preserve">Finanzas — gastos y flujo de caja (aún no verificado en este manual).</w:t>
      </w:r>
    </w:p>
    <w:p>
      <w:pPr>
        <w:pStyle w:val="ListParagraph"/>
        <w:numPr>
          <w:ilvl w:val="0"/>
          <w:numId w:val="2"/>
        </w:numPr>
        <w:spacing w:after="80"/>
      </w:pPr>
      <w:r>
        <w:t xml:space="preserve">Tablero — resumen general de la empresa activa.</w:t>
      </w:r>
    </w:p>
    <w:p>
      <w:pPr>
        <w:pStyle w:val="ListParagraph"/>
        <w:numPr>
          <w:ilvl w:val="0"/>
          <w:numId w:val="2"/>
        </w:numPr>
        <w:spacing w:after="80"/>
      </w:pPr>
      <w:r>
        <w:t xml:space="preserve">Configuración — administración de la empresa: Equipo, Suscripción y otros ajustes.</w:t>
      </w:r>
    </w:p>
    <w:p>
      <w:pPr>
        <w:pStyle w:val="Heading1"/>
        <w:spacing w:after="240" w:before="480"/>
      </w:pPr>
      <w:r>
        <w:t xml:space="preserve">3. Equipo y usuarios</w:t>
      </w:r>
    </w:p>
    <w:p>
      <w:pPr>
        <w:spacing w:after="160"/>
      </w:pPr>
      <w:r>
        <w:t xml:space="preserve">Desde Configuración &gt; Equipo, un administrador de la empresa puede ver quién tiene acceso y agregar nuevas personas.</w:t>
      </w:r>
    </w:p>
    <w:p>
      <w:pPr>
        <w:pStyle w:val="Heading2"/>
        <w:spacing w:after="160" w:before="320"/>
      </w:pPr>
      <w:r>
        <w:t xml:space="preserve">3.1 Ver el equipo actual</w:t>
      </w:r>
    </w:p>
    <w:p>
      <w:pPr>
        <w:spacing w:after="160"/>
      </w:pPr>
      <w:r>
        <w:t xml:space="preserve">La tabla "Usuarios actuales" muestra el correo y el rol de cada persona con acceso a la empresa activa.</w:t>
      </w:r>
    </w:p>
    <w:p>
      <w:pPr>
        <w:pStyle w:val="Heading2"/>
        <w:spacing w:after="160" w:before="320"/>
      </w:pPr>
      <w:r>
        <w:t xml:space="preserve">3.2 Invitar a un nuevo usuario</w:t>
      </w:r>
    </w:p>
    <w:p>
      <w:pPr>
        <w:pStyle w:val="ListParagraph"/>
        <w:numPr>
          <w:ilvl w:val="0"/>
          <w:numId w:val="3"/>
        </w:numPr>
        <w:spacing w:after="80"/>
      </w:pPr>
      <w:r>
        <w:t xml:space="preserve">En Configuración &gt; Equipo, ingresa el correo de la persona que quieres invitar y su rol.</w:t>
      </w:r>
    </w:p>
    <w:p>
      <w:pPr>
        <w:pStyle w:val="ListParagraph"/>
        <w:numPr>
          <w:ilvl w:val="0"/>
          <w:numId w:val="3"/>
        </w:numPr>
        <w:spacing w:after="80"/>
      </w:pPr>
      <w:r>
        <w:t xml:space="preserve">Si el correo no tiene una cuenta todavía en GestForce, se le envía un correo de invitación.</w:t>
      </w:r>
    </w:p>
    <w:p>
      <w:pPr>
        <w:pStyle w:val="ListParagraph"/>
        <w:numPr>
          <w:ilvl w:val="0"/>
          <w:numId w:val="3"/>
        </w:numPr>
        <w:spacing w:after="80"/>
      </w:pPr>
      <w:r>
        <w:t xml:space="preserve">Si el correo ya tiene una cuenta (por ejemplo, porque pertenece a otra empresa), se le vincula directamente a la empresa y además se le envía un correo para restablecer su contraseña, por si no la recuerda.</w:t>
      </w:r>
    </w:p>
    <w:p>
      <w:pPr>
        <w:pBdr>
          <w:left w:val="single" w:color="2F5D50" w:sz="18" w:space="12"/>
        </w:pBdr>
        <w:spacing w:after="200" w:before="120"/>
        <w:ind w:left="200"/>
      </w:pPr>
      <w:r>
        <w:rPr>
          <w:b/>
          <w:bCs/>
          <w:color w:val="2F5D50"/>
        </w:rPr>
        <w:t xml:space="preserve">Nota: </w:t>
      </w:r>
      <w:r>
        <w:t xml:space="preserve">La persona invitada debe abrir el enlace del correo y crear su contraseña en la pantalla que se abre automáticamente antes de poder iniciar sesión por primera vez.</w:t>
      </w:r>
    </w:p>
    <w:p>
      <w:pPr>
        <w:pStyle w:val="Heading1"/>
        <w:spacing w:after="240" w:before="480"/>
      </w:pPr>
      <w:r>
        <w:t xml:space="preserve">4. Suscripción y pagos</w:t>
      </w:r>
    </w:p>
    <w:p>
      <w:pPr>
        <w:spacing w:after="160"/>
      </w:pPr>
      <w:r>
        <w:t xml:space="preserve">Desde Configuración &gt; Suscripción se administra el plan de la empresa activa.</w:t>
      </w:r>
    </w:p>
    <w:p>
      <w:pPr>
        <w:pStyle w:val="Heading2"/>
        <w:spacing w:after="160" w:before="320"/>
      </w:pPr>
      <w:r>
        <w:t xml:space="preserve">4.1 Ver el plan actual</w:t>
      </w:r>
    </w:p>
    <w:p>
      <w:pPr>
        <w:spacing w:after="160"/>
      </w:pPr>
      <w:r>
        <w:t xml:space="preserve">La pantalla muestra si el plan está activo, sus fechas de inicio y vencimiento, y los días restantes.</w:t>
      </w:r>
    </w:p>
    <w:p>
      <w:pPr>
        <w:pStyle w:val="Heading2"/>
        <w:spacing w:after="160" w:before="320"/>
      </w:pPr>
      <w:r>
        <w:t xml:space="preserve">4.2 Cambiar de plan</w:t>
      </w:r>
    </w:p>
    <w:p>
      <w:pPr>
        <w:spacing w:after="160"/>
      </w:pPr>
      <w:r>
        <w:t xml:space="preserve">Puedes elegir entre planes de 3, 6 o 12 meses; al seleccionar uno, se marca visualmente como elegido antes de continuar con el pago.</w:t>
      </w:r>
    </w:p>
    <w:p>
      <w:pPr>
        <w:pStyle w:val="Heading2"/>
        <w:spacing w:after="160" w:before="320"/>
      </w:pPr>
      <w:r>
        <w:t xml:space="preserve">4.3 Historial de pagos</w:t>
      </w:r>
    </w:p>
    <w:p>
      <w:pPr>
        <w:spacing w:after="160"/>
      </w:pPr>
      <w:r>
        <w:t xml:space="preserve">Debajo del selector de plan se muestra el historial de pagos realizados por la empresa.</w:t>
      </w:r>
    </w:p>
    <w:p>
      <w:pPr>
        <w:pStyle w:val="Heading2"/>
        <w:spacing w:after="160" w:before="320"/>
      </w:pPr>
      <w:r>
        <w:t xml:space="preserve">4.4 Proceder al pago</w:t>
      </w:r>
    </w:p>
    <w:p>
      <w:pPr>
        <w:pBdr>
          <w:left w:val="single" w:color="B45309" w:sz="18" w:space="12"/>
        </w:pBdr>
        <w:spacing w:after="200" w:before="120"/>
        <w:ind w:left="200"/>
      </w:pPr>
      <w:r>
        <w:rPr>
          <w:b/>
          <w:bCs/>
          <w:color w:val="B45309"/>
        </w:rPr>
        <w:t xml:space="preserve">Pendiente de verificación final: </w:t>
      </w:r>
      <w:r>
        <w:t xml:space="preserve">Al elegir un plan y hacer clic en "Proceder al pago", el sistema abre el checkout de la pasarela de pago (Stripe) para completar el cobro real. Este paso debe completarlo el propio usuario para confirmar que el pago se procesa correctamente y que el plan se actualiza después de pagar.</w:t>
      </w:r>
    </w:p>
    <w:p>
      <w:pPr>
        <w:pStyle w:val="Heading1"/>
        <w:spacing w:after="240" w:before="480"/>
      </w:pPr>
      <w:r>
        <w:t xml:space="preserve">5. Ventas</w:t>
      </w:r>
    </w:p>
    <w:p>
      <w:pPr>
        <w:spacing w:after="160"/>
      </w:pPr>
      <w:r>
        <w:t xml:space="preserve">El módulo de Ventas cubre el ciclo completo: cotización → factura → recibo de pago → cuentas por cobrar.</w:t>
      </w:r>
    </w:p>
    <w:p>
      <w:pPr>
        <w:pStyle w:val="Heading2"/>
        <w:spacing w:after="160" w:before="320"/>
      </w:pPr>
      <w:r>
        <w:t xml:space="preserve">5.1 Crear una cotización</w:t>
      </w:r>
    </w:p>
    <w:p>
      <w:pPr>
        <w:pStyle w:val="ListParagraph"/>
        <w:numPr>
          <w:ilvl w:val="0"/>
          <w:numId w:val="4"/>
        </w:numPr>
        <w:spacing w:after="80"/>
      </w:pPr>
      <w:r>
        <w:t xml:space="preserve">Ve a Ventas &gt; Cotizaciones y elige "Nuevo".</w:t>
      </w:r>
    </w:p>
    <w:p>
      <w:pPr>
        <w:pStyle w:val="ListParagraph"/>
        <w:numPr>
          <w:ilvl w:val="0"/>
          <w:numId w:val="4"/>
        </w:numPr>
        <w:spacing w:after="80"/>
      </w:pPr>
      <w:r>
        <w:t xml:space="preserve">Busca y selecciona el cliente con el autocompletar (o crea uno nuevo si no existe).</w:t>
      </w:r>
    </w:p>
    <w:p>
      <w:pPr>
        <w:pStyle w:val="ListParagraph"/>
        <w:numPr>
          <w:ilvl w:val="0"/>
          <w:numId w:val="4"/>
        </w:numPr>
        <w:spacing w:after="80"/>
      </w:pPr>
      <w:r>
        <w:t xml:space="preserve">Busca cada producto y agrégalo; el buscador muestra el stock disponible de cada uno.</w:t>
      </w:r>
    </w:p>
    <w:p>
      <w:pPr>
        <w:pStyle w:val="ListParagraph"/>
        <w:numPr>
          <w:ilvl w:val="0"/>
          <w:numId w:val="4"/>
        </w:numPr>
        <w:spacing w:after="80"/>
      </w:pPr>
      <w:r>
        <w:t xml:space="preserve">Define fecha de emisión, fecha de vencimiento y notas si aplica.</w:t>
      </w:r>
    </w:p>
    <w:p>
      <w:pPr>
        <w:pStyle w:val="ListParagraph"/>
        <w:numPr>
          <w:ilvl w:val="0"/>
          <w:numId w:val="4"/>
        </w:numPr>
        <w:spacing w:after="80"/>
      </w:pPr>
      <w:r>
        <w:t xml:space="preserve">Guarda la cotización.</w:t>
      </w:r>
    </w:p>
    <w:p>
      <w:pPr>
        <w:pStyle w:val="Heading2"/>
        <w:spacing w:after="160" w:before="320"/>
      </w:pPr>
      <w:r>
        <w:t xml:space="preserve">5.2 Enviar, aprobar o rechazar una cotización</w:t>
      </w:r>
    </w:p>
    <w:p>
      <w:pPr>
        <w:pBdr>
          <w:left w:val="single" w:color="2F5D50" w:sz="18" w:space="12"/>
        </w:pBdr>
        <w:spacing w:after="200" w:before="120"/>
        <w:ind w:left="200"/>
      </w:pPr>
      <w:r>
        <w:rPr>
          <w:b/>
          <w:bCs/>
          <w:color w:val="2F5D50"/>
        </w:rPr>
        <w:t xml:space="preserve">Nota: </w:t>
      </w:r>
      <w:r>
        <w:t xml:space="preserve">Los botones de Enviar, Aprobar y Rechazar están en la columna "Acciones" de la vista de lista de Cotizaciones (puede ser necesario hacer scroll horizontal en la tabla para verlos, ya que son solo íconos sin texto) — no en la pantalla de detalle de la cotización. La vista de detalle solo muestra botones de conversión a factura o ticket cuando la cotización ya está aprobada.</w:t>
      </w:r>
    </w:p>
    <w:p>
      <w:pPr>
        <w:pStyle w:val="ListParagraph"/>
        <w:numPr>
          <w:ilvl w:val="0"/>
          <w:numId w:val="2"/>
        </w:numPr>
        <w:spacing w:after="80"/>
      </w:pPr>
      <w:r>
        <w:t xml:space="preserve">Enviar: abre el cliente de correo del propio usuario (mailto) con un borrador ya armado dirigido al cliente, y marca la cotización como "Enviada". No envía nada automáticamente por sí sola — el usuario debe completar y enviar ese correo desde su propio programa de correo.</w:t>
      </w:r>
    </w:p>
    <w:p>
      <w:pPr>
        <w:pStyle w:val="ListParagraph"/>
        <w:numPr>
          <w:ilvl w:val="0"/>
          <w:numId w:val="2"/>
        </w:numPr>
        <w:spacing w:after="80"/>
      </w:pPr>
      <w:r>
        <w:t xml:space="preserve">Aprobar: se elige si se convierte en Factura o en Ticket. Al aprobar como Factura, el sistema genera automáticamente la Factura, y de ahí un Recibo y su entrada en Cuentas por Cobrar (CxC), todos enlazados entre sí.</w:t>
      </w:r>
    </w:p>
    <w:p>
      <w:pPr>
        <w:pStyle w:val="ListParagraph"/>
        <w:numPr>
          <w:ilvl w:val="0"/>
          <w:numId w:val="2"/>
        </w:numPr>
        <w:spacing w:after="80"/>
      </w:pPr>
      <w:r>
        <w:t xml:space="preserve">Rechazar: cambia la cotización a estado "Rechazada" de inmediato, sin ventana de confirmación.</w:t>
      </w:r>
    </w:p>
    <w:p>
      <w:pPr>
        <w:pBdr>
          <w:left w:val="single" w:color="B45309" w:sz="18" w:space="12"/>
        </w:pBdr>
        <w:spacing w:after="200" w:before="120"/>
        <w:ind w:left="200"/>
      </w:pPr>
      <w:r>
        <w:rPr>
          <w:b/>
          <w:bCs/>
          <w:color w:val="B45309"/>
        </w:rPr>
        <w:t xml:space="preserve">Pendiente de verificación final: </w:t>
      </w:r>
      <w:r>
        <w:t xml:space="preserve">El envío real del correo (que efectivamente llegue al cliente con el contenido correcto) debe verificarlo el usuario desde su propio cliente de correo.</w:t>
      </w:r>
    </w:p>
    <w:p>
      <w:pPr>
        <w:pStyle w:val="Heading2"/>
        <w:spacing w:after="160" w:before="320"/>
      </w:pPr>
      <w:r>
        <w:t xml:space="preserve">5.3 Facturas, recibos y cuentas por cobrar</w:t>
      </w:r>
    </w:p>
    <w:p>
      <w:pPr>
        <w:spacing w:after="160"/>
      </w:pPr>
      <w:r>
        <w:t xml:space="preserve">Cada documento generado a partir de una cotización aprobada queda visible y enlazado en sus respectivas pestañas (Facturas, Recibos, CxC), mostrando la referencia al documento de origen (por ejemplo, "Relacionado: COT-000010").</w:t>
      </w:r>
    </w:p>
    <w:p>
      <w:pPr>
        <w:pStyle w:val="Heading2"/>
        <w:spacing w:after="160" w:before="320"/>
      </w:pPr>
      <w:r>
        <w:t xml:space="preserve">5.4 Facturación electrónica (DIAN)</w:t>
      </w:r>
    </w:p>
    <w:p>
      <w:pPr>
        <w:pBdr>
          <w:left w:val="single" w:color="B45309" w:sz="18" w:space="12"/>
        </w:pBdr>
        <w:spacing w:after="200" w:before="120"/>
        <w:ind w:left="200"/>
      </w:pPr>
      <w:r>
        <w:rPr>
          <w:b/>
          <w:bCs/>
          <w:color w:val="B45309"/>
        </w:rPr>
        <w:t xml:space="preserve">Pendiente de verificación final: </w:t>
      </w:r>
      <w:r>
        <w:t xml:space="preserve">El envío de facturas electrónicas a la DIAN aún no se ha probado. Se documentará en una próxima versión de este manual, ya que implica consecuencias fiscales reales y requiere confirmación explícita antes de cualquier prueba.</w:t>
      </w:r>
    </w:p>
    <w:p>
      <w:pPr>
        <w:pStyle w:val="Heading1"/>
        <w:spacing w:after="240" w:before="480"/>
      </w:pPr>
      <w:r>
        <w:t xml:space="preserve">6. Compras</w:t>
      </w:r>
    </w:p>
    <w:p>
      <w:pPr>
        <w:spacing w:after="160"/>
      </w:pPr>
      <w:r>
        <w:t xml:space="preserve">El módulo de Compras cubre el ciclo: orden de compra → envío al proveedor → recepción de mercancía → factura de proveedor, con actualización automática del inventario.</w:t>
      </w:r>
    </w:p>
    <w:p>
      <w:pPr>
        <w:pStyle w:val="Heading2"/>
        <w:spacing w:after="160" w:before="320"/>
      </w:pPr>
      <w:r>
        <w:t xml:space="preserve">6.1 Crear una orden de compra</w:t>
      </w:r>
    </w:p>
    <w:p>
      <w:pPr>
        <w:pStyle w:val="ListParagraph"/>
        <w:numPr>
          <w:ilvl w:val="0"/>
          <w:numId w:val="5"/>
        </w:numPr>
        <w:spacing w:after="80"/>
      </w:pPr>
      <w:r>
        <w:t xml:space="preserve">Ve a Compras &gt; Órdenes de Compra y elige "Nuevo".</w:t>
      </w:r>
    </w:p>
    <w:p>
      <w:pPr>
        <w:pStyle w:val="ListParagraph"/>
        <w:numPr>
          <w:ilvl w:val="0"/>
          <w:numId w:val="5"/>
        </w:numPr>
        <w:spacing w:after="80"/>
      </w:pPr>
      <w:r>
        <w:t xml:space="preserve">Busca y selecciona el proveedor.</w:t>
      </w:r>
    </w:p>
    <w:p>
      <w:pPr>
        <w:pStyle w:val="ListParagraph"/>
        <w:numPr>
          <w:ilvl w:val="0"/>
          <w:numId w:val="5"/>
        </w:numPr>
        <w:spacing w:after="80"/>
      </w:pPr>
      <w:r>
        <w:t xml:space="preserve">Busca cada producto y agrégalo, ajustando la cantidad a comprar.</w:t>
      </w:r>
    </w:p>
    <w:p>
      <w:pPr>
        <w:pStyle w:val="ListParagraph"/>
        <w:numPr>
          <w:ilvl w:val="0"/>
          <w:numId w:val="5"/>
        </w:numPr>
        <w:spacing w:after="80"/>
      </w:pPr>
      <w:r>
        <w:t xml:space="preserve">Define fecha de emisión y entrega esperada si aplica.</w:t>
      </w:r>
    </w:p>
    <w:p>
      <w:pPr>
        <w:pStyle w:val="ListParagraph"/>
        <w:numPr>
          <w:ilvl w:val="0"/>
          <w:numId w:val="5"/>
        </w:numPr>
        <w:spacing w:after="80"/>
      </w:pPr>
      <w:r>
        <w:t xml:space="preserve">Guarda como "Crear orden de compra"; queda en estado Borrador.</w:t>
      </w:r>
    </w:p>
    <w:p>
      <w:pPr>
        <w:pStyle w:val="Heading2"/>
        <w:spacing w:after="160" w:before="320"/>
      </w:pPr>
      <w:r>
        <w:t xml:space="preserve">6.2 Marcar como enviada</w:t>
      </w:r>
    </w:p>
    <w:p>
      <w:pPr>
        <w:spacing w:after="160"/>
      </w:pPr>
      <w:r>
        <w:t xml:space="preserve">Desde el detalle de la orden, el botón "Marcar enviada" cambia su estado a "Enviada", indicando que ya se le comunicó al proveedor.</w:t>
      </w:r>
    </w:p>
    <w:p>
      <w:pPr>
        <w:pStyle w:val="Heading2"/>
        <w:spacing w:after="160" w:before="320"/>
      </w:pPr>
      <w:r>
        <w:t xml:space="preserve">6.3 Recibir mercancía</w:t>
      </w:r>
    </w:p>
    <w:p>
      <w:pPr>
        <w:pStyle w:val="ListParagraph"/>
        <w:numPr>
          <w:ilvl w:val="0"/>
          <w:numId w:val="6"/>
        </w:numPr>
        <w:spacing w:after="80"/>
      </w:pPr>
      <w:r>
        <w:t xml:space="preserve">En el detalle de la orden, haz clic en "Recibir mercancía".</w:t>
      </w:r>
    </w:p>
    <w:p>
      <w:pPr>
        <w:pStyle w:val="ListParagraph"/>
        <w:numPr>
          <w:ilvl w:val="0"/>
          <w:numId w:val="6"/>
        </w:numPr>
        <w:spacing w:after="80"/>
      </w:pPr>
      <w:r>
        <w:t xml:space="preserve">Confirma la recepción en el mensaje "¿Confirmar recepción? El stock aumentará."</w:t>
      </w:r>
    </w:p>
    <w:p>
      <w:pPr>
        <w:pStyle w:val="ListParagraph"/>
        <w:numPr>
          <w:ilvl w:val="0"/>
          <w:numId w:val="6"/>
        </w:numPr>
        <w:spacing w:after="80"/>
      </w:pPr>
      <w:r>
        <w:t xml:space="preserve">El sistema marca la orden como "Recibida", genera automáticamente la factura de proveedor correspondiente, y aumenta el stock de cada producto recibido en Inventario.</w:t>
      </w:r>
    </w:p>
    <w:p>
      <w:pPr>
        <w:pBdr>
          <w:left w:val="single" w:color="2F5D50" w:sz="18" w:space="12"/>
        </w:pBdr>
        <w:spacing w:after="200" w:before="120"/>
        <w:ind w:left="200"/>
      </w:pPr>
      <w:r>
        <w:rPr>
          <w:b/>
          <w:bCs/>
          <w:color w:val="2F5D50"/>
        </w:rPr>
        <w:t xml:space="preserve">Nota: </w:t>
      </w:r>
      <w:r>
        <w:t xml:space="preserve">El aumento de stock al recibir una orden de compra ya se verificó de punta a punta: al recibir una orden con 10 unidades de un producto, su stock en Inventario subió exactamente en esa cantidad.</w:t>
      </w:r>
    </w:p>
    <w:p>
      <w:pPr>
        <w:pStyle w:val="Heading2"/>
        <w:spacing w:after="160" w:before="320"/>
      </w:pPr>
      <w:r>
        <w:t xml:space="preserve">6.4 Anular una orden</w:t>
      </w:r>
    </w:p>
    <w:p>
      <w:pPr>
        <w:spacing w:after="160"/>
      </w:pPr>
      <w:r>
        <w:t xml:space="preserve">El botón "Anular" está disponible mientras la orden no se haya recibido.</w:t>
      </w:r>
    </w:p>
    <w:p>
      <w:pPr>
        <w:pStyle w:val="Heading1"/>
        <w:spacing w:after="240" w:before="480"/>
      </w:pPr>
      <w:r>
        <w:t xml:space="preserve">7. Inventario</w:t>
      </w:r>
    </w:p>
    <w:p>
      <w:pPr>
        <w:spacing w:after="160"/>
      </w:pPr>
      <w:r>
        <w:t xml:space="preserve">El módulo de Inventario tiene cuatro pestañas: Productos, Movimientos de Stock, Kardex y Ajustes.</w:t>
      </w:r>
    </w:p>
    <w:p>
      <w:pPr>
        <w:pStyle w:val="Heading2"/>
        <w:spacing w:after="160" w:before="320"/>
      </w:pPr>
      <w:r>
        <w:t xml:space="preserve">7.1 Productos</w:t>
      </w:r>
    </w:p>
    <w:p>
      <w:pPr>
        <w:spacing w:after="160"/>
      </w:pPr>
      <w:r>
        <w:t xml:space="preserve">Muestra el catálogo con nombre, categoría, precio, stock actual y stock mínimo de cada producto. Se puede filtrar por "En stock", "Stock bajo", "Sin stock" o "Por reponer".</w:t>
      </w:r>
    </w:p>
    <w:p>
      <w:pPr>
        <w:pStyle w:val="Heading2"/>
        <w:spacing w:after="160" w:before="320"/>
      </w:pPr>
      <w:r>
        <w:t xml:space="preserve">7.2 Movimientos de Stock</w:t>
      </w:r>
    </w:p>
    <w:p>
      <w:pPr>
        <w:spacing w:after="160"/>
      </w:pPr>
      <w:r>
        <w:t xml:space="preserve">Historial de todos los movimientos de inventario de la empresa (compras recibidas, ventas facturadas y ajustes manuales), con filtros por producto y por tipo de movimiento, y opción de exportar a CSV.</w:t>
      </w:r>
    </w:p>
    <w:p>
      <w:pPr>
        <w:pBdr>
          <w:left w:val="single" w:color="2F5D50" w:sz="18" w:space="12"/>
        </w:pBdr>
        <w:spacing w:after="200" w:before="120"/>
        <w:ind w:left="200"/>
      </w:pPr>
      <w:r>
        <w:rPr>
          <w:b/>
          <w:bCs/>
          <w:color w:val="2F5D50"/>
        </w:rPr>
        <w:t xml:space="preserve">Nota: </w:t>
      </w:r>
      <w:r>
        <w:t xml:space="preserve">Para movimientos generados automáticamente por una compra o una venta, las columnas "Stock antes" y "Stock después" y la columna "Referencia" pueden aparecer vacías ("—"); esto es un detalle menor ya identificado y no afecta la cantidad del movimiento ni el stock resultante, que sí son correctos.</w:t>
      </w:r>
    </w:p>
    <w:p>
      <w:pPr>
        <w:pStyle w:val="Heading2"/>
        <w:spacing w:after="160" w:before="320"/>
      </w:pPr>
      <w:r>
        <w:t xml:space="preserve">7.3 Kardex</w:t>
      </w:r>
    </w:p>
    <w:p>
      <w:pPr>
        <w:spacing w:after="160"/>
      </w:pPr>
      <w:r>
        <w:t xml:space="preserve">Selecciona un producto para ver su historial completo de entradas y salidas en orden cronológico, junto con su stock actual y stock mínimo.</w:t>
      </w:r>
    </w:p>
    <w:p>
      <w:pPr>
        <w:pStyle w:val="Heading2"/>
        <w:spacing w:after="160" w:before="320"/>
      </w:pPr>
      <w:r>
        <w:t xml:space="preserve">7.4 Ajustes</w:t>
      </w:r>
    </w:p>
    <w:p>
      <w:pPr>
        <w:pStyle w:val="ListParagraph"/>
        <w:numPr>
          <w:ilvl w:val="0"/>
          <w:numId w:val="7"/>
        </w:numPr>
        <w:spacing w:after="80"/>
      </w:pPr>
      <w:r>
        <w:t xml:space="preserve">En la pestaña Ajustes, selecciona el producto a corregir.</w:t>
      </w:r>
    </w:p>
    <w:p>
      <w:pPr>
        <w:pStyle w:val="ListParagraph"/>
        <w:numPr>
          <w:ilvl w:val="0"/>
          <w:numId w:val="7"/>
        </w:numPr>
        <w:spacing w:after="80"/>
      </w:pPr>
      <w:r>
        <w:t xml:space="preserve">Ingresa la cantidad real, según el conteo físico.</w:t>
      </w:r>
    </w:p>
    <w:p>
      <w:pPr>
        <w:pStyle w:val="ListParagraph"/>
        <w:numPr>
          <w:ilvl w:val="0"/>
          <w:numId w:val="7"/>
        </w:numPr>
        <w:spacing w:after="80"/>
      </w:pPr>
      <w:r>
        <w:t xml:space="preserve">Escribe el motivo del ajuste (obligatorio).</w:t>
      </w:r>
    </w:p>
    <w:p>
      <w:pPr>
        <w:pStyle w:val="ListParagraph"/>
        <w:numPr>
          <w:ilvl w:val="0"/>
          <w:numId w:val="7"/>
        </w:numPr>
        <w:spacing w:after="80"/>
      </w:pPr>
      <w:r>
        <w:t xml:space="preserve">Haz clic en "Registrar ajuste".</w:t>
      </w:r>
    </w:p>
    <w:p>
      <w:pPr>
        <w:spacing w:after="160"/>
      </w:pPr>
      <w:r>
        <w:t xml:space="preserve">El sistema calcula automáticamente la diferencia (entrada o salida) y actualiza el stock del producto de inmediato; el ajuste queda registrado en Movimientos de Stock y en el Kardex del producto con el motivo indicado.</w:t>
      </w:r>
    </w:p>
    <w:p>
      <w:pPr>
        <w:pStyle w:val="Heading1"/>
        <w:spacing w:after="240" w:before="480"/>
      </w:pPr>
      <w:r>
        <w:t xml:space="preserve">8. Próximos módulos</w:t>
      </w:r>
    </w:p>
    <w:p>
      <w:pPr>
        <w:spacing w:after="160"/>
      </w:pPr>
      <w:r>
        <w:t xml:space="preserve">Los siguientes módulos existen en la aplicación pero todavía no se han probado a fondo, por lo que no se documentan en detalle en esta versión del manual:</w:t>
      </w:r>
    </w:p>
    <w:p>
      <w:pPr>
        <w:pStyle w:val="ListParagraph"/>
        <w:numPr>
          <w:ilvl w:val="0"/>
          <w:numId w:val="2"/>
        </w:numPr>
        <w:spacing w:after="80"/>
      </w:pPr>
      <w:r>
        <w:t xml:space="preserve">Facturación electrónica ante la DIAN (dentro de Ventas).</w:t>
      </w:r>
    </w:p>
    <w:p>
      <w:pPr>
        <w:pStyle w:val="ListParagraph"/>
        <w:numPr>
          <w:ilvl w:val="0"/>
          <w:numId w:val="2"/>
        </w:numPr>
        <w:spacing w:after="80"/>
      </w:pPr>
      <w:r>
        <w:t xml:space="preserve">Nómina.</w:t>
      </w:r>
    </w:p>
    <w:p>
      <w:pPr>
        <w:pStyle w:val="ListParagraph"/>
        <w:numPr>
          <w:ilvl w:val="0"/>
          <w:numId w:val="2"/>
        </w:numPr>
        <w:spacing w:after="80"/>
      </w:pPr>
      <w:r>
        <w:t xml:space="preserve">Contabilidad.</w:t>
      </w:r>
    </w:p>
    <w:p>
      <w:pPr>
        <w:pStyle w:val="ListParagraph"/>
        <w:numPr>
          <w:ilvl w:val="0"/>
          <w:numId w:val="2"/>
        </w:numPr>
        <w:spacing w:after="80"/>
      </w:pPr>
      <w:r>
        <w:t xml:space="preserve">Finanzas.</w:t>
      </w:r>
    </w:p>
    <w:p>
      <w:pPr>
        <w:spacing w:after="160"/>
      </w:pPr>
      <w:r>
        <w:t xml:space="preserve">Estas secciones se irán agregando a medida que se complete su verificación.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GestForce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o"/>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2F5D50"/>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val="false"/>
      <w:iCs w:val="false"/>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2026-09-15T16:34:43.468Z</dcterms:created>
  <dcterms:modified xsi:type="dcterms:W3CDTF">2026-09-15T16:34:43.469Z</dcterms:modified>
</cp:coreProperties>
</file>

<file path=docProps/custom.xml><?xml version="1.0" encoding="utf-8"?>
<Properties xmlns="http://schemas.openxmlformats.org/officeDocument/2006/custom-properties" xmlns:vt="http://schemas.openxmlformats.org/officeDocument/2006/docPropsVTypes"/>
</file>