
<file path=[Content_Types].xml><?xml version="1.0" encoding="utf-8"?>
<ns0:Types xmlns:ns0="http://schemas.openxmlformats.org/package/2006/content-types">
  <ns0:Default ContentType="image/png" Extension="png"/>
  <ns0:Default ContentType="image/jpeg" Extension="jpeg"/>
  <ns0:Default ContentType="image/jpeg" Extension="jpg"/>
  <ns0:Default ContentType="image/bmp" Extension="bmp"/>
  <ns0:Default ContentType="image/gif" Extension="gif"/>
  <ns0:Default ContentType="image/svg+xml" Extension="svg"/>
  <ns0:Default ContentType="application/vnd.openxmlformats-package.relationships+xml" Extension="rels"/>
  <ns0:Default ContentType="application/xml" Extension="xml"/>
  <ns0:Default ContentType="application/vnd.openxmlformats-officedocument.obfuscatedFont" Extension="odttf"/>
  <ns0:Override ContentType="application/vnd.openxmlformats-officedocument.wordprocessingml.document.main+xml" PartName="/word/document.xml"/>
  <ns0:Override ContentType="application/vnd.openxmlformats-officedocument.wordprocessingml.styles+xml" PartName="/word/styles.xml"/>
  <ns0:Override ContentType="application/vnd.openxmlformats-package.core-properties+xml" PartName="/docProps/core.xml"/>
  <ns0:Override ContentType="application/vnd.openxmlformats-officedocument.custom-properties+xml" PartName="/docProps/custom.xml"/>
  <ns0:Override ContentType="application/vnd.openxmlformats-officedocument.extended-properties+xml" PartName="/docProps/app.xml"/>
  <ns0:Override ContentType="application/vnd.openxmlformats-officedocument.wordprocessingml.numbering+xml" PartName="/word/numbering.xml"/>
  <ns0:Override ContentType="application/vnd.openxmlformats-officedocument.wordprocessingml.footnotes+xml" PartName="/word/footnotes.xml"/>
  <ns0:Override ContentType="application/vnd.openxmlformats-officedocument.wordprocessingml.endnotes+xml" PartName="/word/endnotes.xml"/>
  <ns0:Override ContentType="application/vnd.openxmlformats-officedocument.wordprocessingml.settings+xml" PartName="/word/settings.xml"/>
  <ns0:Override ContentType="application/vnd.openxmlformats-officedocument.wordprocessingml.comments+xml" PartName="/word/comments.xml"/>
  <ns0:Override ContentType="application/vnd.openxmlformats-officedocument.wordprocessingml.fontTable+xml" PartName="/word/fontTable.xml"/>
  <ns0:Override ContentType="application/vnd.openxmlformats-officedocument.wordprocessingml.header+xml" PartName="/word/header1.xml"/>
  <ns0:Override ContentType="application/vnd.openxmlformats-officedocument.wordprocessingml.footer+xml" PartName="/word/footer1.xml"/>
  <ns0:Override PartName="/word/webextensions/taskpanes.xml" ContentType="application/vnd.ms-office.webextensiontaskpanes+xml"/>
  <ns0:Override PartName="/word/webextensions/webextension1.xml" ContentType="application/vnd.ms-office.webextension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3" Type="http://schemas.openxmlformats.org/officeDocument/2006/relationships/extended-properties" Target="docProps/app.xml" /><ns0:Relationship Id="rId4" Type="http://schemas.openxmlformats.org/officeDocument/2006/relationships/custom-properties" Target="docProps/custom.xml" /><ns0:Relationship Id="rId5" Type="http://schemas.microsoft.com/office/2011/relationships/webextensiontaskpanes" Target="word/webextensions/taskpanes.xml" /></ns0: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Title"/>
      </w:pPr>
      <w:r>
        <w:t xml:space="preserve">SWA India</w:t>
      </w:r>
    </w:p>
    <w:p>
      <w:pPr>
        <w:pStyle w:val="DocTitle"/>
      </w:pPr>
      <w:r>
        <w:t xml:space="preserve">Out-of-Jurisdiction (OOJ) Process Automation</w:t>
      </w:r>
    </w:p>
    <w:p>
      <w:pPr>
        <w:pStyle w:val="DocSubtitle"/>
      </w:pPr>
      <w:r>
        <w:t xml:space="preserve">Product Requirements Document (PRD)</w:t>
      </w:r>
    </w:p>
    <w:p>
      <w:pPr>
        <w:spacing w:after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 Requirements Document (PRD)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Product / project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OOJ Process Automation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Org / team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SWA India — Out-of-Jurisdiction resolver group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Author &amp; builder (IC)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KABIDEBA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 / In production use (local, operator-run)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2026-10-03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</w:tcPr>
          <w:p>
            <w:pPr>
              <w:spacing w:after="60" w:before="120"/>
              <w:ind w:left="180"/>
            </w:pPr>
            <w:r>
              <w:rPr>
                <w:b/>
                <w:bCs/>
                <w:color w:val="1A3560"/>
                <w:sz w:val="22"/>
                <w:szCs w:val="22"/>
              </w:rPr>
              <w:t xml:space="preserve">Credit</w:t>
            </w:r>
          </w:p>
          <w:p>
            <w:pPr>
              <w:spacing w:after="60" w:before="60"/>
              <w:ind w:left="180"/>
            </w:pPr>
            <w:r>
              <w:rPr>
                <w:i/>
                <w:iCs/>
                <w:sz w:val="21"/>
                <w:szCs w:val="21"/>
              </w:rPr>
              <w:t xml:space="preserve">This automation was designed, built, tested, and documented end to end by </w:t>
            </w:r>
            <w:r>
              <w:rPr>
                <w:b/>
                <w:bCs/>
                <w:i/>
                <w:iCs/>
                <w:sz w:val="21"/>
                <w:szCs w:val="21"/>
              </w:rPr>
              <w:t xml:space="preserve">KABIDEBA</w:t>
            </w:r>
            <w:r>
              <w:rPr>
                <w:i/>
                <w:iCs/>
                <w:sz w:val="21"/>
                <w:szCs w:val="21"/>
              </w:rPr>
              <w:t xml:space="preserve"> as an individual contributor — from reverse-engineering the manual Excel template and SOP, through building every source-integration lane, the orchestrator, the remark decision engine, and the one-click local web runner, to the verification and safety layers that gate every output.</w:t>
            </w:r>
          </w:p>
          <w:p>
            <w:pPr>
              <w:spacing w:after="100" w:before="0"/>
              <w:ind w:left="18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1. Executive Summary</w:t>
      </w:r>
    </w:p>
    <w:p>
      <w:pPr>
        <w:pStyle w:val="BodyText"/>
      </w:pPr>
      <w:r>
        <w:t xml:space="preserve">Every day, the SWA India team must identify and action </w:t>
      </w:r>
      <w:r>
        <w:rPr>
          <w:b/>
          <w:bCs/>
        </w:rPr>
        <w:t xml:space="preserve">Out-of-Jurisdiction (OOJ)</w:t>
      </w:r>
      <w:r>
        <w:t xml:space="preserve"> shipment tickets: packages whose delivery address may fall outside the station's assigned jurisdiction. The legacy process was </w:t>
      </w:r>
      <w:r>
        <w:rPr>
          <w:b/>
          <w:bCs/>
        </w:rPr>
        <w:t xml:space="preserve">fully manual</w:t>
      </w:r>
      <w:r>
        <w:t xml:space="preserve"> — an operator pulled tickets, copied tracking IDs (TIDs) by hand into a large Excel template, then visited </w:t>
      </w:r>
      <w:r>
        <w:rPr>
          <w:b/>
          <w:bCs/>
        </w:rPr>
        <w:t xml:space="preserve">eight separate Amazon internal tools</w:t>
      </w:r>
      <w:r>
        <w:t xml:space="preserve"> per batch to look up each TID's status, address, zone, pincode prediction, missort history, and jurisdiction, before manually applying a multi-step decision tree to mark each ticket Valid or Invalid.</w:t>
      </w:r>
    </w:p>
    <w:p>
      <w:pPr>
        <w:pStyle w:val="BodyText"/>
      </w:pPr>
      <w:r>
        <w:t xml:space="preserve">For a typical day of </w:t>
      </w:r>
      <w:r>
        <w:rPr>
          <w:b/>
          <w:bCs/>
        </w:rPr>
        <w:t xml:space="preserve">1,400–1,500 TIDs</w:t>
      </w:r>
      <w:r>
        <w:t xml:space="preserve">, this consumed hours of repetitive, error-prone copy-paste work, and the output quality depended on operator fatigue and consistency.</w:t>
      </w:r>
    </w:p>
    <w:p>
      <w:pPr>
        <w:pStyle w:val="BodyText"/>
      </w:pPr>
      <w:r>
        <w:t xml:space="preserve">The </w:t>
      </w:r>
      <w:r>
        <w:rPr>
          <w:b/>
          <w:bCs/>
        </w:rPr>
        <w:t xml:space="preserve">OOJ Process Automation</w:t>
      </w:r>
      <w:r>
        <w:t xml:space="preserve"> replaces that manual workflow with a </w:t>
      </w:r>
      <w:r>
        <w:rPr>
          <w:b/>
          <w:bCs/>
        </w:rPr>
        <w:t xml:space="preserve">one-click local web application</w:t>
      </w:r>
      <w:r>
        <w:t xml:space="preserve">. The operator starts a run, and the system pulls the tickets, enriches every TID across all source tools, applies the exact remark rules, fills the Excel template, recalculates it, </w:t>
      </w:r>
      <w:r>
        <w:rPr>
          <w:b/>
          <w:bCs/>
        </w:rPr>
        <w:t xml:space="preserve">verifies the result</w:t>
      </w:r>
      <w:r>
        <w:t xml:space="preserve">, and produces a ready-to-use workbook — in roughly </w:t>
      </w:r>
      <w:r>
        <w:rPr>
          <w:b/>
          <w:bCs/>
        </w:rPr>
        <w:t xml:space="preserve">15–25 minutes</w:t>
      </w:r>
      <w:r>
        <w:t xml:space="preserve">, with </w:t>
      </w:r>
      <w:r>
        <w:rPr>
          <w:b/>
          <w:bCs/>
        </w:rPr>
        <w:t xml:space="preserve">zero manual lookups</w:t>
      </w:r>
      <w:r>
        <w:t xml:space="preserve">.</w:t>
      </w:r>
    </w:p>
    <w:p>
      <w:pPr>
        <w:pStyle w:val="BodyText"/>
      </w:pPr>
      <w:r>
        <w:t xml:space="preserve">It is </w:t>
      </w:r>
      <w:r>
        <w:rPr>
          <w:b/>
          <w:bCs/>
        </w:rPr>
        <w:t xml:space="preserve">free</w:t>
      </w:r>
      <w:r>
        <w:t xml:space="preserve"> (Python standard library plus a few well-known open-source packages), </w:t>
      </w:r>
      <w:r>
        <w:rPr>
          <w:b/>
          <w:bCs/>
        </w:rPr>
        <w:t xml:space="preserve">runs entirely on the operator's laptop</w:t>
      </w:r>
      <w:r>
        <w:t xml:space="preserve">, uses </w:t>
      </w:r>
      <w:r>
        <w:rPr>
          <w:b/>
          <w:bCs/>
        </w:rPr>
        <w:t xml:space="preserve">no AI/LLM in the run path</w:t>
      </w:r>
      <w:r>
        <w:t xml:space="preserve">, and is </w:t>
      </w:r>
      <w:r>
        <w:rPr>
          <w:b/>
          <w:bCs/>
        </w:rPr>
        <w:t xml:space="preserve">strictly read-only</w:t>
      </w:r>
      <w:r>
        <w:t xml:space="preserve"> against all Amazon systems (it never posts to, resolves, or modifies any ticket or source).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2. Problem Statement</w:t>
      </w:r>
    </w:p>
    <w:p>
      <w:pPr>
        <w:pStyle w:val="Heading2"/>
      </w:pPr>
      <w:r>
        <w:t xml:space="preserve">2.1 The Manual Process (Before)</w:t>
      </w:r>
    </w:p>
    <w:p>
      <w:pPr>
        <w:pStyle w:val="BodyText"/>
      </w:pPr>
      <w:r>
        <w:t xml:space="preserve">The following steps describe the legacy manual workflow that operators performed daily before this automation was built: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Operator opens SIM-T query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Manually copy TIDs from each ticket description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Paste TIDs into Excel template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Look up SCC status per batch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Look up EagleEye RTO status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Filter PNAMA missort dashboard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Filter DSR Waterfall dashboard for Zone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Look up GCRS address + lat/lon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Run ADS pincode prediction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 jurisdiction polygon by hand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Paste every result back into the template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Manually apply the remark decision tree per row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Produce final workbook + NOC list + comments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2.2 Pain 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3860"/>
        <w:gridCol w:w="4600"/>
      </w:tblGrid>
      <w:tr>
        <w:trPr>
          <w:tblHeader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8 tools, manual lookups per TID batch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Hours of repetitive work daily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Copy-paste between tools and Excel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 risk of transcription errors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P3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Manual decision tree across columns AF/AD/AG + State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Inconsistent remarks under fatigue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P4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verification of the final file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Silent errors reach the output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P5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Volume volatility (56 to ~1,800 TIDs/day)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Heavy days overwhelm the operator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P6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Knowledge concentrated in one person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repeatable, documented procedure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2.3 Why Now</w:t>
      </w:r>
    </w:p>
    <w:p>
      <w:pPr>
        <w:pStyle w:val="BodyText"/>
      </w:pPr>
      <w:r>
        <w:t xml:space="preserve">The volume is both high and highly variable, the decision logic is well-defined (and thus automatable), and all source tools are reachable from the operator's authenticated sessions. The process is a textbook candidate for deterministic, rule-based automation — no judgment call that a documented rule cannot encode.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3. Goals and Non-Goals</w:t>
      </w:r>
    </w:p>
    <w:p>
      <w:pPr>
        <w:pStyle w:val="Heading2"/>
      </w:pPr>
      <w:r>
        <w:t xml:space="preserve">3.1 Goals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4260"/>
        <w:gridCol w:w="4200"/>
      </w:tblGrid>
      <w:tr>
        <w:trPr>
          <w:tblHeader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 It Is Measured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G1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Eliminate manual per-TID lookups across all 8 sources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0 manual lookups in a normal run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G2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Produce a correct, verified filled workbook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Read-back + polygon verification pass before download unlocks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G3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Reduce end-to-end time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~15-25 min for ~1,500 TIDs vs. hours manually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G4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Make the process repeatable and documented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One-click web app + full doc set + SOP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G5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Keep it free, local, and safe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paid services, runs on the laptop, read-only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G6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Apply the remark rules exactly and consistently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Rules encoded as pure functions + unit tests (59 passing)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3.2 Non-Goals (Explicitly Out of Scope)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3460"/>
        <w:gridCol w:w="5000"/>
      </w:tblGrid>
      <w:tr>
        <w:trPr>
          <w:tblHeader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Non-Goal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N1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Writing to Amazon systems (posting comments, resolving tickets)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Read-only by design; write actions stay behind a future explicit, gated approval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N2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Any AI/LLM in the run path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Deterministic rules only; reproducible and auditable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N3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OBLT (EVENT_414) lookups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Removed from scope by the operator (2026-09-17)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N4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A hosted/multi-user service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Local-per-operator using each operator's own Midway/SSO sessions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N5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Re-enabling Working Sheet column removal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Deleting columns shifts the grid and breaks formulas; intentionally disabled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4. Users and Personas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Needs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Operator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SWA India OOJ resolver (today: KABIDEBA)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 the daily process quickly and get a correct workbook with minimal clicks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Team lead / manager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 output and productivity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Confidence the output is correct, verifiable, and consistent day to day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Maintainer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Whoever extends the tool (today: KABIDEBA)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Clear code layout, tests, and docs to change a source or rule safely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5. Scope and the Solution</w:t>
      </w:r>
    </w:p>
    <w:p>
      <w:pPr>
        <w:pStyle w:val="Heading2"/>
      </w:pPr>
      <w:r>
        <w:t xml:space="preserve">5.1 What the Operator Sees</w:t>
      </w:r>
    </w:p>
    <w:p>
      <w:pPr>
        <w:pStyle w:val="BodyText"/>
      </w:pPr>
      <w:r>
        <w:t xml:space="preserve">A </w:t>
      </w:r>
      <w:r>
        <w:rPr>
          <w:b/>
          <w:bCs/>
        </w:rPr>
        <w:t xml:space="preserve">single local web page</w:t>
      </w:r>
      <w:r>
        <w:t xml:space="preserve"> (http://127.0.0.1:8000/) with four steps: grant Midway access, approve the ADS upload, start the run, and download the verified workbook. Live per-source progress cards (with % bars and counts), a live log with a </w:t>
      </w:r>
      <w:r>
        <w:rPr>
          <w:b/>
          <w:bCs/>
        </w:rPr>
        <w:t xml:space="preserve">Copy log</w:t>
      </w:r>
      <w:r>
        <w:t xml:space="preserve"> button, per-source CSV downloads, a </w:t>
      </w:r>
      <w:r>
        <w:rPr>
          <w:b/>
          <w:bCs/>
        </w:rPr>
        <w:t xml:space="preserve">Stop run</w:t>
      </w:r>
      <w:r>
        <w:t xml:space="preserve"> control, and a </w:t>
      </w:r>
      <w:r>
        <w:rPr>
          <w:b/>
          <w:bCs/>
        </w:rPr>
        <w:t xml:space="preserve">Download</w:t>
      </w:r>
      <w:r>
        <w:t xml:space="preserve"> button that only unlocks when the output passes verification.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5.2 The Pipeline (End to End)</w:t>
      </w:r>
    </w:p>
    <w:p>
      <w:pPr>
        <w:pStyle w:val="BodyText"/>
      </w:pPr>
      <w:r>
        <w:t xml:space="preserve">The following table describes each stage of the enrichment and output pipeline, in execution order:</w:t>
      </w:r>
    </w:p>
    <w:p>
      <w:pPr>
        <w:spacing w:after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SIM-T Tickets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Source of daily OOJ shipment tickets; each ticket yields one or more TIDs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Enrichment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SCC — status / station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Resolves state, destination, source station, and ship option per TID. Runs first; its resolved TIDs feed GCRS, Polygon, and ADS.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Enrichment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EagleEye — RTO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Pure API; retrieves RTO (return-to-origin) status. Runs on a background thread, overlapping the serial browser lanes.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Enrichment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PNAMA — missort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Identifies earlier-delivered / missort matches. Browser lane via QuickSight UI export.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Enrichment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DSR — Zone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Provides Zone per TID. Browser lane via QuickSight UI export.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Enrichment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GCRS/SIW — address + geo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Fetches geocoded address, lat/lon, and pincode. Uses mcscli with Edge browser as fallback.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Enrichment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Polygon — jurisdiction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Determines whether the delivery address is inside or outside the station jurisdiction using SIW gs+gr in realtime.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Enrichment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ADS — pincode predict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Runs predicted pincode + probability via the Streamlit UI. Browser lane.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Output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Fill template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Writes all enriched data into the standard Excel template.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Output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Excel recalc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Recalculates all formula columns in the workbook.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Output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Read-back verify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Verifies row/TID alignment, 25-column contract, no unexpected Excel errors, and polygon re-check.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Output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Apply remark rules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Applies the six-protected-value remark decision tree to column P.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Output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Download workbook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Download button unlocks only after all verification gates pass. Workbook is also copied to the Desktop automatically.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BodyText"/>
      </w:pPr>
      <w:r>
        <w:rPr>
          <w:b/>
          <w:bCs/>
        </w:rPr>
        <w:t xml:space="preserve">Execution model: </w:t>
      </w:r>
      <w:r>
        <w:t xml:space="preserve">SCC runs </w:t>
      </w:r>
      <w:r>
        <w:rPr>
          <w:b/>
          <w:bCs/>
        </w:rPr>
        <w:t xml:space="preserve">first</w:t>
      </w:r>
      <w:r>
        <w:t xml:space="preserve"> (its resolved TIDs feed GCRS/Polygon/ADS); EagleEye is a pure API that runs on a </w:t>
      </w:r>
      <w:r>
        <w:rPr>
          <w:b/>
          <w:bCs/>
        </w:rPr>
        <w:t xml:space="preserve">background thread</w:t>
      </w:r>
      <w:r>
        <w:t xml:space="preserve"> overlapping the serial browser lanes (PNAMA/DSR). The browser lanes share one Edge profile and stay serial by design.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5.3 Data Sources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3200"/>
        <w:gridCol w:w="2400"/>
        <w:gridCol w:w="15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Provides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Access Lane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Browser?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SIM-T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Tickets to TIDs (Tech_Data, row order)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builder-mcp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EagleEye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RTO status (REVERSE)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MCP API over Midway cookie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SCC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State, Destination, Source station, Ship option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Browser Search &gt; Export 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PNAMA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Missort / earlier-delivered match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QuickSight UI export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DSR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Zone per TID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QuickSight UI export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GCRS / SIW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Geocoded address, lat/lon, pincode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mcscli &gt; Edge fallback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Fallback only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Polygon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Inside/Outside jurisdiction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SIW gs+gr (realtime)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ADS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Predicted pincode + probability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Streamlit 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5.4 The Remark Decision Engine</w:t>
      </w:r>
    </w:p>
    <w:p>
      <w:pPr>
        <w:pStyle w:val="BodyText"/>
      </w:pPr>
      <w:r>
        <w:t xml:space="preserve">The heart of the accuracy guarantee. Column </w:t>
      </w:r>
      <w:r>
        <w:rPr>
          <w:b/>
          <w:bCs/>
        </w:rPr>
        <w:t xml:space="preserve">P ("Remark")</w:t>
      </w:r>
      <w:r>
        <w:t xml:space="preserve"> is rewritten from its template formula to a final literal value using a strict, ordered decision tree. There are </w:t>
      </w:r>
      <w:r>
        <w:rPr>
          <w:b/>
          <w:bCs/>
        </w:rPr>
        <w:t xml:space="preserve">six protected remark values</w:t>
      </w:r>
      <w:r>
        <w:t xml:space="preserve"> that, once present, are never overwritten. Full detail: </w:t>
      </w:r>
      <w:r>
        <w:rPr>
          <w:rFonts w:ascii="Courier New" w:cs="Courier New" w:eastAsia="Courier New" w:hAnsi="Courier New"/>
          <w:b/>
          <w:bCs/>
        </w:rPr>
        <w:t xml:space="preserve">Docs/remark-rules.md</w:t>
      </w:r>
      <w:r>
        <w:t xml:space="preserve">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Decision Tree — Column P (Remark) Assignment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3160"/>
        <w:gridCol w:w="5300"/>
      </w:tblGrid>
      <w:tr>
        <w:trPr>
          <w:tblHeader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 Checked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Is P already a protected value?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YES: Keep P as-is — STOP. NO: Continue to next step.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Is State column J = #N/A?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YES: P = "Invalid — Incorrect TID / TID Not Found". NO: Continue.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Is State = "In Transit DS to Customer"?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YES: P = "Invalid — OOR". NO: Continue.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Is AF a named transfer verdict?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YES: P = that AF text. NO: Continue.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Is AD a 4-character station code?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YES: P = "Valid". NO: Continue.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Is AG = "Inside Jurisdiction"?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YES: P = that AG Inside text. NO: P = "Valid".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6. Requirements</w:t>
      </w:r>
    </w:p>
    <w:p>
      <w:pPr>
        <w:pStyle w:val="Heading2"/>
      </w:pPr>
      <w:r>
        <w:t xml:space="preserve">6.1 Functional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360"/>
        <w:gridCol w:w="174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FR1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Pull the day's OOJ tickets from SIM-T and explode to one TID per row, preserving order and duplicates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FR2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Enrich every TID across SCC, EagleEye, PNAMA, DSR, GCRS, Polygon, ADS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FR3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Fill the Excel template and recalculate all formula columns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FR4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Apply the six-protected-value remark decision tree to column 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FR5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Verify the output (row/TID alignment, 25-column contract, no unexpected Excel errors, polygon re-check) before unlocking download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FR6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One-click local web UI with live per-source progress, log, and gated download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FR7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Per-source CSV download links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FR8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Partial mode — produce the workbook with a failed source left blank (labelled PARTIAL)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FR9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Stop run control and a Restart server button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FR10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Copy the verified workbook to the Desktop automatically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6.2 Non-Functional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60"/>
        <w:gridCol w:w="434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/ Rule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NFR1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Read-only against all Amazon systems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writes, ever, without explicit future gating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NFR2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AI/LLM in the run path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Deterministic rules only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NFR3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 and free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Runs on the laptop; Python stdlib + common OSS packages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NFR4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 data only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Startup sanitizer clears stale/partial scratch so a run cannot reuse yesterday's file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NFR5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Count-verified output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lane cross-checks identity/extra/duplicate counts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NFR6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~15-25 min for ~1,500 TIDs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NFR7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Safe parallelism only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Shared-Edge lanes stay serial; /grbi sequential; EagleEye + polygon fan-out are the only proven-safe concurrency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NFR8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run logs to a file; 7-day artifact retention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NFR9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Testability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 logic unit-tested offline (59 tests passing)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6.3 Safety and Compliance Requirements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Never posts to, resolves, or modifies any ticket or source system.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Runs as the operator, using the operator's own Midway/SSO sessions.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ADS upload (which sends addresses to a plaintext endpoint) requires an explicit per-run approval checkbox.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Untrusted CSV values are written as Excel literals, never as formulas.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7. Success Metrics and KPIs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60"/>
        <w:gridCol w:w="2000"/>
        <w:gridCol w:w="174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Baseline (Manual)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With Automation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Manual per-TID lookups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8 tools x ~1,500 TIDs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color w:val="1A7A3A"/>
                <w:sz w:val="20"/>
                <w:szCs w:val="20"/>
              </w:rPr>
              <w:t xml:space="preserve">Met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End-to-end run time (~1,500 TIDs)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Several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~15-25 min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1A7A3A"/>
                <w:sz w:val="20"/>
                <w:szCs w:val="20"/>
              </w:rPr>
              <w:t xml:space="preserve">Met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Output verification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 (manual eyeball)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Automated gate (read-back + polygon) before download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color w:val="1A7A3A"/>
                <w:sz w:val="20"/>
                <w:szCs w:val="20"/>
              </w:rPr>
              <w:t xml:space="preserve">Met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Remark consistency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Operator-dependent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Rule-encoded + 59 unit tests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1A7A3A"/>
                <w:sz w:val="20"/>
                <w:szCs w:val="20"/>
              </w:rPr>
              <w:t xml:space="preserve">Met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Clicks to produce the file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~4 (grant &gt; approve &gt; start &gt; download)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color w:val="1A7A3A"/>
                <w:sz w:val="20"/>
                <w:szCs w:val="20"/>
              </w:rPr>
              <w:t xml:space="preserve">Met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Operator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$0 software (local, OSS)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1A7A3A"/>
                <w:sz w:val="20"/>
                <w:szCs w:val="20"/>
              </w:rPr>
              <w:t xml:space="preserve">Met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8. Trends and Operating History</w:t>
      </w:r>
    </w:p>
    <w:p>
      <w:pPr>
        <w:pStyle w:val="Heading2"/>
      </w:pPr>
      <w:r>
        <w:t xml:space="preserve">8.1 Daily TID Volume (Observed)</w:t>
      </w:r>
    </w:p>
    <w:p>
      <w:pPr>
        <w:pStyle w:val="BodyText"/>
      </w:pPr>
      <w:r>
        <w:t xml:space="preserve">Daily OOJ volume is </w:t>
      </w:r>
      <w:r>
        <w:rPr>
          <w:b/>
          <w:bCs/>
        </w:rPr>
        <w:t xml:space="preserve">high and highly variable</w:t>
      </w:r>
      <w:r>
        <w:t xml:space="preserve"> — the backlog swings roughly </w:t>
      </w:r>
      <w:r>
        <w:rPr>
          <w:b/>
          <w:bCs/>
        </w:rPr>
        <w:t xml:space="preserve">56 to ~1,800 TIDs</w:t>
      </w:r>
      <w:r>
        <w:t xml:space="preserve"> day to day; a large change is expected, not a defect. A representative verified live snapshot processed </w:t>
      </w:r>
      <w:r>
        <w:rPr>
          <w:b/>
          <w:bCs/>
        </w:rPr>
        <w:t xml:space="preserve">788 tickets &gt; ~1,560 Working Sheet rows / ~1,496 unique TIDs</w:t>
      </w:r>
      <w:r>
        <w:t xml:space="preserve">.</w:t>
      </w:r>
    </w:p>
    <w:p>
      <w:pPr>
        <w:spacing w:after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Unique TIDs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Low-day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Observed minimum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Automation handles gracefully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Typical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~1,200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Representative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~15-25 min run time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Verified snapshot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~1,496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 production run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788 tickets &gt; 1,560 rows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High-day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~1,800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Observed maximum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Automation scales without operator overhead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Caption"/>
      </w:pPr>
      <w:r>
        <w:t xml:space="preserve">Table: Illustrative daily OOJ TID volume (variability). Exact daily figures come from each run's summary.json.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8.2 Capability Maturity Trend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Milestones Achieved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2026-09-16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Template + SOP decoded; SIM-T, EagleEye, SCC, GCRS access proven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2026-09-17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PNAMA + ADS working; Report spec fixed; OBLT descoped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2026-09-18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template delivered; local polygon verified; code + security review passed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2026-09-23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One-click web runner launched: per-source progress, partial mode, 7-day artifact prune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2026-09-28 to 29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SCC reliability improvements (failed-vs-not-found distinction); SCC 5000/search; GCRS transport-aware batch processing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2026-09-30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Startup sanitizer + restart button added; project-structure documentation published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2026-10-03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 + 9 safe fixes applied; 59 unit tests green; PRD + SOP prepared for leadership review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8.3 Quality Trend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Test suite grew to 59 passing offline unit tests covering the polygon workflow, the web-controller download gates, the remark rules (every branch), and the capture sanitizer.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 read-only audit (2026-10-03) found no data-corrupting defect; the follow-up applied 9 behavior-preserving fixes (doc accuracy, dead-code removal, path centralization, retention protection, redundant-read removal) with tests kept green.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9. Risks and Mitigations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0"/>
        <w:gridCol w:w="1100"/>
        <w:gridCol w:w="1000"/>
        <w:gridCol w:w="4360"/>
      </w:tblGrid>
      <w:tr>
        <w:trPr>
          <w:tblHeader/>
        </w:trPr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A source UI changes (SCC/PNAMA/DSR/ADS)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Lane fails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Each lane fails loudly with screenshots; partial mode keeps the run usable; troubleshooting doc covers all known patterns</w:t>
            </w:r>
          </w:p>
        </w:tc>
      </w:tr>
      <w:tr>
        <w:trPr>
          <w:tblHeader w:val="false"/>
        </w:trPr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Source tool outage (e.g. SCC bulk search down)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Lane blank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Partial mode; re-run when restored</w:t>
            </w:r>
          </w:p>
        </w:tc>
      </w:tr>
      <w:tr>
        <w:trPr>
          <w:tblHeader w:val="false"/>
        </w:trPr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Auth/session expiry (Midway, Edge profile)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Lane fails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Clear login messages; mwinit -o + profile sign-in; mcscli &gt; Edge fallback for GCRS</w:t>
            </w:r>
          </w:p>
        </w:tc>
      </w:tr>
      <w:tr>
        <w:trPr>
          <w:tblHeader w:val="false"/>
        </w:trPr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Operator-specific hard-coded paths (Edge profile)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Breaks on new machine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Centralized to one constant with OOJ_EDGE_PROFILE env override</w:t>
            </w:r>
          </w:p>
        </w:tc>
      </w:tr>
      <w:tr>
        <w:trPr>
          <w:tblHeader w:val="false"/>
        </w:trPr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Stale data reused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Wrong output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Startup sanitizer clears partial/stale scratch; live-data-only rule enforced</w:t>
            </w:r>
          </w:p>
        </w:tc>
      </w:tr>
      <w:tr>
        <w:trPr>
          <w:tblHeader w:val="false"/>
        </w:trPr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Single-maintainer knowledge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Bus factor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doc set + this PRD + the SOP</w:t>
            </w:r>
          </w:p>
        </w:tc>
      </w:tr>
      <w:tr>
        <w:trPr>
          <w:tblHeader w:val="false"/>
        </w:trPr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ADS plaintext endpoint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Known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Address data over HTTP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Explicit per-run approval checkbox required; documented in SOP and troubleshooting guide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10. Rollout and Operations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Deployment model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Local-per-operator. Each operator runs their own copy using their own Midway/SSO sessions. No hosted service.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Launch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Double-click Start OOJ Web.bat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Cadence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Aligns to the SOP's two daily query runs (10:30 and 17:30 IST)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Support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Docs/troubleshooting.md lists every known failure and its fix; failing browser steps save screenshots under tools/captures/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Retention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 artifacts auto-pruned after 7 days; the SCC enum ground-truth file is protected from pruning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11. Future Work (Roadmap)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Gated write-back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Optional, explicitly-approved posting of per-ticket comments / NOC raise with a dry-run diff first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Deferred (read-only today)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Config-driven endpoints/paths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Move remaining hard-coded endpoints into one settings module/env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Partially done (Edge profile centralized)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Portability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Make all machine-specific paths configurable for a second operator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Candidate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Shared normalizer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normalize_tid across all modules (removes a rare DOC-case edge)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Proposed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Headless ADS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Replace the Streamlit UI driver with a batch endpoint if the model team exposes 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Dependent on model team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12. Appendix — Documentation Map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README.md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Top-level documentation map and project overview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Docs/pipeline-reference.md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Pipeline detail — each lane, its inputs, outputs, and failure modes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Docs/remark-rules.md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remark decision tree — all six protected values and every branch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Docs/report-spec.md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 columns — 25-column contract 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Docs/SOP-OOJ-Automation.md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Operator SOP — step-by-step guide for daily production 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Docs/troubleshooting.md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Troubleshooting — every known failure mode and its resolution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Docs/edge-cases.md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Edge cases (live) — observed edge cases and how they are handled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Docs/changes.md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Changelog (live) — full history of changes and fixes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none"/>
              <w:bottom w:val="none"/>
              <w:right w:val="none"/>
            </w:tcBorders>
            <w:shd w:fill="FFFFFF" w:val="clear"/>
          </w:tcPr>
          <w:p>
            <w:pPr>
              <w:spacing w:after="80" w:before="120"/>
            </w:pPr>
            <w:r>
              <w:rPr>
                <w:i/>
                <w:iCs/>
                <w:color w:val="444444"/>
                <w:sz w:val="20"/>
                <w:szCs w:val="20"/>
              </w:rPr>
              <w:t xml:space="preserve">Authored and built by </w:t>
            </w:r>
            <w:r>
              <w:rPr>
                <w:b/>
                <w:bCs/>
                <w:i/>
                <w:iCs/>
                <w:color w:val="1A3560"/>
                <w:sz w:val="20"/>
                <w:szCs w:val="20"/>
              </w:rPr>
              <w:t xml:space="preserve">KABIDEBA</w:t>
            </w:r>
            <w:r>
              <w:rPr>
                <w:i/>
                <w:iCs/>
                <w:color w:val="444444"/>
                <w:sz w:val="20"/>
                <w:szCs w:val="20"/>
              </w:rPr>
              <w:t xml:space="preserve">, SWA India — Out-of-Jurisdiction resolver group.</w:t>
            </w:r>
          </w:p>
          <w:p>
            <w:pPr>
              <w:spacing w:after="100" w:before="0"/>
            </w:pPr>
            <w:r>
              <w:rPr>
                <w:i/>
                <w:iCs/>
                <w:color w:val="444444"/>
                <w:sz w:val="20"/>
                <w:szCs w:val="20"/>
              </w:rPr>
              <w:t xml:space="preserve">This document is intended for leadership review and team enablement.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864" w:bottom="108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60"/>
      <w:jc w:val="center"/>
    </w:pPr>
    <w:r>
      <w:rPr>
        <w:color w:val="777777"/>
        <w:sz w:val="18"/>
        <w:szCs w:val="18"/>
      </w:rPr>
      <w:t xml:space="preserve">CONFIDENTIAL — Internal Use Only    |  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777777"/>
        <w:sz w:val="18"/>
        <w:szCs w:val="18"/>
      </w:rPr>
      <w:t xml:space="preserve">    |    Authored by KABIDEBA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spacing w:after="60"/>
      <w:jc w:val="right"/>
    </w:pPr>
    <w:r>
      <w:rPr>
        <w:color w:val="777777"/>
        <w:sz w:val="18"/>
        <w:szCs w:val="18"/>
      </w:rPr>
      <w:t xml:space="preserve">SWA India — OOJ Process Automation |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Title"/>
    <w:basedOn w:val="Normal"/>
    <w:qFormat/>
    <w:pPr>
      <w:spacing w:after="80"/>
      <w:jc w:val="left"/>
    </w:pPr>
    <w:rPr>
      <w:b/>
      <w:bCs/>
      <w:color w:val="1A3560"/>
      <w:sz w:val="40"/>
      <w:szCs w:val="40"/>
    </w:rPr>
  </w:style>
  <w:style w:type="paragraph" w:styleId="DocSubtitle">
    <w:name w:val="DocSubtitle"/>
    <w:basedOn w:val="Normal"/>
    <w:qFormat/>
    <w:pPr>
      <w:spacing w:after="200"/>
      <w:jc w:val="left"/>
    </w:pPr>
    <w:rPr>
      <w:i/>
      <w:iCs/>
      <w:color w:val="2E5FA3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2E5FA3" w:sz="4"/>
      </w:pBdr>
      <w:spacing w:after="120" w:before="360"/>
      <w:outlineLvl w:val="0"/>
    </w:pPr>
    <w:rPr>
      <w:b/>
      <w:bCs/>
      <w:color w:val="1A356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3A6BBF"/>
      <w:sz w:val="23"/>
      <w:szCs w:val="23"/>
    </w:rPr>
  </w:style>
  <w:style w:type="paragraph" w:styleId="BodyText">
    <w:name w:val="BodyText"/>
    <w:basedOn w:val="Normal"/>
    <w:qFormat/>
    <w:pPr>
      <w:spacing w:after="120" w:line="276"/>
    </w:pPr>
    <w:rPr>
      <w:sz w:val="22"/>
      <w:szCs w:val="22"/>
    </w:rPr>
  </w:style>
  <w:style w:type="paragraph" w:styleId="BlockQuote">
    <w:name w:val="BlockQuote"/>
    <w:basedOn w:val="Normal"/>
    <w:qFormat/>
    <w:pPr>
      <w:pBdr>
        <w:left w:val="single" w:color="2E5FA3" w:sz="12"/>
      </w:pBdr>
      <w:spacing w:after="160" w:before="160"/>
      <w:ind w:left="720" w:right="720"/>
    </w:pPr>
    <w:rPr>
      <w:i/>
      <w:iCs/>
      <w:color w:val="333333"/>
      <w:sz w:val="22"/>
      <w:szCs w:val="22"/>
    </w:rPr>
  </w:style>
  <w:style w:type="paragraph" w:styleId="Caption">
    <w:name w:val="Caption"/>
    <w:basedOn w:val="Normal"/>
    <w:qFormat/>
    <w:pPr>
      <w:spacing w:after="160" w:before="60"/>
      <w:jc w:val="center"/>
    </w:pPr>
    <w:rPr>
      <w:i/>
      <w:iCs/>
      <w:color w:val="555555"/>
      <w:sz w:val="18"/>
      <w:szCs w:val="18"/>
    </w:rPr>
  </w:style>
  <w:style w:type="paragraph" w:styleId="ProcessStep">
    <w:name w:val="ProcessStep"/>
    <w:basedOn w:val="Normal"/>
    <w:qFormat/>
    <w:pPr>
      <w:spacing w:after="80"/>
      <w:ind w:left="360"/>
    </w:pPr>
    <w:rPr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webextensions/_rels/taskpanes.xml.rels><?xml version="1.0" encoding="UTF-8" standalone="yes"?>
<Relationships xmlns="http://schemas.openxmlformats.org/package/2006/relationships">
  <Relationship Id="rId1" Type="http://schemas.microsoft.com/office/2011/relationships/webextension" Target="webextension1.xml"/>
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52D7F9F-5F57-4F89-8254-B37B658AA1F9}">
  <we:reference id="2f33f607-97c7-4595-bf11-f05b1ebfa89c" version="1.0.1.8" store="EXCatalog" storeType="EXCatalog"/>
  <we:alternateReferences/>
  <we:properties>
    <we:property name="Office.AutoShowTaskpaneWithDocument" value="true"/>
    <we:property name="conversationId" value="&quot;d615e113-2d01-4d54-8775-4f4ce8df427d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2026-10-03T09:30:26.365Z</dcterms:created>
  <dcterms:modified xsi:type="dcterms:W3CDTF">2026-10-03T09:30:26.366Z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