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3A5C"/>
          <w:sz w:val="56"/>
          <w:szCs w:val="56"/>
        </w:rPr>
        <w:t xml:space="preserve">DARK FACTORY</w:t>
      </w:r>
    </w:p>
    <w:p>
      <w:pPr>
        <w:spacing w:after="120"/>
        <w:jc w:val="center"/>
      </w:pPr>
      <w:r>
        <w:rPr>
          <w:rFonts w:ascii="Arial" w:cs="Arial" w:eastAsia="Arial" w:hAnsi="Arial"/>
          <w:b/>
          <w:bCs/>
          <w:color w:val="2E75B6"/>
          <w:sz w:val="44"/>
          <w:szCs w:val="44"/>
        </w:rPr>
        <w:t xml:space="preserve">OF SOFTWARE DEVELOPMENT</w:t>
      </w:r>
    </w:p>
    <w:p>
      <w:pPr>
        <w:spacing w:after="80"/>
      </w:pPr>
    </w:p>
    <w:p>
      <w:pPr>
        <w:pBdr>
          <w:top w:val="single" w:color="2E75B6" w:sz="6" w:space="8"/>
          <w:bottom w:val="single" w:color="2E75B6" w:sz="6" w:space="8"/>
        </w:pBdr>
        <w:spacing w:after="200" w:before="200"/>
        <w:jc w:val="center"/>
      </w:pPr>
      <w:r>
        <w:rPr>
          <w:rFonts w:ascii="Arial" w:cs="Arial" w:eastAsia="Arial" w:hAnsi="Arial"/>
          <w:i/>
          <w:iCs/>
          <w:color w:val="555555"/>
          <w:sz w:val="28"/>
          <w:szCs w:val="28"/>
        </w:rPr>
        <w:t xml:space="preserve">A Strategic Analysis for Enterprise Leadership</w:t>
      </w:r>
    </w:p>
    <w:p>
      <w:pPr>
        <w:spacing w:after="80"/>
      </w:pPr>
    </w:p>
    <w:p>
      <w:pPr>
        <w:spacing w:after="80"/>
        <w:jc w:val="center"/>
      </w:pPr>
      <w:r>
        <w:rPr>
          <w:rFonts w:ascii="Arial" w:cs="Arial" w:eastAsia="Arial" w:hAnsi="Arial"/>
          <w:color w:val="222222"/>
          <w:sz w:val="24"/>
          <w:szCs w:val="24"/>
        </w:rPr>
        <w:t xml:space="preserve">Autonomous AI-Driven Software Engineering:</w:t>
      </w:r>
    </w:p>
    <w:p>
      <w:pPr>
        <w:spacing w:after="80"/>
        <w:jc w:val="center"/>
      </w:pPr>
      <w:r>
        <w:rPr>
          <w:rFonts w:ascii="Arial" w:cs="Arial" w:eastAsia="Arial" w:hAnsi="Arial"/>
          <w:color w:val="222222"/>
          <w:sz w:val="24"/>
          <w:szCs w:val="24"/>
        </w:rPr>
        <w:t xml:space="preserve">Viability, Enterprise Impact, Workforce Implications,</w:t>
      </w:r>
    </w:p>
    <w:p>
      <w:pPr>
        <w:spacing w:after="300"/>
        <w:jc w:val="center"/>
      </w:pPr>
      <w:r>
        <w:rPr>
          <w:rFonts w:ascii="Arial" w:cs="Arial" w:eastAsia="Arial" w:hAnsi="Arial"/>
          <w:color w:val="222222"/>
          <w:sz w:val="24"/>
          <w:szCs w:val="24"/>
        </w:rPr>
        <w:t xml:space="preserve">and Strategic Response Framework</w:t>
      </w:r>
    </w:p>
    <w:p>
      <w:pPr>
        <w:spacing w:after="80"/>
      </w:pPr>
    </w:p>
    <w:p>
      <w:pPr>
        <w:spacing w:after="80"/>
      </w:pPr>
    </w:p>
    <w:p>
      <w:pPr>
        <w:spacing w:after="80"/>
      </w:pPr>
    </w:p>
    <w:p>
      <w:pPr>
        <w:spacing w:after="80"/>
      </w:pPr>
    </w:p>
    <w:p>
      <w:pPr>
        <w:jc w:val="center"/>
      </w:pPr>
      <w:r>
        <w:rPr>
          <w:rFonts w:ascii="Arial" w:cs="Arial" w:eastAsia="Arial" w:hAnsi="Arial"/>
          <w:color w:val="888888"/>
          <w:sz w:val="20"/>
          <w:szCs w:val="20"/>
        </w:rPr>
        <w:t xml:space="preserve">June 2025  |  Confidential  |  For C-Suite Distribution</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3A5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3A5C"/>
          <w:sz w:val="32"/>
          <w:szCs w:val="32"/>
        </w:rPr>
        <w:t xml:space="preserve">1. Executive Summary</w:t>
      </w:r>
    </w:p>
    <w:p>
      <w:pPr>
        <w:spacing w:after="160" w:line="312"/>
        <w:jc w:val="both"/>
      </w:pPr>
      <w:r>
        <w:rPr>
          <w:rFonts w:ascii="Arial" w:cs="Arial" w:eastAsia="Arial" w:hAnsi="Arial"/>
          <w:color w:val="222222"/>
          <w:sz w:val="22"/>
          <w:szCs w:val="22"/>
        </w:rPr>
        <w:t xml:space="preserve">The concept of a Dark Factory in software development represents the logical extension of industrial lights-out manufacturing into the domain of software engineering. Derived from the manufacturing term describing fully automated factories that operate without human presence or illumination, a software Dark Factory envisions end-to-end autonomous systems where artificial intelligence agents independently specify, architect, code, test, deploy, and maintain software products with minimal to zero human intervention.</w:t>
      </w:r>
    </w:p>
    <w:p>
      <w:pPr>
        <w:spacing w:after="160" w:line="312"/>
        <w:jc w:val="both"/>
      </w:pPr>
      <w:r>
        <w:rPr>
          <w:rFonts w:ascii="Arial" w:cs="Arial" w:eastAsia="Arial" w:hAnsi="Arial"/>
          <w:color w:val="222222"/>
          <w:sz w:val="22"/>
          <w:szCs w:val="22"/>
        </w:rPr>
        <w:t xml:space="preserve">This analysis examines the Dark Factory concept through seven lenses critical to enterprise decision-making: product development capability, enterprise-wide impact, workforce transformation, cognitive sustainability, perspectives from founding AI laboratories and major technology companies, financial viability and cost-benefit dynamics, and strategic response frameworks for organizations that must navigate this shift.</w:t>
      </w:r>
    </w:p>
    <w:p>
      <w:pPr>
        <w:spacing w:after="160" w:line="312"/>
        <w:jc w:val="both"/>
      </w:pPr>
      <w:r>
        <w:rPr>
          <w:rFonts w:ascii="Arial" w:cs="Arial" w:eastAsia="Arial" w:hAnsi="Arial"/>
          <w:color w:val="222222"/>
          <w:sz w:val="22"/>
          <w:szCs w:val="22"/>
        </w:rPr>
        <w:t xml:space="preserve">The core finding of this analysis is that fully autonomous Dark Factories remain a medium-term aspiration rather than an immediate reality, but the trajectory toward partial autonomy is accelerating faster than most enterprise planning cycles account for. Organizations that dismiss the concept risk being outpaced by competitors who integrate human-AI collaborative models. Equally, organizations that over-invest in full autonomy without solving the verification and governance problem risk catastrophic quality failures.</w:t>
      </w:r>
    </w:p>
    <w:p>
      <w:pPr>
        <w:pBdr>
          <w:left w:val="single" w:color="2E75B6" w:sz="12" w:space="8"/>
        </w:pBdr>
        <w:spacing w:after="200" w:before="200"/>
        <w:ind w:left="360"/>
      </w:pPr>
      <w:r>
        <w:rPr>
          <w:rFonts w:ascii="Arial" w:cs="Arial" w:eastAsia="Arial" w:hAnsi="Arial"/>
          <w:i/>
          <w:iCs/>
          <w:color w:val="1B3A5C"/>
          <w:sz w:val="22"/>
          <w:szCs w:val="22"/>
        </w:rPr>
        <w:t xml:space="preserve">Key Verdict: The Dark Factory is not a binary state. It is a spectrum ranging from AI-augmented development (where we are today) to fully autonomous production (a 5-10 year horizon for commodity software, longer for safety-critical systems). The strategic imperative is to define your organization’s position on this spectrum and invest accordingly.</w:t>
      </w:r>
    </w:p>
    <w:p>
      <w:r>
        <w:br w:type="page"/>
      </w:r>
    </w:p>
    <w:p>
      <w:pPr>
        <w:pStyle w:val="Heading1"/>
        <w:spacing w:after="200" w:before="360"/>
      </w:pPr>
      <w:r>
        <w:rPr>
          <w:rFonts w:ascii="Arial" w:cs="Arial" w:eastAsia="Arial" w:hAnsi="Arial"/>
          <w:b/>
          <w:bCs/>
          <w:color w:val="1B3A5C"/>
          <w:sz w:val="32"/>
          <w:szCs w:val="32"/>
        </w:rPr>
        <w:t xml:space="preserve">2. Defining the Dark Factory of Software Development</w:t>
      </w:r>
    </w:p>
    <w:p>
      <w:pPr>
        <w:pStyle w:val="Heading2"/>
        <w:spacing w:after="200" w:before="240"/>
      </w:pPr>
      <w:r>
        <w:rPr>
          <w:rFonts w:ascii="Arial" w:cs="Arial" w:eastAsia="Arial" w:hAnsi="Arial"/>
          <w:b/>
          <w:bCs/>
          <w:color w:val="1B3A5C"/>
          <w:sz w:val="28"/>
          <w:szCs w:val="28"/>
        </w:rPr>
        <w:t xml:space="preserve">2.1 Origins: From Manufacturing to Software</w:t>
      </w:r>
    </w:p>
    <w:p>
      <w:pPr>
        <w:spacing w:after="160" w:line="312"/>
        <w:jc w:val="both"/>
      </w:pPr>
      <w:r>
        <w:rPr>
          <w:rFonts w:ascii="Arial" w:cs="Arial" w:eastAsia="Arial" w:hAnsi="Arial"/>
          <w:color w:val="222222"/>
          <w:sz w:val="22"/>
          <w:szCs w:val="22"/>
        </w:rPr>
        <w:t xml:space="preserve">The term “lights-out manufacturing” has been in use since the 1980s, describing facilities where robotic systems operate continuously without human workers on the floor. FANUC Corporation’s Oshino factory in Japan has operated segments of its production in lights-out mode since 2001, with robots building other robots in darkness for up to 30 days without human intervention. Xiaomi’s Beijing smart factory produces one smartphone every second with near-zero human labor.</w:t>
      </w:r>
    </w:p>
    <w:p>
      <w:pPr>
        <w:spacing w:after="160" w:line="312"/>
        <w:jc w:val="both"/>
      </w:pPr>
      <w:r>
        <w:rPr>
          <w:rFonts w:ascii="Arial" w:cs="Arial" w:eastAsia="Arial" w:hAnsi="Arial"/>
          <w:color w:val="222222"/>
          <w:sz w:val="22"/>
          <w:szCs w:val="22"/>
        </w:rPr>
        <w:t xml:space="preserve">The software development analogy emerged in earnest during 2024-2025 as large language models (LLMs) began demonstrating capability not just in code completion but in end-to-end task execution: understanding requirements in natural language, decomposing them into technical specifications, generating implementation code, writing and executing tests, debugging failures, and iterating autonomously until acceptance criteria are met.</w:t>
      </w:r>
    </w:p>
    <w:p>
      <w:pPr>
        <w:pStyle w:val="Heading2"/>
        <w:spacing w:after="200" w:before="240"/>
      </w:pPr>
      <w:r>
        <w:rPr>
          <w:rFonts w:ascii="Arial" w:cs="Arial" w:eastAsia="Arial" w:hAnsi="Arial"/>
          <w:b/>
          <w:bCs/>
          <w:color w:val="1B3A5C"/>
          <w:sz w:val="28"/>
          <w:szCs w:val="28"/>
        </w:rPr>
        <w:t xml:space="preserve">2.2 Architectural Anatomy of a Software Dark Factory</w:t>
      </w:r>
    </w:p>
    <w:p>
      <w:pPr>
        <w:spacing w:after="160" w:line="312"/>
        <w:jc w:val="both"/>
      </w:pPr>
      <w:r>
        <w:rPr>
          <w:rFonts w:ascii="Arial" w:cs="Arial" w:eastAsia="Arial" w:hAnsi="Arial"/>
          <w:color w:val="222222"/>
          <w:sz w:val="22"/>
          <w:szCs w:val="22"/>
        </w:rPr>
        <w:t xml:space="preserve">A fully realized software Dark Factory would comprise several interconnected autonomous layers operating as a closed-loop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00"/>
        <w:gridCol w:w="4460"/>
      </w:tblGrid>
      <w:tr>
        <w:trPr>
          <w:tblHeader/>
        </w:trPr>
        <w:tc>
          <w:tcPr>
            <w:tcW w:type="dxa" w:w="1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1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44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AI Capability Maturity</w:t>
            </w:r>
          </w:p>
        </w:tc>
      </w:tr>
      <w:tr>
        <w:tc>
          <w:tcPr>
            <w:tcW w:type="dxa" w:w="1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Requirements Interpretation</w:t>
            </w:r>
          </w:p>
        </w:tc>
        <w:tc>
          <w:tcPr>
            <w:tcW w:type="dxa" w:w="31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NL requirements → formal specs, user story decomposition, acceptance criteria generation</w:t>
            </w:r>
          </w:p>
        </w:tc>
        <w:tc>
          <w:tcPr>
            <w:tcW w:type="dxa" w:w="44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Medium – LLMs can parse intent but struggle with ambiguity resolution and business context</w:t>
            </w:r>
          </w:p>
        </w:tc>
      </w:tr>
      <w:tr>
        <w:tc>
          <w:tcPr>
            <w:tcW w:type="dxa" w:w="18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Architecture &amp; Design</w:t>
            </w:r>
          </w:p>
        </w:tc>
        <w:tc>
          <w:tcPr>
            <w:tcW w:type="dxa" w:w="31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System design, technology selection, API contract definition, data modeling</w:t>
            </w:r>
          </w:p>
        </w:tc>
        <w:tc>
          <w:tcPr>
            <w:tcW w:type="dxa" w:w="446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Low-Medium – Models can suggest patterns but lack organizational context for trade-off decisions</w:t>
            </w:r>
          </w:p>
        </w:tc>
      </w:tr>
      <w:tr>
        <w:tc>
          <w:tcPr>
            <w:tcW w:type="dxa" w:w="1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Code Generation</w:t>
            </w:r>
          </w:p>
        </w:tc>
        <w:tc>
          <w:tcPr>
            <w:tcW w:type="dxa" w:w="31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Implementation of business logic, UI, data access, infrastructure-as-code</w:t>
            </w:r>
          </w:p>
        </w:tc>
        <w:tc>
          <w:tcPr>
            <w:tcW w:type="dxa" w:w="44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High – State-of-the-art models produce working code for well-defined, bounded tasks</w:t>
            </w:r>
          </w:p>
        </w:tc>
      </w:tr>
      <w:tr>
        <w:tc>
          <w:tcPr>
            <w:tcW w:type="dxa" w:w="18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Testing &amp; Verification</w:t>
            </w:r>
          </w:p>
        </w:tc>
        <w:tc>
          <w:tcPr>
            <w:tcW w:type="dxa" w:w="31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Unit/integration/e2e test generation, mutation testing, property-based testing</w:t>
            </w:r>
          </w:p>
        </w:tc>
        <w:tc>
          <w:tcPr>
            <w:tcW w:type="dxa" w:w="446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Medium – Test generation is improving rapidly but coverage quality is uneven</w:t>
            </w:r>
          </w:p>
        </w:tc>
      </w:tr>
      <w:tr>
        <w:tc>
          <w:tcPr>
            <w:tcW w:type="dxa" w:w="1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Deployment &amp; Operations</w:t>
            </w:r>
          </w:p>
        </w:tc>
        <w:tc>
          <w:tcPr>
            <w:tcW w:type="dxa" w:w="31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CI/CD pipeline execution, infrastructure provisioning, rollback decisions</w:t>
            </w:r>
          </w:p>
        </w:tc>
        <w:tc>
          <w:tcPr>
            <w:tcW w:type="dxa" w:w="44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Medium-High – GitOps and IaC already near-autonomous; AI adds anomaly-driven rollback</w:t>
            </w:r>
          </w:p>
        </w:tc>
      </w:tr>
      <w:tr>
        <w:tc>
          <w:tcPr>
            <w:tcW w:type="dxa" w:w="18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Monitoring &amp; Self-Healing</w:t>
            </w:r>
          </w:p>
        </w:tc>
        <w:tc>
          <w:tcPr>
            <w:tcW w:type="dxa" w:w="31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Production observability, incident detection, autonomous remediation</w:t>
            </w:r>
          </w:p>
        </w:tc>
        <w:tc>
          <w:tcPr>
            <w:tcW w:type="dxa" w:w="446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Medium – AIOps tools detect anomalies; autonomous root cause analysis is nascent</w:t>
            </w:r>
          </w:p>
        </w:tc>
      </w:tr>
      <w:tr>
        <w:tc>
          <w:tcPr>
            <w:tcW w:type="dxa" w:w="1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Evolution &amp; Maintenance</w:t>
            </w:r>
          </w:p>
        </w:tc>
        <w:tc>
          <w:tcPr>
            <w:tcW w:type="dxa" w:w="31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Dependency updates, refactoring, tech debt reduction, feature iteration</w:t>
            </w:r>
          </w:p>
        </w:tc>
        <w:tc>
          <w:tcPr>
            <w:tcW w:type="dxa" w:w="44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Low-Medium – Dependabot-style automation exists; substantive refactoring remains human-guided</w:t>
            </w:r>
          </w:p>
        </w:tc>
      </w:tr>
    </w:tbl>
    <w:p>
      <w:pPr>
        <w:spacing w:after="80"/>
      </w:pPr>
    </w:p>
    <w:p>
      <w:pPr>
        <w:pStyle w:val="Heading2"/>
        <w:spacing w:after="200" w:before="240"/>
      </w:pPr>
      <w:r>
        <w:rPr>
          <w:rFonts w:ascii="Arial" w:cs="Arial" w:eastAsia="Arial" w:hAnsi="Arial"/>
          <w:b/>
          <w:bCs/>
          <w:color w:val="1B3A5C"/>
          <w:sz w:val="28"/>
          <w:szCs w:val="28"/>
        </w:rPr>
        <w:t xml:space="preserve">2.3 The Autonomy Spectrum</w:t>
      </w:r>
    </w:p>
    <w:p>
      <w:pPr>
        <w:spacing w:after="160" w:line="312"/>
        <w:jc w:val="both"/>
      </w:pPr>
      <w:r>
        <w:rPr>
          <w:rFonts w:ascii="Arial" w:cs="Arial" w:eastAsia="Arial" w:hAnsi="Arial"/>
          <w:color w:val="222222"/>
          <w:sz w:val="22"/>
          <w:szCs w:val="22"/>
        </w:rPr>
        <w:t xml:space="preserve">Rather than a binary Dark Factory on/off switch, the industry is moving through progressive levels of autonomy, analogous to the SAE levels for autonomous vehicles: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00"/>
        <w:gridCol w:w="2960"/>
      </w:tblGrid>
      <w:tr>
        <w:trPr>
          <w:tblHeader/>
        </w:trPr>
        <w:tc>
          <w:tcPr>
            <w:tcW w:type="dxa" w:w="1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4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Human Role</w:t>
            </w:r>
          </w:p>
        </w:tc>
        <w:tc>
          <w:tcPr>
            <w:tcW w:type="dxa" w:w="29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Industry Status (Mid-2025)</w:t>
            </w:r>
          </w:p>
        </w:tc>
      </w:tr>
      <w:tr>
        <w:tc>
          <w:tcPr>
            <w:tcW w:type="dxa" w:w="1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L0 – Manual</w:t>
            </w:r>
          </w:p>
        </w:tc>
        <w:tc>
          <w:tcPr>
            <w:tcW w:type="dxa" w:w="24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Developer writes all code manually</w:t>
            </w:r>
          </w:p>
        </w:tc>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Full control</w:t>
            </w:r>
          </w:p>
        </w:tc>
        <w:tc>
          <w:tcPr>
            <w:tcW w:type="dxa" w:w="29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Legacy baseline</w:t>
            </w:r>
          </w:p>
        </w:tc>
      </w:tr>
      <w:tr>
        <w:tc>
          <w:tcPr>
            <w:tcW w:type="dxa" w:w="12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L1 – Assisted</w:t>
            </w:r>
          </w:p>
        </w:tc>
        <w:tc>
          <w:tcPr>
            <w:tcW w:type="dxa" w:w="24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AI provides code completions, suggestions (Copilot, Codeium)</w:t>
            </w:r>
          </w:p>
        </w:tc>
        <w:tc>
          <w:tcPr>
            <w:tcW w:type="dxa" w:w="28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Active coding with AI suggestions</w:t>
            </w:r>
          </w:p>
        </w:tc>
        <w:tc>
          <w:tcPr>
            <w:tcW w:type="dxa" w:w="296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Mainstream adoption (~70% of professional developers)</w:t>
            </w:r>
          </w:p>
        </w:tc>
      </w:tr>
      <w:tr>
        <w:tc>
          <w:tcPr>
            <w:tcW w:type="dxa" w:w="1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L2 – Partial Automation</w:t>
            </w:r>
          </w:p>
        </w:tc>
        <w:tc>
          <w:tcPr>
            <w:tcW w:type="dxa" w:w="24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AI executes bounded tasks: full function implementation, test generation, bug fix PRs (Cursor, Copilot Agent)</w:t>
            </w:r>
          </w:p>
        </w:tc>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Task-level supervision; developer reviews and approves</w:t>
            </w:r>
          </w:p>
        </w:tc>
        <w:tc>
          <w:tcPr>
            <w:tcW w:type="dxa" w:w="29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Early mainstream (2024-2025)</w:t>
            </w:r>
          </w:p>
        </w:tc>
      </w:tr>
      <w:tr>
        <w:tc>
          <w:tcPr>
            <w:tcW w:type="dxa" w:w="12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L3 – Conditional Automation</w:t>
            </w:r>
          </w:p>
        </w:tc>
        <w:tc>
          <w:tcPr>
            <w:tcW w:type="dxa" w:w="24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AI completes multi-file features end-to-end; handles ambiguity within guard-rails (Devin, Factory, Codegen)</w:t>
            </w:r>
          </w:p>
        </w:tc>
        <w:tc>
          <w:tcPr>
            <w:tcW w:type="dxa" w:w="28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Feature-level review; intervenes on exceptions</w:t>
            </w:r>
          </w:p>
        </w:tc>
        <w:tc>
          <w:tcPr>
            <w:tcW w:type="dxa" w:w="296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Early adopter phase (2025)</w:t>
            </w:r>
          </w:p>
        </w:tc>
      </w:tr>
      <w:tr>
        <w:tc>
          <w:tcPr>
            <w:tcW w:type="dxa" w:w="1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L4 – High Automation</w:t>
            </w:r>
          </w:p>
        </w:tc>
        <w:tc>
          <w:tcPr>
            <w:tcW w:type="dxa" w:w="24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AI autonomously delivers sprint-level work; manages its own test/deploy pipeline; escalates only on policy triggers</w:t>
            </w:r>
          </w:p>
        </w:tc>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Sprint-level governance; architectural oversight</w:t>
            </w:r>
          </w:p>
        </w:tc>
        <w:tc>
          <w:tcPr>
            <w:tcW w:type="dxa" w:w="29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Experimental / limited pilots</w:t>
            </w:r>
          </w:p>
        </w:tc>
      </w:tr>
      <w:tr>
        <w:tc>
          <w:tcPr>
            <w:tcW w:type="dxa" w:w="12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L5 – Full Autonomy (Dark Factory)</w:t>
            </w:r>
          </w:p>
        </w:tc>
        <w:tc>
          <w:tcPr>
            <w:tcW w:type="dxa" w:w="24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AI autonomously operates the full SDLC with no human in the loop</w:t>
            </w:r>
          </w:p>
        </w:tc>
        <w:tc>
          <w:tcPr>
            <w:tcW w:type="dxa" w:w="28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None (or pure business-level intent setting)</w:t>
            </w:r>
          </w:p>
        </w:tc>
        <w:tc>
          <w:tcPr>
            <w:tcW w:type="dxa" w:w="296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Theoretical / aspirational</w:t>
            </w:r>
          </w:p>
        </w:tc>
      </w:tr>
    </w:tbl>
    <w:p>
      <w:pPr>
        <w:spacing w:after="80"/>
      </w:pPr>
    </w:p>
    <w:p>
      <w:pPr>
        <w:spacing w:after="160" w:line="312"/>
        <w:jc w:val="both"/>
      </w:pPr>
      <w:r>
        <w:rPr>
          <w:rFonts w:ascii="Arial" w:cs="Arial" w:eastAsia="Arial" w:hAnsi="Arial"/>
          <w:color w:val="222222"/>
          <w:sz w:val="22"/>
          <w:szCs w:val="22"/>
        </w:rPr>
        <w:t xml:space="preserve">The critical observation is that the industry is broadly transitioning from L1 to L2, with leading organizations piloting L3. The gap between L3 and L5 is non-linear and involves solving fundamentally harder problems in verification, trust, and organizational governance.</w:t>
      </w:r>
    </w:p>
    <w:p>
      <w:r>
        <w:br w:type="page"/>
      </w:r>
    </w:p>
    <w:p>
      <w:pPr>
        <w:pStyle w:val="Heading1"/>
        <w:spacing w:after="200" w:before="360"/>
      </w:pPr>
      <w:r>
        <w:rPr>
          <w:rFonts w:ascii="Arial" w:cs="Arial" w:eastAsia="Arial" w:hAnsi="Arial"/>
          <w:b/>
          <w:bCs/>
          <w:color w:val="1B3A5C"/>
          <w:sz w:val="32"/>
          <w:szCs w:val="32"/>
        </w:rPr>
        <w:t xml:space="preserve">3. Software Product Development Using Dark Factory Models</w:t>
      </w:r>
    </w:p>
    <w:p>
      <w:pPr>
        <w:pStyle w:val="Heading2"/>
        <w:spacing w:after="200" w:before="240"/>
      </w:pPr>
      <w:r>
        <w:rPr>
          <w:rFonts w:ascii="Arial" w:cs="Arial" w:eastAsia="Arial" w:hAnsi="Arial"/>
          <w:b/>
          <w:bCs/>
          <w:color w:val="1B3A5C"/>
          <w:sz w:val="28"/>
          <w:szCs w:val="28"/>
        </w:rPr>
        <w:t xml:space="preserve">3.1 Current State of Autonomous Coding Agents</w:t>
      </w:r>
    </w:p>
    <w:p>
      <w:pPr>
        <w:spacing w:after="160" w:line="312"/>
        <w:jc w:val="both"/>
      </w:pPr>
      <w:r>
        <w:rPr>
          <w:rFonts w:ascii="Arial" w:cs="Arial" w:eastAsia="Arial" w:hAnsi="Arial"/>
          <w:color w:val="222222"/>
          <w:sz w:val="22"/>
          <w:szCs w:val="22"/>
        </w:rPr>
        <w:t xml:space="preserve">Several companies and products have emerged as frontrunners in the race toward autonomous software development. Each represents a different position on the autonomy spectrum and reveals both the promise and the limitations of the Dark Factory vision.</w:t>
      </w:r>
    </w:p>
    <w:p>
      <w:pPr>
        <w:spacing w:after="160" w:line="312"/>
        <w:jc w:val="both"/>
      </w:pPr>
      <w:r>
        <w:rPr>
          <w:rFonts w:ascii="Arial" w:cs="Arial" w:eastAsia="Arial" w:hAnsi="Arial"/>
          <w:b/>
          <w:bCs/>
          <w:color w:val="222222"/>
          <w:sz w:val="22"/>
          <w:szCs w:val="22"/>
        </w:rPr>
        <w:t xml:space="preserve">Cognition Labs (Devin): </w:t>
      </w:r>
      <w:r>
        <w:rPr>
          <w:rFonts w:ascii="Arial" w:cs="Arial" w:eastAsia="Arial" w:hAnsi="Arial"/>
          <w:color w:val="222222"/>
          <w:sz w:val="22"/>
          <w:szCs w:val="22"/>
        </w:rPr>
        <w:t xml:space="preserve">Launched in March 2024, Devin was marketed as the “first AI software engineer.” It operates as an autonomous agent with its own code editor, browser, and terminal. In controlled benchmarks (SWE-bench), Devin resolved approximately 13.86% of real-world GitHub issues autonomously at launch. By early 2025, enterprise pilots revealed that while Devin excels at well-scoped tasks like bug fixes and boilerplate feature implementation, it struggles with cross-repository understanding, implicit business logic, and architectural decisions that require organizational context. Cognition raised $175M at a $2B valuation in 2024, reflecting investor confidence in the trajectory despite current limitations.</w:t>
      </w:r>
    </w:p>
    <w:p>
      <w:pPr>
        <w:spacing w:after="160" w:line="312"/>
        <w:jc w:val="both"/>
      </w:pPr>
      <w:r>
        <w:rPr>
          <w:rFonts w:ascii="Arial" w:cs="Arial" w:eastAsia="Arial" w:hAnsi="Arial"/>
          <w:b/>
          <w:bCs/>
          <w:color w:val="222222"/>
          <w:sz w:val="22"/>
          <w:szCs w:val="22"/>
        </w:rPr>
        <w:t xml:space="preserve">GitHub Copilot (Coding Agent Mode): </w:t>
      </w:r>
      <w:r>
        <w:rPr>
          <w:rFonts w:ascii="Arial" w:cs="Arial" w:eastAsia="Arial" w:hAnsi="Arial"/>
          <w:color w:val="222222"/>
          <w:sz w:val="22"/>
          <w:szCs w:val="22"/>
        </w:rPr>
        <w:t xml:space="preserve">GitHub’s evolution from code completion (Copilot) to Copilot Workspace and then Copilot Agent mode in 2025 represents the most significant at-scale deployment of autonomous coding. Copilot Agent can be assigned GitHub Issues, creates a plan, implements across multiple files, runs tests, and opens a PR. Microsoft CEO Satya Nadella stated in early 2025 that “20-30% of code in Microsoft repositories is now AI-generated,” and projected this would reach majority share within 12-18 months. The critical distinction is that Copilot Agent operates within GitHub’s existing review infrastructure: it generates PRs that undergo standard code review, not autonomous deployment.</w:t>
      </w:r>
    </w:p>
    <w:p>
      <w:pPr>
        <w:spacing w:after="160" w:line="312"/>
        <w:jc w:val="both"/>
      </w:pPr>
      <w:r>
        <w:rPr>
          <w:rFonts w:ascii="Arial" w:cs="Arial" w:eastAsia="Arial" w:hAnsi="Arial"/>
          <w:b/>
          <w:bCs/>
          <w:color w:val="222222"/>
          <w:sz w:val="22"/>
          <w:szCs w:val="22"/>
        </w:rPr>
        <w:t xml:space="preserve">Cursor / Windsurf: </w:t>
      </w:r>
      <w:r>
        <w:rPr>
          <w:rFonts w:ascii="Arial" w:cs="Arial" w:eastAsia="Arial" w:hAnsi="Arial"/>
          <w:color w:val="222222"/>
          <w:sz w:val="22"/>
          <w:szCs w:val="22"/>
        </w:rPr>
        <w:t xml:space="preserve">These AI-native IDEs represent the L2-L3 sweet spot. Cursor’s “Agent” mode allows developers to describe a feature, and the IDE generates multi-file implementations with iterative debugging. Anysphere (Cursor’s parent) reached $100M ARR in early 2025 and was valued at $2.5B, demonstrating strong developer willingness to pay for AI-augmented workflows. However, these tools keep the human firmly in the loop as reviewer and orchestrator.</w:t>
      </w:r>
    </w:p>
    <w:p>
      <w:pPr>
        <w:spacing w:after="160" w:line="312"/>
        <w:jc w:val="both"/>
      </w:pPr>
      <w:r>
        <w:rPr>
          <w:rFonts w:ascii="Arial" w:cs="Arial" w:eastAsia="Arial" w:hAnsi="Arial"/>
          <w:b/>
          <w:bCs/>
          <w:color w:val="222222"/>
          <w:sz w:val="22"/>
          <w:szCs w:val="22"/>
        </w:rPr>
        <w:t xml:space="preserve">Factory (factory.ai): </w:t>
      </w:r>
      <w:r>
        <w:rPr>
          <w:rFonts w:ascii="Arial" w:cs="Arial" w:eastAsia="Arial" w:hAnsi="Arial"/>
          <w:color w:val="222222"/>
          <w:sz w:val="22"/>
          <w:szCs w:val="22"/>
        </w:rPr>
        <w:t xml:space="preserve">Factory positions itself explicitly as building “Autonomous Software Engineering” and uses the manufacturing analogy directly. Their Drafter tool creates PRs from Jira/Linear tickets, while their Review tool performs autonomous code reviews. Factory targets enterprise customers and emphasizes governance, audit trails, and integration with existing SDLC toolchains rather than full replacement.</w:t>
      </w:r>
    </w:p>
    <w:p>
      <w:pPr>
        <w:spacing w:after="160" w:line="312"/>
        <w:jc w:val="both"/>
      </w:pPr>
      <w:r>
        <w:rPr>
          <w:rFonts w:ascii="Arial" w:cs="Arial" w:eastAsia="Arial" w:hAnsi="Arial"/>
          <w:b/>
          <w:bCs/>
          <w:color w:val="222222"/>
          <w:sz w:val="22"/>
          <w:szCs w:val="22"/>
        </w:rPr>
        <w:t xml:space="preserve">Amazon Q Developer: </w:t>
      </w:r>
      <w:r>
        <w:rPr>
          <w:rFonts w:ascii="Arial" w:cs="Arial" w:eastAsia="Arial" w:hAnsi="Arial"/>
          <w:color w:val="222222"/>
          <w:sz w:val="22"/>
          <w:szCs w:val="22"/>
        </w:rPr>
        <w:t xml:space="preserve">Amazon’s internal deployment of AI coding agents is perhaps the most telling enterprise data point. In 2024, Amazon reported that AI-assisted code suggestions had saved an estimated $260M in developer productivity by accelerating the internal migration of over 30,000 applications from Java 8/11 to Java 17. The system achieved an average 79% acceptance rate for auto-generated code transformations, but every transformation still passed through human review gates.</w:t>
      </w:r>
    </w:p>
    <w:p>
      <w:pPr>
        <w:pStyle w:val="Heading2"/>
        <w:spacing w:after="200" w:before="240"/>
      </w:pPr>
      <w:r>
        <w:rPr>
          <w:rFonts w:ascii="Arial" w:cs="Arial" w:eastAsia="Arial" w:hAnsi="Arial"/>
          <w:b/>
          <w:bCs/>
          <w:color w:val="1B3A5C"/>
          <w:sz w:val="28"/>
          <w:szCs w:val="28"/>
        </w:rPr>
        <w:t xml:space="preserve">3.2 What Dark Factories Can Build Today</w:t>
      </w:r>
    </w:p>
    <w:p>
      <w:pPr>
        <w:spacing w:after="160" w:line="312"/>
        <w:jc w:val="both"/>
      </w:pPr>
      <w:r>
        <w:rPr>
          <w:rFonts w:ascii="Arial" w:cs="Arial" w:eastAsia="Arial" w:hAnsi="Arial"/>
          <w:color w:val="222222"/>
          <w:sz w:val="22"/>
          <w:szCs w:val="22"/>
        </w:rPr>
        <w:t xml:space="preserve">Based on current capabilities, AI-autonomous or near-autonomous production is viable for specific categories of software work:</w:t>
      </w:r>
    </w:p>
    <w:p>
      <w:pPr>
        <w:pStyle w:val="ListParagraph"/>
        <w:numPr>
          <w:ilvl w:val="0"/>
          <w:numId w:val="2"/>
        </w:numPr>
        <w:spacing w:after="100" w:line="312"/>
      </w:pPr>
      <w:r>
        <w:rPr>
          <w:rFonts w:ascii="Arial" w:cs="Arial" w:eastAsia="Arial" w:hAnsi="Arial"/>
          <w:color w:val="222222"/>
          <w:sz w:val="22"/>
          <w:szCs w:val="22"/>
        </w:rPr>
        <w:t xml:space="preserve">CRUD application scaffolding and boilerplate-heavy microservices where patterns are well-established and business logic is straightforward.</w:t>
      </w:r>
    </w:p>
    <w:p>
      <w:pPr>
        <w:pStyle w:val="ListParagraph"/>
        <w:numPr>
          <w:ilvl w:val="0"/>
          <w:numId w:val="2"/>
        </w:numPr>
        <w:spacing w:after="100" w:line="312"/>
      </w:pPr>
      <w:r>
        <w:rPr>
          <w:rFonts w:ascii="Arial" w:cs="Arial" w:eastAsia="Arial" w:hAnsi="Arial"/>
          <w:color w:val="222222"/>
          <w:sz w:val="22"/>
          <w:szCs w:val="22"/>
        </w:rPr>
        <w:t xml:space="preserve">Internal tooling and admin dashboards where requirements are clear, users are internal, and failure consequences are low.</w:t>
      </w:r>
    </w:p>
    <w:p>
      <w:pPr>
        <w:pStyle w:val="ListParagraph"/>
        <w:numPr>
          <w:ilvl w:val="0"/>
          <w:numId w:val="2"/>
        </w:numPr>
        <w:spacing w:after="100" w:line="312"/>
      </w:pPr>
      <w:r>
        <w:rPr>
          <w:rFonts w:ascii="Arial" w:cs="Arial" w:eastAsia="Arial" w:hAnsi="Arial"/>
          <w:color w:val="222222"/>
          <w:sz w:val="22"/>
          <w:szCs w:val="22"/>
        </w:rPr>
        <w:t xml:space="preserve">Test suite generation and expansion, particularly for existing codebases where behavior can be inferred from production code.</w:t>
      </w:r>
    </w:p>
    <w:p>
      <w:pPr>
        <w:pStyle w:val="ListParagraph"/>
        <w:numPr>
          <w:ilvl w:val="0"/>
          <w:numId w:val="2"/>
        </w:numPr>
        <w:spacing w:after="100" w:line="312"/>
      </w:pPr>
      <w:r>
        <w:rPr>
          <w:rFonts w:ascii="Arial" w:cs="Arial" w:eastAsia="Arial" w:hAnsi="Arial"/>
          <w:color w:val="222222"/>
          <w:sz w:val="22"/>
          <w:szCs w:val="22"/>
        </w:rPr>
        <w:t xml:space="preserve">Code migration and modernization tasks (language version upgrades, framework migrations) where the transformation is well-defined.</w:t>
      </w:r>
    </w:p>
    <w:p>
      <w:pPr>
        <w:pStyle w:val="ListParagraph"/>
        <w:numPr>
          <w:ilvl w:val="0"/>
          <w:numId w:val="2"/>
        </w:numPr>
        <w:spacing w:after="100" w:line="312"/>
      </w:pPr>
      <w:r>
        <w:rPr>
          <w:rFonts w:ascii="Arial" w:cs="Arial" w:eastAsia="Arial" w:hAnsi="Arial"/>
          <w:color w:val="222222"/>
          <w:sz w:val="22"/>
          <w:szCs w:val="22"/>
        </w:rPr>
        <w:t xml:space="preserve">Documentation generation from code, API reference production, and changelog assembly.</w:t>
      </w:r>
    </w:p>
    <w:p>
      <w:pPr>
        <w:pStyle w:val="ListParagraph"/>
        <w:numPr>
          <w:ilvl w:val="0"/>
          <w:numId w:val="2"/>
        </w:numPr>
        <w:spacing w:after="100" w:line="312"/>
      </w:pPr>
      <w:r>
        <w:rPr>
          <w:rFonts w:ascii="Arial" w:cs="Arial" w:eastAsia="Arial" w:hAnsi="Arial"/>
          <w:color w:val="222222"/>
          <w:sz w:val="22"/>
          <w:szCs w:val="22"/>
        </w:rPr>
        <w:t xml:space="preserve">Dependency management, security patch application, and routine maintenance automation.</w:t>
      </w:r>
    </w:p>
    <w:p>
      <w:pPr>
        <w:pStyle w:val="Heading2"/>
        <w:spacing w:after="200" w:before="240"/>
      </w:pPr>
      <w:r>
        <w:rPr>
          <w:rFonts w:ascii="Arial" w:cs="Arial" w:eastAsia="Arial" w:hAnsi="Arial"/>
          <w:b/>
          <w:bCs/>
          <w:color w:val="1B3A5C"/>
          <w:sz w:val="28"/>
          <w:szCs w:val="28"/>
        </w:rPr>
        <w:t xml:space="preserve">3.3 What Dark Factories Cannot Reliably Build</w:t>
      </w:r>
    </w:p>
    <w:p>
      <w:pPr>
        <w:spacing w:after="160" w:line="312"/>
        <w:jc w:val="both"/>
      </w:pPr>
      <w:r>
        <w:rPr>
          <w:rFonts w:ascii="Arial" w:cs="Arial" w:eastAsia="Arial" w:hAnsi="Arial"/>
          <w:color w:val="222222"/>
          <w:sz w:val="22"/>
          <w:szCs w:val="22"/>
        </w:rPr>
        <w:t xml:space="preserve">The following categories remain firmly in the human domain or require heavy human supervision, and represent the primary barriers to full Dark Factory realization:</w:t>
      </w:r>
    </w:p>
    <w:p>
      <w:pPr>
        <w:pStyle w:val="ListParagraph"/>
        <w:numPr>
          <w:ilvl w:val="0"/>
          <w:numId w:val="3"/>
        </w:numPr>
        <w:spacing w:after="100" w:line="312"/>
      </w:pPr>
      <w:r>
        <w:rPr>
          <w:rFonts w:ascii="Arial" w:cs="Arial" w:eastAsia="Arial" w:hAnsi="Arial"/>
          <w:color w:val="222222"/>
          <w:sz w:val="22"/>
          <w:szCs w:val="22"/>
        </w:rPr>
        <w:t xml:space="preserve">Novel architecture design for systems operating at scale, under complex non-functional requirements (latency, compliance, multi-tenancy).</w:t>
      </w:r>
    </w:p>
    <w:p>
      <w:pPr>
        <w:pStyle w:val="ListParagraph"/>
        <w:numPr>
          <w:ilvl w:val="0"/>
          <w:numId w:val="3"/>
        </w:numPr>
        <w:spacing w:after="100" w:line="312"/>
      </w:pPr>
      <w:r>
        <w:rPr>
          <w:rFonts w:ascii="Arial" w:cs="Arial" w:eastAsia="Arial" w:hAnsi="Arial"/>
          <w:color w:val="222222"/>
          <w:sz w:val="22"/>
          <w:szCs w:val="22"/>
        </w:rPr>
        <w:t xml:space="preserve">Products requiring deep domain expertise: healthcare clinical decision support, financial trading systems, safety-critical embedded systems.</w:t>
      </w:r>
    </w:p>
    <w:p>
      <w:pPr>
        <w:pStyle w:val="ListParagraph"/>
        <w:numPr>
          <w:ilvl w:val="0"/>
          <w:numId w:val="3"/>
        </w:numPr>
        <w:spacing w:after="100" w:line="312"/>
      </w:pPr>
      <w:r>
        <w:rPr>
          <w:rFonts w:ascii="Arial" w:cs="Arial" w:eastAsia="Arial" w:hAnsi="Arial"/>
          <w:color w:val="222222"/>
          <w:sz w:val="22"/>
          <w:szCs w:val="22"/>
        </w:rPr>
        <w:t xml:space="preserve">User experience design and interaction paradigms that require empathy, user research synthesis, and aesthetic judgment.</w:t>
      </w:r>
    </w:p>
    <w:p>
      <w:pPr>
        <w:pStyle w:val="ListParagraph"/>
        <w:numPr>
          <w:ilvl w:val="0"/>
          <w:numId w:val="3"/>
        </w:numPr>
        <w:spacing w:after="100" w:line="312"/>
      </w:pPr>
      <w:r>
        <w:rPr>
          <w:rFonts w:ascii="Arial" w:cs="Arial" w:eastAsia="Arial" w:hAnsi="Arial"/>
          <w:color w:val="222222"/>
          <w:sz w:val="22"/>
          <w:szCs w:val="22"/>
        </w:rPr>
        <w:t xml:space="preserve">Systems with complex state management, concurrent processing, and distributed consistency requirements.</w:t>
      </w:r>
    </w:p>
    <w:p>
      <w:pPr>
        <w:pStyle w:val="ListParagraph"/>
        <w:numPr>
          <w:ilvl w:val="0"/>
          <w:numId w:val="3"/>
        </w:numPr>
        <w:spacing w:after="100" w:line="312"/>
      </w:pPr>
      <w:r>
        <w:rPr>
          <w:rFonts w:ascii="Arial" w:cs="Arial" w:eastAsia="Arial" w:hAnsi="Arial"/>
          <w:color w:val="222222"/>
          <w:sz w:val="22"/>
          <w:szCs w:val="22"/>
        </w:rPr>
        <w:t xml:space="preserve">Cross-system integration where the integration surface involves undocumented APIs, legacy protocols, or organizational politics.</w:t>
      </w:r>
    </w:p>
    <w:p>
      <w:pPr>
        <w:pStyle w:val="ListParagraph"/>
        <w:numPr>
          <w:ilvl w:val="0"/>
          <w:numId w:val="3"/>
        </w:numPr>
        <w:spacing w:after="100" w:line="312"/>
      </w:pPr>
      <w:r>
        <w:rPr>
          <w:rFonts w:ascii="Arial" w:cs="Arial" w:eastAsia="Arial" w:hAnsi="Arial"/>
          <w:color w:val="222222"/>
          <w:sz w:val="22"/>
          <w:szCs w:val="22"/>
        </w:rPr>
        <w:t xml:space="preserve">Software requiring regulatory certification (FDA, FAA, SOX, PCI-DSS) where traceability and human accountability are legally mandated.</w:t>
      </w:r>
    </w:p>
    <w:p>
      <w:r>
        <w:br w:type="page"/>
      </w:r>
    </w:p>
    <w:p>
      <w:pPr>
        <w:pStyle w:val="Heading1"/>
        <w:spacing w:after="200" w:before="360"/>
      </w:pPr>
      <w:r>
        <w:rPr>
          <w:rFonts w:ascii="Arial" w:cs="Arial" w:eastAsia="Arial" w:hAnsi="Arial"/>
          <w:b/>
          <w:bCs/>
          <w:color w:val="1B3A5C"/>
          <w:sz w:val="32"/>
          <w:szCs w:val="32"/>
        </w:rPr>
        <w:t xml:space="preserve">4. Enterprise Impact of Dark Factory Adoption</w:t>
      </w:r>
    </w:p>
    <w:p>
      <w:pPr>
        <w:pStyle w:val="Heading2"/>
        <w:spacing w:after="200" w:before="240"/>
      </w:pPr>
      <w:r>
        <w:rPr>
          <w:rFonts w:ascii="Arial" w:cs="Arial" w:eastAsia="Arial" w:hAnsi="Arial"/>
          <w:b/>
          <w:bCs/>
          <w:color w:val="1B3A5C"/>
          <w:sz w:val="28"/>
          <w:szCs w:val="28"/>
        </w:rPr>
        <w:t xml:space="preserve">4.1 Productivity and Throughput</w:t>
      </w:r>
    </w:p>
    <w:p>
      <w:pPr>
        <w:spacing w:after="160" w:line="312"/>
        <w:jc w:val="both"/>
      </w:pPr>
      <w:r>
        <w:rPr>
          <w:rFonts w:ascii="Arial" w:cs="Arial" w:eastAsia="Arial" w:hAnsi="Arial"/>
          <w:color w:val="222222"/>
          <w:sz w:val="22"/>
          <w:szCs w:val="22"/>
        </w:rPr>
        <w:t xml:space="preserve">The enterprise impact data emerging from early adopters paints a nuanced picture. GitHub’s own research, published in partnership with academic teams at MIT and Wharton, found that developers using Copilot completed tasks 55% faster in controlled experiments. However, McKinsey’s 2024 study of software engineering productivity at scale found that the actual productivity gain in enterprise settings was more modest: 20-45% for individual task completion, with gains concentrated in well-defined, lower-complexity work. The gains compress significantly for senior engineers working on novel, architecturally complex problems.</w:t>
      </w:r>
    </w:p>
    <w:p>
      <w:pPr>
        <w:spacing w:after="160" w:line="312"/>
        <w:jc w:val="both"/>
      </w:pPr>
      <w:r>
        <w:rPr>
          <w:rFonts w:ascii="Arial" w:cs="Arial" w:eastAsia="Arial" w:hAnsi="Arial"/>
          <w:color w:val="222222"/>
          <w:sz w:val="22"/>
          <w:szCs w:val="22"/>
        </w:rPr>
        <w:t xml:space="preserve">Google’s internal data, disclosed at Google I/O 2025 by Sundar Pichai, indicated that more than 25% of new code at Google is now generated by AI, with human engineers then reviewing and editing it. The key qualifier is the review and editing step: Google reported that AI-generated code still requires meaningful human modification in approximately 40-60% of cases before it meets internal quality standards.</w:t>
      </w:r>
    </w:p>
    <w:p>
      <w:pPr>
        <w:pStyle w:val="Heading2"/>
        <w:spacing w:after="200" w:before="240"/>
      </w:pPr>
      <w:r>
        <w:rPr>
          <w:rFonts w:ascii="Arial" w:cs="Arial" w:eastAsia="Arial" w:hAnsi="Arial"/>
          <w:b/>
          <w:bCs/>
          <w:color w:val="1B3A5C"/>
          <w:sz w:val="28"/>
          <w:szCs w:val="28"/>
        </w:rPr>
        <w:t xml:space="preserve">4.2 Quality and Defect Dynamics</w:t>
      </w:r>
    </w:p>
    <w:p>
      <w:pPr>
        <w:spacing w:after="160" w:line="312"/>
        <w:jc w:val="both"/>
      </w:pPr>
      <w:r>
        <w:rPr>
          <w:rFonts w:ascii="Arial" w:cs="Arial" w:eastAsia="Arial" w:hAnsi="Arial"/>
          <w:color w:val="222222"/>
          <w:sz w:val="22"/>
          <w:szCs w:val="22"/>
        </w:rPr>
        <w:t xml:space="preserve">A critical and under-discussed enterprise impact is the shift in defect distribution. When AI generates code, the nature of bugs changes. GitClear’s 2024 analysis of 153 million lines of code across thousands of repositories found that code churn (code that is written and then quickly rewritten or deleted) increased 39% year-over-year in repositories with high AI tool adoption. This suggests that while code is produced faster, it is also revised or discarded more frequently, raising questions about whether the net productivity gain is as large as raw output metrics suggest.</w:t>
      </w:r>
    </w:p>
    <w:p>
      <w:pPr>
        <w:spacing w:after="160" w:line="312"/>
        <w:jc w:val="both"/>
      </w:pPr>
      <w:r>
        <w:rPr>
          <w:rFonts w:ascii="Arial" w:cs="Arial" w:eastAsia="Arial" w:hAnsi="Arial"/>
          <w:color w:val="222222"/>
          <w:sz w:val="22"/>
          <w:szCs w:val="22"/>
        </w:rPr>
        <w:t xml:space="preserve">More concerning for enterprise adoption, a study by researchers at Stanford and UC Berkeley found that developers using AI assistants were more likely to produce code with security vulnerabilities, and crucially, were more confident that their code was secure. This overconfidence-vulnerability gap represents a significant enterprise risk: the combination of higher output volume, lower individual review depth, and false confidence creates conditions for systemic quality degradation.</w:t>
      </w:r>
    </w:p>
    <w:p>
      <w:pPr>
        <w:pStyle w:val="Heading2"/>
        <w:spacing w:after="200" w:before="240"/>
      </w:pPr>
      <w:r>
        <w:rPr>
          <w:rFonts w:ascii="Arial" w:cs="Arial" w:eastAsia="Arial" w:hAnsi="Arial"/>
          <w:b/>
          <w:bCs/>
          <w:color w:val="1B3A5C"/>
          <w:sz w:val="28"/>
          <w:szCs w:val="28"/>
        </w:rPr>
        <w:t xml:space="preserve">4.3 Organizational and Process Disruption</w:t>
      </w:r>
    </w:p>
    <w:p>
      <w:pPr>
        <w:spacing w:after="160" w:line="312"/>
        <w:jc w:val="both"/>
      </w:pPr>
      <w:r>
        <w:rPr>
          <w:rFonts w:ascii="Arial" w:cs="Arial" w:eastAsia="Arial" w:hAnsi="Arial"/>
          <w:color w:val="222222"/>
          <w:sz w:val="22"/>
          <w:szCs w:val="22"/>
        </w:rPr>
        <w:t xml:space="preserve">The enterprise impact extends beyond developer productivity into organizational structure and process:</w:t>
      </w:r>
    </w:p>
    <w:p>
      <w:pPr>
        <w:spacing w:after="160" w:line="312"/>
        <w:jc w:val="both"/>
      </w:pPr>
      <w:r>
        <w:rPr>
          <w:rFonts w:ascii="Arial" w:cs="Arial" w:eastAsia="Arial" w:hAnsi="Arial"/>
          <w:b/>
          <w:bCs/>
          <w:color w:val="222222"/>
          <w:sz w:val="22"/>
          <w:szCs w:val="22"/>
        </w:rPr>
        <w:t xml:space="preserve">Code Review Bottleneck Shift: </w:t>
      </w:r>
      <w:r>
        <w:rPr>
          <w:rFonts w:ascii="Arial" w:cs="Arial" w:eastAsia="Arial" w:hAnsi="Arial"/>
          <w:color w:val="222222"/>
          <w:sz w:val="22"/>
          <w:szCs w:val="22"/>
        </w:rPr>
        <w:t xml:space="preserve">As AI generates more code, the review bottleneck intensifies. Engineering managers report that the constraint is no longer “how fast can we write code” but “how fast can we verify code.” Organizations investing in Dark Factory approaches without proportionally investing in review infrastructure risk creating a verification debt that compounds over time.</w:t>
      </w:r>
    </w:p>
    <w:p>
      <w:pPr>
        <w:spacing w:after="160" w:line="312"/>
        <w:jc w:val="both"/>
      </w:pPr>
      <w:r>
        <w:rPr>
          <w:rFonts w:ascii="Arial" w:cs="Arial" w:eastAsia="Arial" w:hAnsi="Arial"/>
          <w:b/>
          <w:bCs/>
          <w:color w:val="222222"/>
          <w:sz w:val="22"/>
          <w:szCs w:val="22"/>
        </w:rPr>
        <w:t xml:space="preserve">IP and Licensing Risk: </w:t>
      </w:r>
      <w:r>
        <w:rPr>
          <w:rFonts w:ascii="Arial" w:cs="Arial" w:eastAsia="Arial" w:hAnsi="Arial"/>
          <w:color w:val="222222"/>
          <w:sz w:val="22"/>
          <w:szCs w:val="22"/>
        </w:rPr>
        <w:t xml:space="preserve">Enterprise legal teams are grappling with the provenance of AI-generated code. The ongoing litigation around Copilot (including the class-action lawsuit alleging GPL license violations via training data) and the EU AI Act’s transparency requirements create regulatory uncertainty. A Dark Factory that generates code at scale amplifies this risk proportionally.</w:t>
      </w:r>
    </w:p>
    <w:p>
      <w:pPr>
        <w:spacing w:after="160" w:line="312"/>
        <w:jc w:val="both"/>
      </w:pPr>
      <w:r>
        <w:rPr>
          <w:rFonts w:ascii="Arial" w:cs="Arial" w:eastAsia="Arial" w:hAnsi="Arial"/>
          <w:b/>
          <w:bCs/>
          <w:color w:val="222222"/>
          <w:sz w:val="22"/>
          <w:szCs w:val="22"/>
        </w:rPr>
        <w:t xml:space="preserve">Vendor Lock-in and Model Dependency: </w:t>
      </w:r>
      <w:r>
        <w:rPr>
          <w:rFonts w:ascii="Arial" w:cs="Arial" w:eastAsia="Arial" w:hAnsi="Arial"/>
          <w:color w:val="222222"/>
          <w:sz w:val="22"/>
          <w:szCs w:val="22"/>
        </w:rPr>
        <w:t xml:space="preserve">Enterprises adopting AI-driven development become dependent on model providers. When Anthropic, OpenAI, or Google update their models, the behavior of the Dark Factory changes in potentially unpredictable ways. This introduces a new category of supply chain risk that has no precedent in traditional software engineering.</w:t>
      </w:r>
    </w:p>
    <w:p>
      <w:pPr>
        <w:pStyle w:val="Heading2"/>
        <w:spacing w:after="200" w:before="240"/>
      </w:pPr>
      <w:r>
        <w:rPr>
          <w:rFonts w:ascii="Arial" w:cs="Arial" w:eastAsia="Arial" w:hAnsi="Arial"/>
          <w:b/>
          <w:bCs/>
          <w:color w:val="1B3A5C"/>
          <w:sz w:val="28"/>
          <w:szCs w:val="28"/>
        </w:rPr>
        <w:t xml:space="preserve">4.4 Enterprise Adoption Maturity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2000"/>
        <w:gridCol w:w="1960"/>
      </w:tblGrid>
      <w:tr>
        <w:trPr>
          <w:tblHeader/>
        </w:trPr>
        <w:tc>
          <w:tcPr>
            <w:tcW w:type="dxa" w:w="16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Characteristics</w:t>
            </w:r>
          </w:p>
        </w:tc>
        <w:tc>
          <w:tcPr>
            <w:tcW w:type="dxa" w:w="20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19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Level</w:t>
            </w:r>
          </w:p>
        </w:tc>
      </w:tr>
      <w:tr>
        <w:tc>
          <w:tcPr>
            <w:tcW w:type="dxa" w:w="1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Phase 1: Experimentation</w:t>
            </w:r>
          </w:p>
        </w:tc>
        <w:tc>
          <w:tcPr>
            <w:tcW w:type="dxa" w:w="3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Individual developers adopt Copilot/Cursor; no organizational policy; organic bottom-up adoption</w:t>
            </w:r>
          </w:p>
        </w:tc>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2022-2024 (mostly complete)</w:t>
            </w:r>
          </w:p>
        </w:tc>
        <w:tc>
          <w:tcPr>
            <w:tcW w:type="dxa" w:w="19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Low – contained to individual productivity</w:t>
            </w:r>
          </w:p>
        </w:tc>
      </w:tr>
      <w:tr>
        <w:tc>
          <w:tcPr>
            <w:tcW w:type="dxa" w:w="16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Phase 2: Institutionalization</w:t>
            </w:r>
          </w:p>
        </w:tc>
        <w:tc>
          <w:tcPr>
            <w:tcW w:type="dxa" w:w="38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Enterprise licenses; coding standards updated for AI; CI pipelines include AI-specific quality gates</w:t>
            </w:r>
          </w:p>
        </w:tc>
        <w:tc>
          <w:tcPr>
            <w:tcW w:type="dxa" w:w="20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2024-2025 (current wave)</w:t>
            </w:r>
          </w:p>
        </w:tc>
        <w:tc>
          <w:tcPr>
            <w:tcW w:type="dxa" w:w="196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Medium – requires governance investment</w:t>
            </w:r>
          </w:p>
        </w:tc>
      </w:tr>
      <w:tr>
        <w:tc>
          <w:tcPr>
            <w:tcW w:type="dxa" w:w="1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Phase 3: Workflow Automation</w:t>
            </w:r>
          </w:p>
        </w:tc>
        <w:tc>
          <w:tcPr>
            <w:tcW w:type="dxa" w:w="3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AI agents assigned tickets; auto-PR generation; human review on critical paths only</w:t>
            </w:r>
          </w:p>
        </w:tc>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2025-2027 (early adopters)</w:t>
            </w:r>
          </w:p>
        </w:tc>
        <w:tc>
          <w:tcPr>
            <w:tcW w:type="dxa" w:w="19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Medium-High – cognitive load on reviewers increases</w:t>
            </w:r>
          </w:p>
        </w:tc>
      </w:tr>
      <w:tr>
        <w:tc>
          <w:tcPr>
            <w:tcW w:type="dxa" w:w="16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Phase 4: Autonomous Pipelines</w:t>
            </w:r>
          </w:p>
        </w:tc>
        <w:tc>
          <w:tcPr>
            <w:tcW w:type="dxa" w:w="38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Full feature delivery without human coding; humans set intent and review outcomes, not process</w:t>
            </w:r>
          </w:p>
        </w:tc>
        <w:tc>
          <w:tcPr>
            <w:tcW w:type="dxa" w:w="20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2027-2030 (projected)</w:t>
            </w:r>
          </w:p>
        </w:tc>
        <w:tc>
          <w:tcPr>
            <w:tcW w:type="dxa" w:w="196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High – requires mature verification and trust frameworks</w:t>
            </w:r>
          </w:p>
        </w:tc>
      </w:tr>
      <w:tr>
        <w:tc>
          <w:tcPr>
            <w:tcW w:type="dxa" w:w="1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Phase 5: Dark Factory</w:t>
            </w:r>
          </w:p>
        </w:tc>
        <w:tc>
          <w:tcPr>
            <w:tcW w:type="dxa" w:w="3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Continuous autonomous operation; AI manages its own quality, deployment, and maintenance loops</w:t>
            </w:r>
          </w:p>
        </w:tc>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2030+ (speculative)</w:t>
            </w:r>
          </w:p>
        </w:tc>
        <w:tc>
          <w:tcPr>
            <w:tcW w:type="dxa" w:w="19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Very High – unprecedented governance requirements</w:t>
            </w:r>
          </w:p>
        </w:tc>
      </w:tr>
    </w:tbl>
    <w:p>
      <w:r>
        <w:br w:type="page"/>
      </w:r>
    </w:p>
    <w:p>
      <w:pPr>
        <w:pStyle w:val="Heading1"/>
        <w:spacing w:after="200" w:before="360"/>
      </w:pPr>
      <w:r>
        <w:rPr>
          <w:rFonts w:ascii="Arial" w:cs="Arial" w:eastAsia="Arial" w:hAnsi="Arial"/>
          <w:b/>
          <w:bCs/>
          <w:color w:val="1B3A5C"/>
          <w:sz w:val="32"/>
          <w:szCs w:val="32"/>
        </w:rPr>
        <w:t xml:space="preserve">5. Impact on Human Workforce</w:t>
      </w:r>
    </w:p>
    <w:p>
      <w:pPr>
        <w:pStyle w:val="Heading2"/>
        <w:spacing w:after="200" w:before="240"/>
      </w:pPr>
      <w:r>
        <w:rPr>
          <w:rFonts w:ascii="Arial" w:cs="Arial" w:eastAsia="Arial" w:hAnsi="Arial"/>
          <w:b/>
          <w:bCs/>
          <w:color w:val="1B3A5C"/>
          <w:sz w:val="28"/>
          <w:szCs w:val="28"/>
        </w:rPr>
        <w:t xml:space="preserve">5.1 The Role Transformation Thesis</w:t>
      </w:r>
    </w:p>
    <w:p>
      <w:pPr>
        <w:spacing w:after="160" w:line="312"/>
        <w:jc w:val="both"/>
      </w:pPr>
      <w:r>
        <w:rPr>
          <w:rFonts w:ascii="Arial" w:cs="Arial" w:eastAsia="Arial" w:hAnsi="Arial"/>
          <w:color w:val="222222"/>
          <w:sz w:val="22"/>
          <w:szCs w:val="22"/>
        </w:rPr>
        <w:t xml:space="preserve">The prevailing thesis from industry leaders and labor economists is that AI will not eliminate software engineering jobs in the near term but will fundamentally transform what software engineers do. This thesis, however, requires careful examination by role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rPr>
          <w:tblHeader/>
        </w:trPr>
        <w:tc>
          <w:tcPr>
            <w:tcW w:type="dxa" w:w="16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Near-Term Impact (2025-2027)</w:t>
            </w:r>
          </w:p>
        </w:tc>
        <w:tc>
          <w:tcPr>
            <w:tcW w:type="dxa" w:w="2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Medium-Term Impact (2028-2032)</w:t>
            </w:r>
          </w:p>
        </w:tc>
        <w:tc>
          <w:tcPr>
            <w:tcW w:type="dxa" w:w="27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Long-Term Trajectory</w:t>
            </w:r>
          </w:p>
        </w:tc>
      </w:tr>
      <w:tr>
        <w:tc>
          <w:tcPr>
            <w:tcW w:type="dxa" w:w="1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Junior Developer / Bootcamp Graduate</w:t>
            </w:r>
          </w:p>
        </w:tc>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High disruption. Entry-level implementation tasks are the most automatable. Hiring rates already declining at some firms.</w:t>
            </w:r>
          </w:p>
        </w:tc>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Severe compression. The traditional apprenticeship path (junior writes code, senior reviews) breaks down when AI writes the code.</w:t>
            </w:r>
          </w:p>
        </w:tc>
        <w:tc>
          <w:tcPr>
            <w:tcW w:type="dxa" w:w="27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Role evolves into “AI Engineering Apprentice” – learning to specify, review, and orchestrate rather than implement.</w:t>
            </w:r>
          </w:p>
        </w:tc>
      </w:tr>
      <w:tr>
        <w:tc>
          <w:tcPr>
            <w:tcW w:type="dxa" w:w="16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Mid-Level Engineer</w:t>
            </w:r>
          </w:p>
        </w:tc>
        <w:tc>
          <w:tcPr>
            <w:tcW w:type="dxa" w:w="22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Moderate disruption. Productivity amplified 2-4x. Some headcount reduction as teams deliver more with fewer people.</w:t>
            </w:r>
          </w:p>
        </w:tc>
        <w:tc>
          <w:tcPr>
            <w:tcW w:type="dxa" w:w="28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Significant restructuring. Mid-level becomes the “verification layer” – responsible for reviewing and validating AI output.</w:t>
            </w:r>
          </w:p>
        </w:tc>
        <w:tc>
          <w:tcPr>
            <w:tcW w:type="dxa" w:w="276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Bifurcation: engineers who master AI orchestration thrive; those who rely on implementation skills alone are displaced.</w:t>
            </w:r>
          </w:p>
        </w:tc>
      </w:tr>
      <w:tr>
        <w:tc>
          <w:tcPr>
            <w:tcW w:type="dxa" w:w="1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Senior / Staff Engineer</w:t>
            </w:r>
          </w:p>
        </w:tc>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Low direct disruption but high demand shift. More time on architecture, system design, and cross-cutting concerns.</w:t>
            </w:r>
          </w:p>
        </w:tc>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Role expands to include AI system governance, prompt engineering at scale, and quality assurance of AI pipelines.</w:t>
            </w:r>
          </w:p>
        </w:tc>
        <w:tc>
          <w:tcPr>
            <w:tcW w:type="dxa" w:w="27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Elevated importance. Deep technical judgment becomes the scarce, high-value input the Dark Factory cannot generate.</w:t>
            </w:r>
          </w:p>
        </w:tc>
      </w:tr>
      <w:tr>
        <w:tc>
          <w:tcPr>
            <w:tcW w:type="dxa" w:w="16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Engineering Manager</w:t>
            </w:r>
          </w:p>
        </w:tc>
        <w:tc>
          <w:tcPr>
            <w:tcW w:type="dxa" w:w="22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Moderate disruption. Team size assumptions change. “Span of control” expands as per-engineer throughput increases.</w:t>
            </w:r>
          </w:p>
        </w:tc>
        <w:tc>
          <w:tcPr>
            <w:tcW w:type="dxa" w:w="28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Significant evolution. Managing AI agents alongside human engineers requires new frameworks. Performance metrics transform.</w:t>
            </w:r>
          </w:p>
        </w:tc>
        <w:tc>
          <w:tcPr>
            <w:tcW w:type="dxa" w:w="276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Role becomes “Production Director” – managing an autonomous factory floor with human specialists for exceptions.</w:t>
            </w:r>
          </w:p>
        </w:tc>
      </w:tr>
      <w:tr>
        <w:tc>
          <w:tcPr>
            <w:tcW w:type="dxa" w:w="1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QA / Test Engineer</w:t>
            </w:r>
          </w:p>
        </w:tc>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High augmentation. AI generates tests faster, but human judgment on test strategy and edge cases remains critical.</w:t>
            </w:r>
          </w:p>
        </w:tc>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Role merges with “AI Verification Engineer” – ensuring AI-generated code and tests are trustworthy.</w:t>
            </w:r>
          </w:p>
        </w:tc>
        <w:tc>
          <w:tcPr>
            <w:tcW w:type="dxa" w:w="27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Potentially the most critical role in a Dark Factory context. Verification is the rate-limiting function.</w:t>
            </w:r>
          </w:p>
        </w:tc>
      </w:tr>
    </w:tbl>
    <w:p>
      <w:pPr>
        <w:spacing w:after="80"/>
      </w:pPr>
    </w:p>
    <w:p>
      <w:pPr>
        <w:pStyle w:val="Heading2"/>
        <w:spacing w:after="200" w:before="240"/>
      </w:pPr>
      <w:r>
        <w:rPr>
          <w:rFonts w:ascii="Arial" w:cs="Arial" w:eastAsia="Arial" w:hAnsi="Arial"/>
          <w:b/>
          <w:bCs/>
          <w:color w:val="1B3A5C"/>
          <w:sz w:val="28"/>
          <w:szCs w:val="28"/>
        </w:rPr>
        <w:t xml:space="preserve">5.2 Workforce Data Points</w:t>
      </w:r>
    </w:p>
    <w:p>
      <w:pPr>
        <w:spacing w:after="160" w:line="312"/>
        <w:jc w:val="both"/>
      </w:pPr>
      <w:r>
        <w:rPr>
          <w:rFonts w:ascii="Arial" w:cs="Arial" w:eastAsia="Arial" w:hAnsi="Arial"/>
          <w:color w:val="222222"/>
          <w:sz w:val="22"/>
          <w:szCs w:val="22"/>
        </w:rPr>
        <w:t xml:space="preserve">Several major technology companies have already adjusted hiring based on AI productivity expectations. Dropbox reduced its workforce by 16% (approximately 500 employees) in 2024, with CEO Drew Houston explicitly citing AI as enabling smaller teams to do more. Klarna reduced its contractor workforce from 3,000 to approximately 2,000 through AI automation of customer service and internal tooling. Google, while not announcing engineer layoffs tied to AI, slowed engineering hiring significantly in 2024-2025 while continuing to invest heavily in AI infrastructure, implying a productivity-per-engineer bet.</w:t>
      </w:r>
    </w:p>
    <w:p>
      <w:pPr>
        <w:spacing w:after="160" w:line="312"/>
        <w:jc w:val="both"/>
      </w:pPr>
      <w:r>
        <w:rPr>
          <w:rFonts w:ascii="Arial" w:cs="Arial" w:eastAsia="Arial" w:hAnsi="Arial"/>
          <w:color w:val="222222"/>
          <w:sz w:val="22"/>
          <w:szCs w:val="22"/>
        </w:rPr>
        <w:t xml:space="preserve">Conversely, the demand for AI-specialized engineering roles has surged. LinkedIn’s 2025 Jobs on the Rise report showed that “AI Engineer” was the fastest-growing job title globally, with a 9x increase in postings year-over-year. The implication is clear: the total number of traditional software engineering roles may contract while the compensation premium for AI-fluent engineers increases, widening the income distribution within the profession.</w:t>
      </w:r>
    </w:p>
    <w:p>
      <w:pPr>
        <w:pStyle w:val="Heading2"/>
        <w:spacing w:after="200" w:before="240"/>
      </w:pPr>
      <w:r>
        <w:rPr>
          <w:rFonts w:ascii="Arial" w:cs="Arial" w:eastAsia="Arial" w:hAnsi="Arial"/>
          <w:b/>
          <w:bCs/>
          <w:color w:val="1B3A5C"/>
          <w:sz w:val="28"/>
          <w:szCs w:val="28"/>
        </w:rPr>
        <w:t xml:space="preserve">5.3 The Skills Displacement Timeline</w:t>
      </w:r>
    </w:p>
    <w:p>
      <w:pPr>
        <w:spacing w:after="160" w:line="312"/>
        <w:jc w:val="both"/>
      </w:pPr>
      <w:r>
        <w:rPr>
          <w:rFonts w:ascii="Arial" w:cs="Arial" w:eastAsia="Arial" w:hAnsi="Arial"/>
          <w:color w:val="222222"/>
          <w:sz w:val="22"/>
          <w:szCs w:val="22"/>
        </w:rPr>
        <w:t xml:space="preserve">A candid assessment for C-level leadership: the timeline for workforce impact is shorter than many organizations assume. Anthropic CEO Dario Amodei stated in January 2025 that within 3-6 months, AI systems would be writing 90% of code, with most code potentially written entirely by AI within 12 months. While this likely reflects aspirational positioning rather than immediate enterprise reality, the directional signal is significant.</w:t>
      </w:r>
    </w:p>
    <w:p>
      <w:pPr>
        <w:spacing w:after="160" w:line="312"/>
        <w:jc w:val="both"/>
      </w:pPr>
      <w:r>
        <w:rPr>
          <w:rFonts w:ascii="Arial" w:cs="Arial" w:eastAsia="Arial" w:hAnsi="Arial"/>
          <w:color w:val="222222"/>
          <w:sz w:val="22"/>
          <w:szCs w:val="22"/>
        </w:rPr>
        <w:t xml:space="preserve">Microsoft’s Satya Nadella made a similarly aggressive projection: “We are at a point where Copilot is writing a significant portion of code in our repos. I can see a world in the not-too-distant future where the majority of code is AI-generated.” Meta’s Mark Zuckerberg predicted that by mid-2025, AI could be writing most of the code for Meta’s AI research projects.</w:t>
      </w:r>
    </w:p>
    <w:p>
      <w:pPr>
        <w:pBdr>
          <w:left w:val="single" w:color="2E75B6" w:sz="12" w:space="8"/>
        </w:pBdr>
        <w:spacing w:after="200" w:before="200"/>
        <w:ind w:left="360"/>
      </w:pPr>
      <w:r>
        <w:rPr>
          <w:rFonts w:ascii="Arial" w:cs="Arial" w:eastAsia="Arial" w:hAnsi="Arial"/>
          <w:i/>
          <w:iCs/>
          <w:color w:val="1B3A5C"/>
          <w:sz w:val="22"/>
          <w:szCs w:val="22"/>
        </w:rPr>
        <w:t xml:space="preserve">Warning for C-Suite: Even if these projections are 2-3x too aggressive on timeline, the planning implication is the same. Organizations need workforce transition strategies now, not after the transition has already occurred.</w:t>
      </w:r>
    </w:p>
    <w:p>
      <w:r>
        <w:br w:type="page"/>
      </w:r>
    </w:p>
    <w:p>
      <w:pPr>
        <w:pStyle w:val="Heading1"/>
        <w:spacing w:after="200" w:before="360"/>
      </w:pPr>
      <w:r>
        <w:rPr>
          <w:rFonts w:ascii="Arial" w:cs="Arial" w:eastAsia="Arial" w:hAnsi="Arial"/>
          <w:b/>
          <w:bCs/>
          <w:color w:val="1B3A5C"/>
          <w:sz w:val="32"/>
          <w:szCs w:val="32"/>
        </w:rPr>
        <w:t xml:space="preserve">6. Cognitive Load Viability: The Review Paradox</w:t>
      </w:r>
    </w:p>
    <w:p>
      <w:pPr>
        <w:pStyle w:val="Heading2"/>
        <w:spacing w:after="200" w:before="240"/>
      </w:pPr>
      <w:r>
        <w:rPr>
          <w:rFonts w:ascii="Arial" w:cs="Arial" w:eastAsia="Arial" w:hAnsi="Arial"/>
          <w:b/>
          <w:bCs/>
          <w:color w:val="1B3A5C"/>
          <w:sz w:val="28"/>
          <w:szCs w:val="28"/>
        </w:rPr>
        <w:t xml:space="preserve">6.1 The Fundamental Paradox</w:t>
      </w:r>
    </w:p>
    <w:p>
      <w:pPr>
        <w:spacing w:after="160" w:line="312"/>
        <w:jc w:val="both"/>
      </w:pPr>
      <w:r>
        <w:rPr>
          <w:rFonts w:ascii="Arial" w:cs="Arial" w:eastAsia="Arial" w:hAnsi="Arial"/>
          <w:color w:val="222222"/>
          <w:sz w:val="22"/>
          <w:szCs w:val="22"/>
        </w:rPr>
        <w:t xml:space="preserve">This section addresses what may be the single most critical and least discussed obstacle to the Dark Factory: the human cognitive load of reviewing AI-generated output. The paradox is this: as AI systems generate code faster and in greater volume, the human ability to meaningfully review that code does not scale proportionally. In fact, cognitive science suggests it may degrade.</w:t>
      </w:r>
    </w:p>
    <w:p>
      <w:pPr>
        <w:spacing w:after="160" w:line="312"/>
        <w:jc w:val="both"/>
      </w:pPr>
      <w:r>
        <w:rPr>
          <w:rFonts w:ascii="Arial" w:cs="Arial" w:eastAsia="Arial" w:hAnsi="Arial"/>
          <w:color w:val="222222"/>
          <w:sz w:val="22"/>
          <w:szCs w:val="22"/>
        </w:rPr>
        <w:t xml:space="preserve">Research in cognitive psychology, particularly Kahneman’s dual-process theory, is directly relevant. Code review is a System 2 (slow, deliberate, analytical) task. It requires the reviewer to build a mental model of what the code should do, compare it against what the code actually does, and identify subtle discrepancies. This process is fundamentally attention-limited and does not benefit from the volume increases that AI coding enables.</w:t>
      </w:r>
    </w:p>
    <w:p>
      <w:pPr>
        <w:pStyle w:val="Heading2"/>
        <w:spacing w:after="200" w:before="240"/>
      </w:pPr>
      <w:r>
        <w:rPr>
          <w:rFonts w:ascii="Arial" w:cs="Arial" w:eastAsia="Arial" w:hAnsi="Arial"/>
          <w:b/>
          <w:bCs/>
          <w:color w:val="1B3A5C"/>
          <w:sz w:val="28"/>
          <w:szCs w:val="28"/>
        </w:rPr>
        <w:t xml:space="preserve">6.2 The Review Throughput Ceiling</w:t>
      </w:r>
    </w:p>
    <w:p>
      <w:pPr>
        <w:spacing w:after="160" w:line="312"/>
        <w:jc w:val="both"/>
      </w:pPr>
      <w:r>
        <w:rPr>
          <w:rFonts w:ascii="Arial" w:cs="Arial" w:eastAsia="Arial" w:hAnsi="Arial"/>
          <w:color w:val="222222"/>
          <w:sz w:val="22"/>
          <w:szCs w:val="22"/>
        </w:rPr>
        <w:t xml:space="preserve">Empirical data from code review research supports this concern. A widely cited study by Cisco’s SmartBear team found that review effectiveness drops sharply after 60-90 minutes of continuous review, and that reviewers miss more defects when reviewing more than 200-400 lines of code in a single session. AI coding agents can produce thousands of lines per hour. The mismatch between production speed and review throughput creates an irreconcilable bottleneck in any system that relies on human verification.</w:t>
      </w:r>
    </w:p>
    <w:p>
      <w:pPr>
        <w:spacing w:after="160" w:line="312"/>
        <w:jc w:val="both"/>
      </w:pPr>
      <w:r>
        <w:rPr>
          <w:rFonts w:ascii="Arial" w:cs="Arial" w:eastAsia="Arial" w:hAnsi="Arial"/>
          <w:color w:val="222222"/>
          <w:sz w:val="22"/>
          <w:szCs w:val="22"/>
        </w:rPr>
        <w:t xml:space="preserve">This ceiling manifests in several measurable ways in enterprise settings:</w:t>
      </w:r>
    </w:p>
    <w:p>
      <w:pPr>
        <w:pStyle w:val="ListParagraph"/>
        <w:numPr>
          <w:ilvl w:val="0"/>
          <w:numId w:val="4"/>
        </w:numPr>
        <w:spacing w:after="100" w:line="312"/>
      </w:pPr>
      <w:r>
        <w:rPr>
          <w:rFonts w:ascii="Arial" w:cs="Arial" w:eastAsia="Arial" w:hAnsi="Arial"/>
          <w:color w:val="222222"/>
          <w:sz w:val="22"/>
          <w:szCs w:val="22"/>
        </w:rPr>
        <w:t xml:space="preserve">Review fatigue: As AI generates more PRs, reviewers experience decision fatigue and begin rubber-stamping approvals. Multiple engineering leads at mid-to-large technology companies have reported observing this pattern within 3-6 months of AI agent deployment.</w:t>
      </w:r>
    </w:p>
    <w:p>
      <w:pPr>
        <w:pStyle w:val="ListParagraph"/>
        <w:numPr>
          <w:ilvl w:val="0"/>
          <w:numId w:val="4"/>
        </w:numPr>
        <w:spacing w:after="100" w:line="312"/>
      </w:pPr>
      <w:r>
        <w:rPr>
          <w:rFonts w:ascii="Arial" w:cs="Arial" w:eastAsia="Arial" w:hAnsi="Arial"/>
          <w:color w:val="222222"/>
          <w:sz w:val="22"/>
          <w:szCs w:val="22"/>
        </w:rPr>
        <w:t xml:space="preserve">Anchoring bias: Reviewers tend to trust AI-generated code more than human-generated code, even when told to treat it equally. The Stanford/Berkeley vulnerability study cited earlier quantified this bias.</w:t>
      </w:r>
    </w:p>
    <w:p>
      <w:pPr>
        <w:pStyle w:val="ListParagraph"/>
        <w:numPr>
          <w:ilvl w:val="0"/>
          <w:numId w:val="4"/>
        </w:numPr>
        <w:spacing w:after="100" w:line="312"/>
      </w:pPr>
      <w:r>
        <w:rPr>
          <w:rFonts w:ascii="Arial" w:cs="Arial" w:eastAsia="Arial" w:hAnsi="Arial"/>
          <w:color w:val="222222"/>
          <w:sz w:val="22"/>
          <w:szCs w:val="22"/>
        </w:rPr>
        <w:t xml:space="preserve">Context switching cost: Reviewing AI-generated code often requires understanding unfamiliar patterns or libraries that the AI has chosen. This imposes a higher context switching cost than reviewing code written by a known colleague whose style and decisions are predictable.</w:t>
      </w:r>
    </w:p>
    <w:p>
      <w:pPr>
        <w:pStyle w:val="ListParagraph"/>
        <w:numPr>
          <w:ilvl w:val="0"/>
          <w:numId w:val="4"/>
        </w:numPr>
        <w:spacing w:after="100" w:line="312"/>
      </w:pPr>
      <w:r>
        <w:rPr>
          <w:rFonts w:ascii="Arial" w:cs="Arial" w:eastAsia="Arial" w:hAnsi="Arial"/>
          <w:color w:val="222222"/>
          <w:sz w:val="22"/>
          <w:szCs w:val="22"/>
        </w:rPr>
        <w:t xml:space="preserve">Loss of authorship knowledge: When a human writes code, the author carries implicit knowledge about why decisions were made. When AI writes code, that authorship knowledge is lost; the reviewer must reconstruct intent from output, which is cognitively more expensive.</w:t>
      </w:r>
    </w:p>
    <w:p>
      <w:pPr>
        <w:pStyle w:val="Heading2"/>
        <w:spacing w:after="200" w:before="240"/>
      </w:pPr>
      <w:r>
        <w:rPr>
          <w:rFonts w:ascii="Arial" w:cs="Arial" w:eastAsia="Arial" w:hAnsi="Arial"/>
          <w:b/>
          <w:bCs/>
          <w:color w:val="1B3A5C"/>
          <w:sz w:val="28"/>
          <w:szCs w:val="28"/>
        </w:rPr>
        <w:t xml:space="preserve">6.3 Emerging Solutions to the Review Problem</w:t>
      </w:r>
    </w:p>
    <w:p>
      <w:pPr>
        <w:spacing w:after="160" w:line="312"/>
        <w:jc w:val="both"/>
      </w:pPr>
      <w:r>
        <w:rPr>
          <w:rFonts w:ascii="Arial" w:cs="Arial" w:eastAsia="Arial" w:hAnsi="Arial"/>
          <w:color w:val="222222"/>
          <w:sz w:val="22"/>
          <w:szCs w:val="22"/>
        </w:rPr>
        <w:t xml:space="preserve">The review paradox is not lost on tool builders, and several approaches are emerging to mitigate it:</w:t>
      </w:r>
    </w:p>
    <w:p>
      <w:pPr>
        <w:spacing w:after="160" w:line="312"/>
        <w:jc w:val="both"/>
      </w:pPr>
      <w:r>
        <w:rPr>
          <w:rFonts w:ascii="Arial" w:cs="Arial" w:eastAsia="Arial" w:hAnsi="Arial"/>
          <w:b/>
          <w:bCs/>
          <w:color w:val="222222"/>
          <w:sz w:val="22"/>
          <w:szCs w:val="22"/>
        </w:rPr>
        <w:t xml:space="preserve">AI-Assisted Review: </w:t>
      </w:r>
      <w:r>
        <w:rPr>
          <w:rFonts w:ascii="Arial" w:cs="Arial" w:eastAsia="Arial" w:hAnsi="Arial"/>
          <w:color w:val="222222"/>
          <w:sz w:val="22"/>
          <w:szCs w:val="22"/>
        </w:rPr>
        <w:t xml:space="preserve">Tools like CodeRabbit, Graphite, and Codium’s PR-Agent use AI to review AI-generated code. This creates an adversarial pairing where one model checks another’s work. While promising, this introduces a recursive trust problem: how do we verify the verifier? Early results show that AI review catches different categories of issues than human review (more consistent on style and known vulnerability patterns; weaker on business logic and architectural fitness).</w:t>
      </w:r>
    </w:p>
    <w:p>
      <w:pPr>
        <w:spacing w:after="160" w:line="312"/>
        <w:jc w:val="both"/>
      </w:pPr>
      <w:r>
        <w:rPr>
          <w:rFonts w:ascii="Arial" w:cs="Arial" w:eastAsia="Arial" w:hAnsi="Arial"/>
          <w:b/>
          <w:bCs/>
          <w:color w:val="222222"/>
          <w:sz w:val="22"/>
          <w:szCs w:val="22"/>
        </w:rPr>
        <w:t xml:space="preserve">Formal Verification Integration: </w:t>
      </w:r>
      <w:r>
        <w:rPr>
          <w:rFonts w:ascii="Arial" w:cs="Arial" w:eastAsia="Arial" w:hAnsi="Arial"/>
          <w:color w:val="222222"/>
          <w:sz w:val="22"/>
          <w:szCs w:val="22"/>
        </w:rPr>
        <w:t xml:space="preserve">Some researchers propose pairing AI code generation with formal verification tools that can mathematically prove certain properties of the generated code. AWS’s use of Dafny and TLA+ in critical infrastructure is an example of how formal methods can complement AI generation, though the current state limits applicability to specific problem domains.</w:t>
      </w:r>
    </w:p>
    <w:p>
      <w:pPr>
        <w:spacing w:after="160" w:line="312"/>
        <w:jc w:val="both"/>
      </w:pPr>
      <w:r>
        <w:rPr>
          <w:rFonts w:ascii="Arial" w:cs="Arial" w:eastAsia="Arial" w:hAnsi="Arial"/>
          <w:b/>
          <w:bCs/>
          <w:color w:val="222222"/>
          <w:sz w:val="22"/>
          <w:szCs w:val="22"/>
        </w:rPr>
        <w:t xml:space="preserve">Staged Autonomy with Human Checkpoints: </w:t>
      </w:r>
      <w:r>
        <w:rPr>
          <w:rFonts w:ascii="Arial" w:cs="Arial" w:eastAsia="Arial" w:hAnsi="Arial"/>
          <w:color w:val="222222"/>
          <w:sz w:val="22"/>
          <w:szCs w:val="22"/>
        </w:rPr>
        <w:t xml:space="preserve">Rather than full Dark Factory operation, a staged model introduces mandatory human review gates at specific points: architecture approval, security-sensitive code paths, data model changes, and deployment authorization. This reduces but does not eliminate the cognitive load problem by focusing human attention where it matters most.</w:t>
      </w:r>
    </w:p>
    <w:p>
      <w:pPr>
        <w:spacing w:after="160" w:line="312"/>
        <w:jc w:val="both"/>
      </w:pPr>
      <w:r>
        <w:rPr>
          <w:rFonts w:ascii="Arial" w:cs="Arial" w:eastAsia="Arial" w:hAnsi="Arial"/>
          <w:b/>
          <w:bCs/>
          <w:color w:val="222222"/>
          <w:sz w:val="22"/>
          <w:szCs w:val="22"/>
        </w:rPr>
        <w:t xml:space="preserve">Behavioral Testing and Contract Verification: </w:t>
      </w:r>
      <w:r>
        <w:rPr>
          <w:rFonts w:ascii="Arial" w:cs="Arial" w:eastAsia="Arial" w:hAnsi="Arial"/>
          <w:color w:val="222222"/>
          <w:sz w:val="22"/>
          <w:szCs w:val="22"/>
        </w:rPr>
        <w:t xml:space="preserve">Instead of reviewing code directly, humans specify behavior contracts (input-output expectations, invariants, performance bounds) and let automated systems verify that the AI-generated code satisfies these contracts. This shifts the human role from code reviewer to specification author, which is cognitively different and potentially more scalable.</w:t>
      </w:r>
    </w:p>
    <w:p>
      <w:pPr>
        <w:pBdr>
          <w:left w:val="single" w:color="2E75B6" w:sz="12" w:space="8"/>
        </w:pBdr>
        <w:spacing w:after="200" w:before="200"/>
        <w:ind w:left="360"/>
      </w:pPr>
      <w:r>
        <w:rPr>
          <w:rFonts w:ascii="Arial" w:cs="Arial" w:eastAsia="Arial" w:hAnsi="Arial"/>
          <w:i/>
          <w:iCs/>
          <w:color w:val="1B3A5C"/>
          <w:sz w:val="22"/>
          <w:szCs w:val="22"/>
        </w:rPr>
        <w:t xml:space="preserve">The honest assessment: No current solution fully resolves the review paradox. Any enterprise pursuing Dark Factory approaches must explicitly acknowledge that the verification problem is unsolved and budget accordingly for verification infrastructure – both technological and human.</w:t>
      </w:r>
    </w:p>
    <w:p>
      <w:r>
        <w:br w:type="page"/>
      </w:r>
    </w:p>
    <w:p>
      <w:pPr>
        <w:pStyle w:val="Heading1"/>
        <w:spacing w:after="200" w:before="360"/>
      </w:pPr>
      <w:r>
        <w:rPr>
          <w:rFonts w:ascii="Arial" w:cs="Arial" w:eastAsia="Arial" w:hAnsi="Arial"/>
          <w:b/>
          <w:bCs/>
          <w:color w:val="1B3A5C"/>
          <w:sz w:val="32"/>
          <w:szCs w:val="32"/>
        </w:rPr>
        <w:t xml:space="preserve">7. Viewpoints of Big Tech and Founding AI Laboratories</w:t>
      </w:r>
    </w:p>
    <w:p>
      <w:pPr>
        <w:pStyle w:val="Heading2"/>
        <w:spacing w:after="200" w:before="240"/>
      </w:pPr>
      <w:r>
        <w:rPr>
          <w:rFonts w:ascii="Arial" w:cs="Arial" w:eastAsia="Arial" w:hAnsi="Arial"/>
          <w:b/>
          <w:bCs/>
          <w:color w:val="1B3A5C"/>
          <w:sz w:val="28"/>
          <w:szCs w:val="28"/>
        </w:rPr>
        <w:t xml:space="preserve">7.1 Google / DeepMind</w:t>
      </w:r>
    </w:p>
    <w:p>
      <w:pPr>
        <w:spacing w:after="160" w:line="312"/>
        <w:jc w:val="both"/>
      </w:pPr>
      <w:r>
        <w:rPr>
          <w:rFonts w:ascii="Arial" w:cs="Arial" w:eastAsia="Arial" w:hAnsi="Arial"/>
          <w:color w:val="222222"/>
          <w:sz w:val="22"/>
          <w:szCs w:val="22"/>
        </w:rPr>
        <w:t xml:space="preserve">Google occupies a dual position: it is both building AI coding tools (Gemini Code Assist, integrated into Google Cloud) and using them internally at enormous scale. At Google I/O 2025, Sundar Pichai disclosed that over 25% of new code at Google is AI-generated. Internally, Google’s approach reflects pragmatic incrementalism: AI writes code, humans review it, and the existing testing infrastructure (which is among the most sophisticated in the industry) provides the verification layer. Google’s DeepMind division has invested heavily in AlphaCode and its successors, which performed at a competitive programming level equivalent to the median human competitor. However, Google has not publicly advocated for autonomous Dark Factory models, reflecting institutional caution grounded in the scale and complexity of Google’s codebase (over 2 billion lines of code in a monorepo). Jeff Dean has emphasized that the goal is not to replace engineers but to make each engineer substantially more productive.</w:t>
      </w:r>
    </w:p>
    <w:p>
      <w:pPr>
        <w:pStyle w:val="Heading2"/>
        <w:spacing w:after="200" w:before="240"/>
      </w:pPr>
      <w:r>
        <w:rPr>
          <w:rFonts w:ascii="Arial" w:cs="Arial" w:eastAsia="Arial" w:hAnsi="Arial"/>
          <w:b/>
          <w:bCs/>
          <w:color w:val="1B3A5C"/>
          <w:sz w:val="28"/>
          <w:szCs w:val="28"/>
        </w:rPr>
        <w:t xml:space="preserve">7.2 Microsoft / GitHub / OpenAI Axis</w:t>
      </w:r>
    </w:p>
    <w:p>
      <w:pPr>
        <w:spacing w:after="160" w:line="312"/>
        <w:jc w:val="both"/>
      </w:pPr>
      <w:r>
        <w:rPr>
          <w:rFonts w:ascii="Arial" w:cs="Arial" w:eastAsia="Arial" w:hAnsi="Arial"/>
          <w:color w:val="222222"/>
          <w:sz w:val="22"/>
          <w:szCs w:val="22"/>
        </w:rPr>
        <w:t xml:space="preserve">Microsoft is the most aggressive major enterprise in the Dark Factory direction, driven by its $13B+ investment in OpenAI and its ownership of GitHub. The strategic logic is vertically integrated: OpenAI provides the models, GitHub provides the developer platform, Azure provides the infrastructure, and Microsoft’s enterprise relationships provide the distribution channel. Satya Nadella’s public statements have been the most forward-leaning of any Big Tech CEO, framing AI-generated code as an inevitability and GitHub Copilot as the foundation of the future software factory. GitHub CEO Thomas Dohmke has articulated a vision of “billion-developer” software creation, where non-developers can create software through natural language intent. The economic incentive is clear: if GitHub becomes the platform on which AI builds software, it captures value from every line of AI-generated code.</w:t>
      </w:r>
    </w:p>
    <w:p>
      <w:pPr>
        <w:pStyle w:val="Heading2"/>
        <w:spacing w:after="200" w:before="240"/>
      </w:pPr>
      <w:r>
        <w:rPr>
          <w:rFonts w:ascii="Arial" w:cs="Arial" w:eastAsia="Arial" w:hAnsi="Arial"/>
          <w:b/>
          <w:bCs/>
          <w:color w:val="1B3A5C"/>
          <w:sz w:val="28"/>
          <w:szCs w:val="28"/>
        </w:rPr>
        <w:t xml:space="preserve">7.3 Anthropic</w:t>
      </w:r>
    </w:p>
    <w:p>
      <w:pPr>
        <w:spacing w:after="160" w:line="312"/>
        <w:jc w:val="both"/>
      </w:pPr>
      <w:r>
        <w:rPr>
          <w:rFonts w:ascii="Arial" w:cs="Arial" w:eastAsia="Arial" w:hAnsi="Arial"/>
          <w:color w:val="222222"/>
          <w:sz w:val="22"/>
          <w:szCs w:val="22"/>
        </w:rPr>
        <w:t xml:space="preserve">Anthropic’s position is distinctive in its dual emphasis on capability and safety. Claude’s coding abilities have been positioned competitively (achieving strong performance on SWE-bench and other coding benchmarks), but Anthropic’s leadership has consistently framed the discussion in terms of human-AI collaboration rather than human replacement. Dario Amodei’s January 2025 essay on AI’s trajectory predicted that AI would write most code in the near term but explicitly emphasized the importance of maintaining human oversight, particularly for safety-critical systems. Anthropic’s Claude has been designed with Constitutional AI principles that include transparency about limitations and uncertainty, which is philosophically aligned with a “human-in-the-loop” rather than “dark factory” orientation. Their release of Claude Code as an agentic coding tool, and its strong uptake among professional developers, reflects a strategy of augmenting engineers rather than replacing them.</w:t>
      </w:r>
    </w:p>
    <w:p>
      <w:pPr>
        <w:pStyle w:val="Heading2"/>
        <w:spacing w:after="200" w:before="240"/>
      </w:pPr>
      <w:r>
        <w:rPr>
          <w:rFonts w:ascii="Arial" w:cs="Arial" w:eastAsia="Arial" w:hAnsi="Arial"/>
          <w:b/>
          <w:bCs/>
          <w:color w:val="1B3A5C"/>
          <w:sz w:val="28"/>
          <w:szCs w:val="28"/>
        </w:rPr>
        <w:t xml:space="preserve">7.4 OpenAI</w:t>
      </w:r>
    </w:p>
    <w:p>
      <w:pPr>
        <w:spacing w:after="160" w:line="312"/>
        <w:jc w:val="both"/>
      </w:pPr>
      <w:r>
        <w:rPr>
          <w:rFonts w:ascii="Arial" w:cs="Arial" w:eastAsia="Arial" w:hAnsi="Arial"/>
          <w:color w:val="222222"/>
          <w:sz w:val="22"/>
          <w:szCs w:val="22"/>
        </w:rPr>
        <w:t xml:space="preserve">OpenAI’s approach to autonomous coding has evolved rapidly. The GPT-4-based Codex model, Assistants API with code interpreter, and the ChatGPT Canvas coding interface represent progressive steps toward autonomous software creation. OpenAI CEO Sam Altman has made some of the most dramatic public claims about AI replacing human developers, including his statement that “AI agents will begin to join the workforce in a meaningful way” in 2025. OpenAI’s launch of “Operator” (an autonomous browser agent) and its developer-focused tools signal that the company sees autonomous task completion, not just copiloting, as the product direction. Internally, OpenAI has reportedly used its own models to write significant portions of its infrastructure code, serving as both proof-of-concept and dogfooding exercise.</w:t>
      </w:r>
    </w:p>
    <w:p>
      <w:pPr>
        <w:pStyle w:val="Heading2"/>
        <w:spacing w:after="200" w:before="240"/>
      </w:pPr>
      <w:r>
        <w:rPr>
          <w:rFonts w:ascii="Arial" w:cs="Arial" w:eastAsia="Arial" w:hAnsi="Arial"/>
          <w:b/>
          <w:bCs/>
          <w:color w:val="1B3A5C"/>
          <w:sz w:val="28"/>
          <w:szCs w:val="28"/>
        </w:rPr>
        <w:t xml:space="preserve">7.5 Meta</w:t>
      </w:r>
    </w:p>
    <w:p>
      <w:pPr>
        <w:spacing w:after="160" w:line="312"/>
        <w:jc w:val="both"/>
      </w:pPr>
      <w:r>
        <w:rPr>
          <w:rFonts w:ascii="Arial" w:cs="Arial" w:eastAsia="Arial" w:hAnsi="Arial"/>
          <w:color w:val="222222"/>
          <w:sz w:val="22"/>
          <w:szCs w:val="22"/>
        </w:rPr>
        <w:t xml:space="preserve">Meta’s approach is anchored in open-source strategy. The Llama model family, including Code Llama and subsequent iterations, provides the foundation for open-source AI coding tools. Mark Zuckerberg predicted that AI would write “most of the code” at Meta by mid-2025, particularly for AI training and infrastructure work. Meta’s strategic interest is in democratizing AI coding to prevent dependency on closed-model providers (particularly OpenAI/Microsoft). Their internal deployment of AI coding tools reportedly follows a similar pattern to Google: AI generates, humans review, existing infrastructure validates. Meta’s open-source approach also enables the Dark Factory concept for organizations building on open-source models, reducing vendor lock-in risk.</w:t>
      </w:r>
    </w:p>
    <w:p>
      <w:pPr>
        <w:pStyle w:val="Heading2"/>
        <w:spacing w:after="200" w:before="240"/>
      </w:pPr>
      <w:r>
        <w:rPr>
          <w:rFonts w:ascii="Arial" w:cs="Arial" w:eastAsia="Arial" w:hAnsi="Arial"/>
          <w:b/>
          <w:bCs/>
          <w:color w:val="1B3A5C"/>
          <w:sz w:val="28"/>
          <w:szCs w:val="28"/>
        </w:rPr>
        <w:t xml:space="preserve">7.6 Convergent and Divergent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68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Convergent View (All agree)</w:t>
            </w:r>
          </w:p>
        </w:tc>
        <w:tc>
          <w:tcPr>
            <w:tcW w:type="dxa" w:w="368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Divergent View (Disagree on)</w:t>
            </w:r>
          </w:p>
        </w:tc>
      </w:tr>
      <w:tr>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AI code generation capability</w:t>
            </w:r>
          </w:p>
        </w:tc>
        <w:tc>
          <w:tcPr>
            <w:tcW w:type="dxa" w:w="368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AI will write majority of code within 2-5 years</w:t>
            </w:r>
          </w:p>
        </w:tc>
        <w:tc>
          <w:tcPr>
            <w:tcW w:type="dxa" w:w="368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How soon (months vs. years) and what counts as “writing code”</w:t>
            </w:r>
          </w:p>
        </w:tc>
      </w:tr>
      <w:tr>
        <w:tc>
          <w:tcPr>
            <w:tcW w:type="dxa" w:w="20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Human role</w:t>
            </w:r>
          </w:p>
        </w:tc>
        <w:tc>
          <w:tcPr>
            <w:tcW w:type="dxa" w:w="368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Humans will remain in the loop for foreseeable future</w:t>
            </w:r>
          </w:p>
        </w:tc>
        <w:tc>
          <w:tcPr>
            <w:tcW w:type="dxa" w:w="368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Whether this is permanent or transitional; the level of human involvement required</w:t>
            </w:r>
          </w:p>
        </w:tc>
      </w:tr>
      <w:tr>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Economic impact</w:t>
            </w:r>
          </w:p>
        </w:tc>
        <w:tc>
          <w:tcPr>
            <w:tcW w:type="dxa" w:w="368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AI coding will generate massive economic value</w:t>
            </w:r>
          </w:p>
        </w:tc>
        <w:tc>
          <w:tcPr>
            <w:tcW w:type="dxa" w:w="368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Distribution of value: whether savings accrue to companies, developers, or model providers</w:t>
            </w:r>
          </w:p>
        </w:tc>
      </w:tr>
      <w:tr>
        <w:tc>
          <w:tcPr>
            <w:tcW w:type="dxa" w:w="20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Safety and verification</w:t>
            </w:r>
          </w:p>
        </w:tc>
        <w:tc>
          <w:tcPr>
            <w:tcW w:type="dxa" w:w="368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The verification problem is real and important</w:t>
            </w:r>
          </w:p>
        </w:tc>
        <w:tc>
          <w:tcPr>
            <w:tcW w:type="dxa" w:w="368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Whether it is solvable with technology alone or requires regulatory/institutional solutions</w:t>
            </w:r>
          </w:p>
        </w:tc>
      </w:tr>
      <w:tr>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Timeline to full autonomy</w:t>
            </w:r>
          </w:p>
        </w:tc>
        <w:tc>
          <w:tcPr>
            <w:tcW w:type="dxa" w:w="368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Full Dark Factory is eventual possibility</w:t>
            </w:r>
          </w:p>
        </w:tc>
        <w:tc>
          <w:tcPr>
            <w:tcW w:type="dxa" w:w="368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Whether this is 5, 10, or 20+ years away; and whether it’s desirable</w:t>
            </w:r>
          </w:p>
        </w:tc>
      </w:tr>
    </w:tbl>
    <w:p>
      <w:r>
        <w:br w:type="page"/>
      </w:r>
    </w:p>
    <w:p>
      <w:pPr>
        <w:pStyle w:val="Heading1"/>
        <w:spacing w:after="200" w:before="360"/>
      </w:pPr>
      <w:r>
        <w:rPr>
          <w:rFonts w:ascii="Arial" w:cs="Arial" w:eastAsia="Arial" w:hAnsi="Arial"/>
          <w:b/>
          <w:bCs/>
          <w:color w:val="1B3A5C"/>
          <w:sz w:val="32"/>
          <w:szCs w:val="32"/>
        </w:rPr>
        <w:t xml:space="preserve">8. Cost-Benefit Analysis: Financial Viability and Timeline</w:t>
      </w:r>
    </w:p>
    <w:p>
      <w:pPr>
        <w:pStyle w:val="Heading2"/>
        <w:spacing w:after="200" w:before="240"/>
      </w:pPr>
      <w:r>
        <w:rPr>
          <w:rFonts w:ascii="Arial" w:cs="Arial" w:eastAsia="Arial" w:hAnsi="Arial"/>
          <w:b/>
          <w:bCs/>
          <w:color w:val="1B3A5C"/>
          <w:sz w:val="28"/>
          <w:szCs w:val="28"/>
        </w:rPr>
        <w:t xml:space="preserve">8.1 Cost Structure of Current AI-Augmented Development</w:t>
      </w:r>
    </w:p>
    <w:p>
      <w:pPr>
        <w:spacing w:after="160" w:line="312"/>
        <w:jc w:val="both"/>
      </w:pPr>
      <w:r>
        <w:rPr>
          <w:rFonts w:ascii="Arial" w:cs="Arial" w:eastAsia="Arial" w:hAnsi="Arial"/>
          <w:color w:val="222222"/>
          <w:sz w:val="22"/>
          <w:szCs w:val="22"/>
        </w:rPr>
        <w:t xml:space="preserve">Understanding the economics requires disaggregating the cost components and comparing them against traditional software engineering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00"/>
        <w:gridCol w:w="2660"/>
      </w:tblGrid>
      <w:tr>
        <w:trPr>
          <w:tblHeader/>
        </w:trPr>
        <w:tc>
          <w:tcPr>
            <w:tcW w:type="dxa" w:w="2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Cost Component</w:t>
            </w:r>
          </w:p>
        </w:tc>
        <w:tc>
          <w:tcPr>
            <w:tcW w:type="dxa" w:w="20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Traditional Development</w:t>
            </w:r>
          </w:p>
        </w:tc>
        <w:tc>
          <w:tcPr>
            <w:tcW w:type="dxa" w:w="2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AI-Augmented (L1-L2)</w:t>
            </w:r>
          </w:p>
        </w:tc>
        <w:tc>
          <w:tcPr>
            <w:tcW w:type="dxa" w:w="26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Near-Dark Factory (L3-L4)</w:t>
            </w:r>
          </w:p>
        </w:tc>
      </w:tr>
      <w:tr>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Developer Compensation</w:t>
            </w:r>
          </w:p>
        </w:tc>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$150K-$400K/yr per developer (US, fully loaded)</w:t>
            </w:r>
          </w:p>
        </w:tc>
        <w:tc>
          <w:tcPr>
            <w:tcW w:type="dxa" w:w="25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Same per developer, but 20-40% fewer needed for equivalent output</w:t>
            </w:r>
          </w:p>
        </w:tc>
        <w:tc>
          <w:tcPr>
            <w:tcW w:type="dxa" w:w="26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Potentially 50-70% fewer developers, but remaining developers command higher compensation</w:t>
            </w:r>
          </w:p>
        </w:tc>
      </w:tr>
      <w:tr>
        <w:tc>
          <w:tcPr>
            <w:tcW w:type="dxa" w:w="22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AI Tool Licensing</w:t>
            </w:r>
          </w:p>
        </w:tc>
        <w:tc>
          <w:tcPr>
            <w:tcW w:type="dxa" w:w="20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$0</w:t>
            </w:r>
          </w:p>
        </w:tc>
        <w:tc>
          <w:tcPr>
            <w:tcW w:type="dxa" w:w="25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$19-39/developer/month (Copilot, Cursor) = $228-$468/yr per developer</w:t>
            </w:r>
          </w:p>
        </w:tc>
        <w:tc>
          <w:tcPr>
            <w:tcW w:type="dxa" w:w="266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$500-$5,000/month per agent seat; agent compute costs scale with usage</w:t>
            </w:r>
          </w:p>
        </w:tc>
      </w:tr>
      <w:tr>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Compute / Inference Costs</w:t>
            </w:r>
          </w:p>
        </w:tc>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CI/CD infrastructure only</w:t>
            </w:r>
          </w:p>
        </w:tc>
        <w:tc>
          <w:tcPr>
            <w:tcW w:type="dxa" w:w="25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Marginal increase (~$50-200/dev/month for API calls)</w:t>
            </w:r>
          </w:p>
        </w:tc>
        <w:tc>
          <w:tcPr>
            <w:tcW w:type="dxa" w:w="26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Substantial: $2,000-$20,000+/month per autonomous pipeline depending on model and volume</w:t>
            </w:r>
          </w:p>
        </w:tc>
      </w:tr>
      <w:tr>
        <w:tc>
          <w:tcPr>
            <w:tcW w:type="dxa" w:w="22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Review / Verification Overhead</w:t>
            </w:r>
          </w:p>
        </w:tc>
        <w:tc>
          <w:tcPr>
            <w:tcW w:type="dxa" w:w="20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Standard code review (baked into dev time)</w:t>
            </w:r>
          </w:p>
        </w:tc>
        <w:tc>
          <w:tcPr>
            <w:tcW w:type="dxa" w:w="25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Slightly increased review time per PR due to AI unfamiliarity</w:t>
            </w:r>
          </w:p>
        </w:tc>
        <w:tc>
          <w:tcPr>
            <w:tcW w:type="dxa" w:w="266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Significantly increased: dedicated verification engineers, AI review tools, formal verification infrastructure</w:t>
            </w:r>
          </w:p>
        </w:tc>
      </w:tr>
      <w:tr>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Quality / Rework Costs</w:t>
            </w:r>
          </w:p>
        </w:tc>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Baseline defect rates</w:t>
            </w:r>
          </w:p>
        </w:tc>
        <w:tc>
          <w:tcPr>
            <w:tcW w:type="dxa" w:w="25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Potentially lower for well-scoped tasks; higher churn for complex work</w:t>
            </w:r>
          </w:p>
        </w:tc>
        <w:tc>
          <w:tcPr>
            <w:tcW w:type="dxa" w:w="26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Unknown at scale; early data suggests higher initial defect rates requiring monitoring investment</w:t>
            </w:r>
          </w:p>
        </w:tc>
      </w:tr>
      <w:tr>
        <w:tc>
          <w:tcPr>
            <w:tcW w:type="dxa" w:w="22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Training and Transition</w:t>
            </w:r>
          </w:p>
        </w:tc>
        <w:tc>
          <w:tcPr>
            <w:tcW w:type="dxa" w:w="20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$0 (existing skills)</w:t>
            </w:r>
          </w:p>
        </w:tc>
        <w:tc>
          <w:tcPr>
            <w:tcW w:type="dxa" w:w="25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$1,000-$5,000/developer for prompt engineering and tool training</w:t>
            </w:r>
          </w:p>
        </w:tc>
        <w:tc>
          <w:tcPr>
            <w:tcW w:type="dxa" w:w="266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$10,000-$50,000/developer for AI orchestration skills; organizational change management costs</w:t>
            </w:r>
          </w:p>
        </w:tc>
      </w:tr>
    </w:tbl>
    <w:p>
      <w:pPr>
        <w:spacing w:after="80"/>
      </w:pPr>
    </w:p>
    <w:p>
      <w:pPr>
        <w:pStyle w:val="Heading2"/>
        <w:spacing w:after="200" w:before="240"/>
      </w:pPr>
      <w:r>
        <w:rPr>
          <w:rFonts w:ascii="Arial" w:cs="Arial" w:eastAsia="Arial" w:hAnsi="Arial"/>
          <w:b/>
          <w:bCs/>
          <w:color w:val="1B3A5C"/>
          <w:sz w:val="28"/>
          <w:szCs w:val="28"/>
        </w:rPr>
        <w:t xml:space="preserve">8.2 ROI Modeling: A Realistic Scenario</w:t>
      </w:r>
    </w:p>
    <w:p>
      <w:pPr>
        <w:spacing w:after="160" w:line="312"/>
        <w:jc w:val="both"/>
      </w:pPr>
      <w:r>
        <w:rPr>
          <w:rFonts w:ascii="Arial" w:cs="Arial" w:eastAsia="Arial" w:hAnsi="Arial"/>
          <w:color w:val="222222"/>
          <w:sz w:val="22"/>
          <w:szCs w:val="22"/>
        </w:rPr>
        <w:t xml:space="preserve">Consider a hypothetical enterprise with a 200-person engineering organization producing a SaaS platform. The fully loaded cost of this organization is approximately $50M per year (averaging $250K/developer fully loaded).</w:t>
      </w:r>
    </w:p>
    <w:p>
      <w:pPr>
        <w:spacing w:after="160" w:line="312"/>
        <w:jc w:val="both"/>
      </w:pPr>
      <w:r>
        <w:rPr>
          <w:rFonts w:ascii="Arial" w:cs="Arial" w:eastAsia="Arial" w:hAnsi="Arial"/>
          <w:b/>
          <w:bCs/>
          <w:color w:val="222222"/>
          <w:sz w:val="22"/>
          <w:szCs w:val="22"/>
        </w:rPr>
        <w:t xml:space="preserve">Scenario A – AI Augmentation (L1-L2, achievable today): </w:t>
      </w:r>
      <w:r>
        <w:rPr>
          <w:rFonts w:ascii="Arial" w:cs="Arial" w:eastAsia="Arial" w:hAnsi="Arial"/>
          <w:color w:val="222222"/>
          <w:sz w:val="22"/>
          <w:szCs w:val="22"/>
        </w:rPr>
        <w:t xml:space="preserve">Investment of approximately $200K/year in tooling (Copilot/Cursor licenses for 200 developers) plus $500K in training and process adaptation. Expected outcome: 25-35% productivity improvement, equivalent to the output of 250-270 developers from 200 people. This avoids $12.5M-$17.5M in equivalent hiring costs for a $700K investment, yielding an approximate 18-25x ROI. This is the low-risk, high-confidence investment that most enterprises should make immediately if they have not already.</w:t>
      </w:r>
    </w:p>
    <w:p>
      <w:pPr>
        <w:spacing w:after="160" w:line="312"/>
        <w:jc w:val="both"/>
      </w:pPr>
      <w:r>
        <w:rPr>
          <w:rFonts w:ascii="Arial" w:cs="Arial" w:eastAsia="Arial" w:hAnsi="Arial"/>
          <w:b/>
          <w:bCs/>
          <w:color w:val="222222"/>
          <w:sz w:val="22"/>
          <w:szCs w:val="22"/>
        </w:rPr>
        <w:t xml:space="preserve">Scenario B – Partial Automation (L3, 2025-2027 timeline): </w:t>
      </w:r>
      <w:r>
        <w:rPr>
          <w:rFonts w:ascii="Arial" w:cs="Arial" w:eastAsia="Arial" w:hAnsi="Arial"/>
          <w:color w:val="222222"/>
          <w:sz w:val="22"/>
          <w:szCs w:val="22"/>
        </w:rPr>
        <w:t xml:space="preserve">Reduce the team to 140 developers (30% reduction) while maintaining output. Savings: approximately $15M/year in compensation. Costs: $1.5M/year in AI agent licensing and compute, $2M in verification infrastructure, $1M in transition costs. Net savings: approximately $10.5M/year. However, this requires solving the review bottleneck and accepting higher initial risk. The ROI is attractive but contingent on successful verification infrastructure investment.</w:t>
      </w:r>
    </w:p>
    <w:p>
      <w:pPr>
        <w:spacing w:after="160" w:line="312"/>
        <w:jc w:val="both"/>
      </w:pPr>
      <w:r>
        <w:rPr>
          <w:rFonts w:ascii="Arial" w:cs="Arial" w:eastAsia="Arial" w:hAnsi="Arial"/>
          <w:b/>
          <w:bCs/>
          <w:color w:val="222222"/>
          <w:sz w:val="22"/>
          <w:szCs w:val="22"/>
        </w:rPr>
        <w:t xml:space="preserve">Scenario C – Near-Dark Factory (L4, 2028+ timeline): </w:t>
      </w:r>
      <w:r>
        <w:rPr>
          <w:rFonts w:ascii="Arial" w:cs="Arial" w:eastAsia="Arial" w:hAnsi="Arial"/>
          <w:color w:val="222222"/>
          <w:sz w:val="22"/>
          <w:szCs w:val="22"/>
        </w:rPr>
        <w:t xml:space="preserve">Reduce the team to 50 engineers (architects, verification specialists, and AI pipeline operators) while maintaining or exceeding output. Theoretical savings: approximately $37.5M/year in compensation. Costs: $5-10M/year in AI infrastructure, verification systems, and specialized talent. Net theoretical savings: $27-32M/year. This scenario remains speculative and is highly dependent on AI capability progression, verification technology maturation, and regulatory environment.</w:t>
      </w:r>
    </w:p>
    <w:p>
      <w:pPr>
        <w:pStyle w:val="Heading2"/>
        <w:spacing w:after="200" w:before="240"/>
      </w:pPr>
      <w:r>
        <w:rPr>
          <w:rFonts w:ascii="Arial" w:cs="Arial" w:eastAsia="Arial" w:hAnsi="Arial"/>
          <w:b/>
          <w:bCs/>
          <w:color w:val="1B3A5C"/>
          <w:sz w:val="28"/>
          <w:szCs w:val="28"/>
        </w:rPr>
        <w:t xml:space="preserve">8.3 Short-Term (2025-2027) Financial Outlook</w:t>
      </w:r>
    </w:p>
    <w:p>
      <w:pPr>
        <w:spacing w:after="160" w:line="312"/>
        <w:jc w:val="both"/>
      </w:pPr>
      <w:r>
        <w:rPr>
          <w:rFonts w:ascii="Arial" w:cs="Arial" w:eastAsia="Arial" w:hAnsi="Arial"/>
          <w:color w:val="222222"/>
          <w:sz w:val="22"/>
          <w:szCs w:val="22"/>
        </w:rPr>
        <w:t xml:space="preserve">In the immediate term, the financial case for AI-augmented development (L1-L2) is already proven and compelling. The cost-benefit is overwhelmingly positive for organizations that invest in tooling and training. The primary risk is not financial but organizational: failure to adapt processes, review workflows, and quality standards to AI-augmented development leads to quality degradation that erodes the productivity gains.</w:t>
      </w:r>
    </w:p>
    <w:p>
      <w:pPr>
        <w:spacing w:after="160" w:line="312"/>
        <w:jc w:val="both"/>
      </w:pPr>
      <w:r>
        <w:rPr>
          <w:rFonts w:ascii="Arial" w:cs="Arial" w:eastAsia="Arial" w:hAnsi="Arial"/>
          <w:color w:val="222222"/>
          <w:sz w:val="22"/>
          <w:szCs w:val="22"/>
        </w:rPr>
        <w:t xml:space="preserve">For L3 investments (autonomous agents handling feature-level work), the financial case becomes viable for organizations with large engineering teams (100+ developers), well-defined product domains, and mature testing infrastructure. The expected payback period for L3 investments is 18-36 months.</w:t>
      </w:r>
    </w:p>
    <w:p>
      <w:pPr>
        <w:pStyle w:val="Heading2"/>
        <w:spacing w:after="200" w:before="240"/>
      </w:pPr>
      <w:r>
        <w:rPr>
          <w:rFonts w:ascii="Arial" w:cs="Arial" w:eastAsia="Arial" w:hAnsi="Arial"/>
          <w:b/>
          <w:bCs/>
          <w:color w:val="1B3A5C"/>
          <w:sz w:val="28"/>
          <w:szCs w:val="28"/>
        </w:rPr>
        <w:t xml:space="preserve">8.4 Medium-Term (2028-2032) Financial Outlook</w:t>
      </w:r>
    </w:p>
    <w:p>
      <w:pPr>
        <w:spacing w:after="160" w:line="312"/>
        <w:jc w:val="both"/>
      </w:pPr>
      <w:r>
        <w:rPr>
          <w:rFonts w:ascii="Arial" w:cs="Arial" w:eastAsia="Arial" w:hAnsi="Arial"/>
          <w:color w:val="222222"/>
          <w:sz w:val="22"/>
          <w:szCs w:val="22"/>
        </w:rPr>
        <w:t xml:space="preserve">The medium-term financial outlook depends heavily on three external factors: the pace of foundational model improvement (particularly in reasoning and verification capabilities), the regulatory environment for AI-generated software (especially in regulated industries), and the competitive dynamics within industries. If competitors achieve L3-L4 maturity and pass the savings through as lower prices or faster feature delivery, organizations at L1-L2 will face competitive pressure to accelerate their own automation timelines regardless of internal risk tolerance.</w:t>
      </w:r>
    </w:p>
    <w:p>
      <w:pPr>
        <w:pBdr>
          <w:left w:val="single" w:color="2E75B6" w:sz="12" w:space="8"/>
        </w:pBdr>
        <w:spacing w:after="200" w:before="200"/>
        <w:ind w:left="360"/>
      </w:pPr>
      <w:r>
        <w:rPr>
          <w:rFonts w:ascii="Arial" w:cs="Arial" w:eastAsia="Arial" w:hAnsi="Arial"/>
          <w:i/>
          <w:iCs/>
          <w:color w:val="1B3A5C"/>
          <w:sz w:val="22"/>
          <w:szCs w:val="22"/>
        </w:rPr>
        <w:t xml:space="preserve">CFO Takeaway: Budget for AI tooling now (L1-L2 is table stakes). Plan for L3 investment within 24 months. Model L4 scenarios for 2028+ strategic planning. Do not budget for L5 (full Dark Factory) in any near-term financial plan – the verification and governance prerequisites are not yet mature enough for responsible financial commitment.</w:t>
      </w:r>
    </w:p>
    <w:p>
      <w:r>
        <w:br w:type="page"/>
      </w:r>
    </w:p>
    <w:p>
      <w:pPr>
        <w:pStyle w:val="Heading1"/>
        <w:spacing w:after="200" w:before="360"/>
      </w:pPr>
      <w:r>
        <w:rPr>
          <w:rFonts w:ascii="Arial" w:cs="Arial" w:eastAsia="Arial" w:hAnsi="Arial"/>
          <w:b/>
          <w:bCs/>
          <w:color w:val="1B3A5C"/>
          <w:sz w:val="32"/>
          <w:szCs w:val="32"/>
        </w:rPr>
        <w:t xml:space="preserve">9. Strategic Response Framework: Dealing with Dark Factories</w:t>
      </w:r>
    </w:p>
    <w:p>
      <w:pPr>
        <w:pStyle w:val="Heading2"/>
        <w:spacing w:after="200" w:before="240"/>
      </w:pPr>
      <w:r>
        <w:rPr>
          <w:rFonts w:ascii="Arial" w:cs="Arial" w:eastAsia="Arial" w:hAnsi="Arial"/>
          <w:b/>
          <w:bCs/>
          <w:color w:val="1B3A5C"/>
          <w:sz w:val="28"/>
          <w:szCs w:val="28"/>
        </w:rPr>
        <w:t xml:space="preserve">9.1 If You Want to Build a Dark Factory</w:t>
      </w:r>
    </w:p>
    <w:p>
      <w:pPr>
        <w:spacing w:after="160" w:line="312"/>
        <w:jc w:val="both"/>
      </w:pPr>
      <w:r>
        <w:rPr>
          <w:rFonts w:ascii="Arial" w:cs="Arial" w:eastAsia="Arial" w:hAnsi="Arial"/>
          <w:color w:val="222222"/>
          <w:sz w:val="22"/>
          <w:szCs w:val="22"/>
        </w:rPr>
        <w:t xml:space="preserve">For organizations that see competitive advantage in maximizing autonomous software production, the following staged approach is recommended:</w:t>
      </w:r>
    </w:p>
    <w:p>
      <w:pPr>
        <w:spacing w:after="160" w:line="312"/>
        <w:jc w:val="both"/>
      </w:pPr>
      <w:r>
        <w:rPr>
          <w:rFonts w:ascii="Arial" w:cs="Arial" w:eastAsia="Arial" w:hAnsi="Arial"/>
          <w:b/>
          <w:bCs/>
          <w:color w:val="222222"/>
          <w:sz w:val="22"/>
          <w:szCs w:val="22"/>
        </w:rPr>
        <w:t xml:space="preserve">Phase 1 – Foundation (Months 1-6): </w:t>
      </w:r>
      <w:r>
        <w:rPr>
          <w:rFonts w:ascii="Arial" w:cs="Arial" w:eastAsia="Arial" w:hAnsi="Arial"/>
          <w:color w:val="222222"/>
          <w:sz w:val="22"/>
          <w:szCs w:val="22"/>
        </w:rPr>
        <w:t xml:space="preserve">Deploy AI coding tools organization-wide (GitHub Copilot, Cursor, or equivalent). Establish baseline productivity metrics. Train all engineers on effective human-AI collaboration. Update coding standards to address AI-generated code review. Implement AI-specific CI quality gates (duplicate detection, vulnerability scanning on AI-generated PRs).</w:t>
      </w:r>
    </w:p>
    <w:p>
      <w:pPr>
        <w:spacing w:after="160" w:line="312"/>
        <w:jc w:val="both"/>
      </w:pPr>
      <w:r>
        <w:rPr>
          <w:rFonts w:ascii="Arial" w:cs="Arial" w:eastAsia="Arial" w:hAnsi="Arial"/>
          <w:b/>
          <w:bCs/>
          <w:color w:val="222222"/>
          <w:sz w:val="22"/>
          <w:szCs w:val="22"/>
        </w:rPr>
        <w:t xml:space="preserve">Phase 2 – Agent Piloting (Months 6-18): </w:t>
      </w:r>
      <w:r>
        <w:rPr>
          <w:rFonts w:ascii="Arial" w:cs="Arial" w:eastAsia="Arial" w:hAnsi="Arial"/>
          <w:color w:val="222222"/>
          <w:sz w:val="22"/>
          <w:szCs w:val="22"/>
        </w:rPr>
        <w:t xml:space="preserve">Select 2-3 product areas with well-defined domains, strong test coverage, and lower risk tolerance. Deploy autonomous agents (Copilot Agent, Devin, Factory, or equivalent) on specific work categories: bug fixes, feature extensions on existing patterns, test generation. Measure: acceptance rate, defect escape rate, time-to-merge, reviewer cognitive load. Build the verification infrastructure: AI-assisted review, behavioral contract testing, security scanning pipelines.</w:t>
      </w:r>
    </w:p>
    <w:p>
      <w:pPr>
        <w:spacing w:after="160" w:line="312"/>
        <w:jc w:val="both"/>
      </w:pPr>
      <w:r>
        <w:rPr>
          <w:rFonts w:ascii="Arial" w:cs="Arial" w:eastAsia="Arial" w:hAnsi="Arial"/>
          <w:b/>
          <w:bCs/>
          <w:color w:val="222222"/>
          <w:sz w:val="22"/>
          <w:szCs w:val="22"/>
        </w:rPr>
        <w:t xml:space="preserve">Phase 3 – Scaling Autonomy (Months 18-36): </w:t>
      </w:r>
      <w:r>
        <w:rPr>
          <w:rFonts w:ascii="Arial" w:cs="Arial" w:eastAsia="Arial" w:hAnsi="Arial"/>
          <w:color w:val="222222"/>
          <w:sz w:val="22"/>
          <w:szCs w:val="22"/>
        </w:rPr>
        <w:t xml:space="preserve">Expand autonomous agent deployment to additional product areas based on pilot data. Introduce tiered autonomy: auto-merge for low-risk changes (dependency updates, style fixes), single-reviewer merge for medium-risk (feature implementation in established patterns), multi-reviewer with architect sign-off for high-risk (new services, data model changes, security-adjacent code). Restructure teams around the new operating model: smaller implementation squads, dedicated verification engineers, AI pipeline operators.</w:t>
      </w:r>
    </w:p>
    <w:p>
      <w:pPr>
        <w:spacing w:after="160" w:line="312"/>
        <w:jc w:val="both"/>
      </w:pPr>
      <w:r>
        <w:rPr>
          <w:rFonts w:ascii="Arial" w:cs="Arial" w:eastAsia="Arial" w:hAnsi="Arial"/>
          <w:b/>
          <w:bCs/>
          <w:color w:val="222222"/>
          <w:sz w:val="22"/>
          <w:szCs w:val="22"/>
        </w:rPr>
        <w:t xml:space="preserve">Phase 4 – Factory Operation (Months 36+): </w:t>
      </w:r>
      <w:r>
        <w:rPr>
          <w:rFonts w:ascii="Arial" w:cs="Arial" w:eastAsia="Arial" w:hAnsi="Arial"/>
          <w:color w:val="222222"/>
          <w:sz w:val="22"/>
          <w:szCs w:val="22"/>
        </w:rPr>
        <w:t xml:space="preserve">For commodity software components, move toward continuous autonomous operation with human oversight on exception paths only. Maintain human-led development for differentiating features, architectural decisions, and safety-critical paths. Invest continuously in verification technology as the primary competitive moat of a Dark Factory – the ability to move fast with AI while maintaining quality is the actual differentiator, not the code generation itself.</w:t>
      </w:r>
    </w:p>
    <w:p>
      <w:pPr>
        <w:pStyle w:val="Heading2"/>
        <w:spacing w:after="200" w:before="240"/>
      </w:pPr>
      <w:r>
        <w:rPr>
          <w:rFonts w:ascii="Arial" w:cs="Arial" w:eastAsia="Arial" w:hAnsi="Arial"/>
          <w:b/>
          <w:bCs/>
          <w:color w:val="1B3A5C"/>
          <w:sz w:val="28"/>
          <w:szCs w:val="28"/>
        </w:rPr>
        <w:t xml:space="preserve">9.2 If You Want to Compete Against Dark Factories</w:t>
      </w:r>
    </w:p>
    <w:p>
      <w:pPr>
        <w:spacing w:after="160" w:line="312"/>
        <w:jc w:val="both"/>
      </w:pPr>
      <w:r>
        <w:rPr>
          <w:rFonts w:ascii="Arial" w:cs="Arial" w:eastAsia="Arial" w:hAnsi="Arial"/>
          <w:color w:val="222222"/>
          <w:sz w:val="22"/>
          <w:szCs w:val="22"/>
        </w:rPr>
        <w:t xml:space="preserve">Organizations that face competitors adopting Dark Factory approaches need a counter-strategy that leverages human advantages:</w:t>
      </w:r>
    </w:p>
    <w:p>
      <w:pPr>
        <w:pStyle w:val="ListParagraph"/>
        <w:numPr>
          <w:ilvl w:val="0"/>
          <w:numId w:val="5"/>
        </w:numPr>
        <w:spacing w:after="100" w:line="312"/>
      </w:pPr>
      <w:r>
        <w:rPr>
          <w:rFonts w:ascii="Arial" w:cs="Arial" w:eastAsia="Arial" w:hAnsi="Arial"/>
          <w:color w:val="222222"/>
          <w:sz w:val="22"/>
          <w:szCs w:val="22"/>
        </w:rPr>
        <w:t xml:space="preserve">Compete on quality differentiation. If competitors move fast with AI but sacrifice quality, position on reliability, security, and user experience polish – areas where human judgment remains superior.</w:t>
      </w:r>
    </w:p>
    <w:p>
      <w:pPr>
        <w:pStyle w:val="ListParagraph"/>
        <w:numPr>
          <w:ilvl w:val="0"/>
          <w:numId w:val="5"/>
        </w:numPr>
        <w:spacing w:after="100" w:line="312"/>
      </w:pPr>
      <w:r>
        <w:rPr>
          <w:rFonts w:ascii="Arial" w:cs="Arial" w:eastAsia="Arial" w:hAnsi="Arial"/>
          <w:color w:val="222222"/>
          <w:sz w:val="22"/>
          <w:szCs w:val="22"/>
        </w:rPr>
        <w:t xml:space="preserve">Compete on domain depth. In specialized verticals (healthcare, finance, defense, industrial), deep domain expertise embedded in software is harder to replicate with generic AI agents. Invest in domain engineers, not just software engineers.</w:t>
      </w:r>
    </w:p>
    <w:p>
      <w:pPr>
        <w:pStyle w:val="ListParagraph"/>
        <w:numPr>
          <w:ilvl w:val="0"/>
          <w:numId w:val="5"/>
        </w:numPr>
        <w:spacing w:after="100" w:line="312"/>
      </w:pPr>
      <w:r>
        <w:rPr>
          <w:rFonts w:ascii="Arial" w:cs="Arial" w:eastAsia="Arial" w:hAnsi="Arial"/>
          <w:color w:val="222222"/>
          <w:sz w:val="22"/>
          <w:szCs w:val="22"/>
        </w:rPr>
        <w:t xml:space="preserve">Adopt AI selectively. Use AI for commodity work (the 60-70% of development that is well-understood patterns) while preserving human craft for the 30-40% that differentiates the product.</w:t>
      </w:r>
    </w:p>
    <w:p>
      <w:pPr>
        <w:pStyle w:val="ListParagraph"/>
        <w:numPr>
          <w:ilvl w:val="0"/>
          <w:numId w:val="5"/>
        </w:numPr>
        <w:spacing w:after="100" w:line="312"/>
      </w:pPr>
      <w:r>
        <w:rPr>
          <w:rFonts w:ascii="Arial" w:cs="Arial" w:eastAsia="Arial" w:hAnsi="Arial"/>
          <w:color w:val="222222"/>
          <w:sz w:val="22"/>
          <w:szCs w:val="22"/>
        </w:rPr>
        <w:t xml:space="preserve">Build switching costs through integration depth. Products deeply integrated into customer workflows are less vulnerable to faster-but-shallower AI-produced alternatives.</w:t>
      </w:r>
    </w:p>
    <w:p>
      <w:pPr>
        <w:pStyle w:val="Heading2"/>
        <w:spacing w:after="200" w:before="240"/>
      </w:pPr>
      <w:r>
        <w:rPr>
          <w:rFonts w:ascii="Arial" w:cs="Arial" w:eastAsia="Arial" w:hAnsi="Arial"/>
          <w:b/>
          <w:bCs/>
          <w:color w:val="1B3A5C"/>
          <w:sz w:val="28"/>
          <w:szCs w:val="28"/>
        </w:rPr>
        <w:t xml:space="preserve">9.3 If You Want to Regulate or Govern Dark Factories</w:t>
      </w:r>
    </w:p>
    <w:p>
      <w:pPr>
        <w:spacing w:after="160" w:line="312"/>
        <w:jc w:val="both"/>
      </w:pPr>
      <w:r>
        <w:rPr>
          <w:rFonts w:ascii="Arial" w:cs="Arial" w:eastAsia="Arial" w:hAnsi="Arial"/>
          <w:color w:val="222222"/>
          <w:sz w:val="22"/>
          <w:szCs w:val="22"/>
        </w:rPr>
        <w:t xml:space="preserve">For enterprise leadership responsible for governance, risk, and compliance:</w:t>
      </w:r>
    </w:p>
    <w:p>
      <w:pPr>
        <w:pStyle w:val="ListParagraph"/>
        <w:numPr>
          <w:ilvl w:val="0"/>
          <w:numId w:val="6"/>
        </w:numPr>
        <w:spacing w:after="100" w:line="312"/>
      </w:pPr>
      <w:r>
        <w:rPr>
          <w:rFonts w:ascii="Arial" w:cs="Arial" w:eastAsia="Arial" w:hAnsi="Arial"/>
          <w:color w:val="222222"/>
          <w:sz w:val="22"/>
          <w:szCs w:val="22"/>
        </w:rPr>
        <w:t xml:space="preserve">Establish an AI-generated code policy immediately. Define what categories of software can be AI-generated, what requires human implementation, and what review standards apply to each.</w:t>
      </w:r>
    </w:p>
    <w:p>
      <w:pPr>
        <w:pStyle w:val="ListParagraph"/>
        <w:numPr>
          <w:ilvl w:val="0"/>
          <w:numId w:val="6"/>
        </w:numPr>
        <w:spacing w:after="100" w:line="312"/>
      </w:pPr>
      <w:r>
        <w:rPr>
          <w:rFonts w:ascii="Arial" w:cs="Arial" w:eastAsia="Arial" w:hAnsi="Arial"/>
          <w:color w:val="222222"/>
          <w:sz w:val="22"/>
          <w:szCs w:val="22"/>
        </w:rPr>
        <w:t xml:space="preserve">Mandate provenance tracking. Every line of AI-generated code should be tagged with the model, prompt, and timestamp that produced it. This is necessary for audit, debugging, and regulatory compliance.</w:t>
      </w:r>
    </w:p>
    <w:p>
      <w:pPr>
        <w:pStyle w:val="ListParagraph"/>
        <w:numPr>
          <w:ilvl w:val="0"/>
          <w:numId w:val="6"/>
        </w:numPr>
        <w:spacing w:after="100" w:line="312"/>
      </w:pPr>
      <w:r>
        <w:rPr>
          <w:rFonts w:ascii="Arial" w:cs="Arial" w:eastAsia="Arial" w:hAnsi="Arial"/>
          <w:color w:val="222222"/>
          <w:sz w:val="22"/>
          <w:szCs w:val="22"/>
        </w:rPr>
        <w:t xml:space="preserve">Define human accountability boundaries. Even in an autonomous pipeline, a named human must be accountable for every production deployment. This is both an organizational governance requirement and an emerging regulatory expectation (EU AI Act, potential US regulations).</w:t>
      </w:r>
    </w:p>
    <w:p>
      <w:pPr>
        <w:pStyle w:val="ListParagraph"/>
        <w:numPr>
          <w:ilvl w:val="0"/>
          <w:numId w:val="6"/>
        </w:numPr>
        <w:spacing w:after="100" w:line="312"/>
      </w:pPr>
      <w:r>
        <w:rPr>
          <w:rFonts w:ascii="Arial" w:cs="Arial" w:eastAsia="Arial" w:hAnsi="Arial"/>
          <w:color w:val="222222"/>
          <w:sz w:val="22"/>
          <w:szCs w:val="22"/>
        </w:rPr>
        <w:t xml:space="preserve">Invest in verification infrastructure proportionally to AI generation investment. A reasonable rule of thumb: for every dollar spent on AI code generation tooling, spend at least fifty cents on verification and review infrastructure.</w:t>
      </w:r>
    </w:p>
    <w:p>
      <w:pPr>
        <w:pStyle w:val="ListParagraph"/>
        <w:numPr>
          <w:ilvl w:val="0"/>
          <w:numId w:val="6"/>
        </w:numPr>
        <w:spacing w:after="100" w:line="312"/>
      </w:pPr>
      <w:r>
        <w:rPr>
          <w:rFonts w:ascii="Arial" w:cs="Arial" w:eastAsia="Arial" w:hAnsi="Arial"/>
          <w:color w:val="222222"/>
          <w:sz w:val="22"/>
          <w:szCs w:val="22"/>
        </w:rPr>
        <w:t xml:space="preserve">Maintain a human-only development capability for crisis response. If AI systems fail or model providers experience outages, the organization must be able to continue critical development with human engineers alone. This requires keeping human engineering skills sharp, not just available.</w:t>
      </w:r>
    </w:p>
    <w:p>
      <w:pPr>
        <w:pStyle w:val="Heading2"/>
        <w:spacing w:after="200" w:before="240"/>
      </w:pPr>
      <w:r>
        <w:rPr>
          <w:rFonts w:ascii="Arial" w:cs="Arial" w:eastAsia="Arial" w:hAnsi="Arial"/>
          <w:b/>
          <w:bCs/>
          <w:color w:val="1B3A5C"/>
          <w:sz w:val="28"/>
          <w:szCs w:val="28"/>
        </w:rPr>
        <w:t xml:space="preserve">9.4 A Decision Framework for C-Suite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312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If Yes</w:t>
            </w:r>
          </w:p>
        </w:tc>
        <w:tc>
          <w:tcPr>
            <w:tcW w:type="dxa" w:w="312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If No</w:t>
            </w:r>
          </w:p>
        </w:tc>
      </w:tr>
      <w:tr>
        <w:tc>
          <w:tcPr>
            <w:tcW w:type="dxa" w:w="312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Is your software your core product / competitive differentiator?</w:t>
            </w:r>
          </w:p>
        </w:tc>
        <w:tc>
          <w:tcPr>
            <w:tcW w:type="dxa" w:w="312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Proceed cautiously with automation. Maintain human judgment on differentiating features. Automate commodity layers.</w:t>
            </w:r>
          </w:p>
        </w:tc>
        <w:tc>
          <w:tcPr>
            <w:tcW w:type="dxa" w:w="312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Faster automation is lower risk. Focus on cost reduction through AI agents.</w:t>
            </w:r>
          </w:p>
        </w:tc>
      </w:tr>
      <w:tr>
        <w:tc>
          <w:tcPr>
            <w:tcW w:type="dxa" w:w="312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Do you operate in a regulated industry?</w:t>
            </w:r>
          </w:p>
        </w:tc>
        <w:tc>
          <w:tcPr>
            <w:tcW w:type="dxa" w:w="312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Invest heavily in provenance tracking, human accountability frameworks, and regulatory engagement. Move slower on L3+.</w:t>
            </w:r>
          </w:p>
        </w:tc>
        <w:tc>
          <w:tcPr>
            <w:tcW w:type="dxa" w:w="312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Fewer constraints on automation speed. Focus investment on verification quality rather than compliance documentation.</w:t>
            </w:r>
          </w:p>
        </w:tc>
      </w:tr>
      <w:tr>
        <w:tc>
          <w:tcPr>
            <w:tcW w:type="dxa" w:w="312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Is your engineering team larger than 100 developers?</w:t>
            </w:r>
          </w:p>
        </w:tc>
        <w:tc>
          <w:tcPr>
            <w:tcW w:type="dxa" w:w="312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Strong economic case for L3 investment. Pilot with 10-15% of the team. Measure rigorously before scaling.</w:t>
            </w:r>
          </w:p>
        </w:tc>
        <w:tc>
          <w:tcPr>
            <w:tcW w:type="dxa" w:w="312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AI augmentation (L1-L2) delivers maximum ROI. Full agent automation may not justify fixed costs at smaller scale.</w:t>
            </w:r>
          </w:p>
        </w:tc>
      </w:tr>
      <w:tr>
        <w:tc>
          <w:tcPr>
            <w:tcW w:type="dxa" w:w="312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Do you have mature testing and CI/CD infrastructure?</w:t>
            </w:r>
          </w:p>
        </w:tc>
        <w:tc>
          <w:tcPr>
            <w:tcW w:type="dxa" w:w="312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You have the prerequisite for autonomous agent deployment. Proceed to L3 piloting.</w:t>
            </w:r>
          </w:p>
        </w:tc>
        <w:tc>
          <w:tcPr>
            <w:tcW w:type="dxa" w:w="312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Invest in test infrastructure and CI/CD maturity first. Autonomous agents without verification infrastructure is reckless.</w:t>
            </w:r>
          </w:p>
        </w:tc>
      </w:tr>
      <w:tr>
        <w:tc>
          <w:tcPr>
            <w:tcW w:type="dxa" w:w="312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Are your competitors adopting AI coding at scale?</w:t>
            </w:r>
          </w:p>
        </w:tc>
        <w:tc>
          <w:tcPr>
            <w:tcW w:type="dxa" w:w="312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Timeline is compressed. Match their automation level for commodity features while differentiating on quality and domain depth.</w:t>
            </w:r>
          </w:p>
        </w:tc>
        <w:tc>
          <w:tcPr>
            <w:tcW w:type="dxa" w:w="312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You have time to be strategic. Invest in L1-L2 foundation and observe the industry.</w:t>
            </w:r>
          </w:p>
        </w:tc>
      </w:tr>
    </w:tbl>
    <w:p>
      <w:r>
        <w:br w:type="page"/>
      </w:r>
    </w:p>
    <w:p>
      <w:pPr>
        <w:pStyle w:val="Heading1"/>
        <w:spacing w:after="200" w:before="360"/>
      </w:pPr>
      <w:r>
        <w:rPr>
          <w:rFonts w:ascii="Arial" w:cs="Arial" w:eastAsia="Arial" w:hAnsi="Arial"/>
          <w:b/>
          <w:bCs/>
          <w:color w:val="1B3A5C"/>
          <w:sz w:val="32"/>
          <w:szCs w:val="32"/>
        </w:rPr>
        <w:t xml:space="preserve">10. Critical Risks and Mitigation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1200"/>
        <w:gridCol w:w="3660"/>
      </w:tblGrid>
      <w:tr>
        <w:trPr>
          <w:tblHeader/>
        </w:trPr>
        <w:tc>
          <w:tcPr>
            <w:tcW w:type="dxa" w:w="1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Category</w:t>
            </w:r>
          </w:p>
        </w:tc>
        <w:tc>
          <w:tcPr>
            <w:tcW w:type="dxa" w:w="27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6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1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Quality Degradation at Scale</w:t>
            </w:r>
          </w:p>
        </w:tc>
        <w:tc>
          <w:tcPr>
            <w:tcW w:type="dxa" w:w="27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AI-generated code introduces subtle defects that pass automated testing but cause production issues at scale</w:t>
            </w:r>
          </w:p>
        </w:tc>
        <w:tc>
          <w:tcPr>
            <w:tcW w:type="dxa" w:w="1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Critical</w:t>
            </w:r>
          </w:p>
        </w:tc>
        <w:tc>
          <w:tcPr>
            <w:tcW w:type="dxa" w:w="36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Behavioral contract testing, canary deployments with AI-specific anomaly detection, mandatory human review on data paths and security boundaries</w:t>
            </w:r>
          </w:p>
        </w:tc>
      </w:tr>
      <w:tr>
        <w:tc>
          <w:tcPr>
            <w:tcW w:type="dxa" w:w="18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Verification Bottleneck Collapse</w:t>
            </w:r>
          </w:p>
        </w:tc>
        <w:tc>
          <w:tcPr>
            <w:tcW w:type="dxa" w:w="27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Human reviewers cannot keep pace with AI output; rubber-stamping becomes normalized</w:t>
            </w:r>
          </w:p>
        </w:tc>
        <w:tc>
          <w:tcPr>
            <w:tcW w:type="dxa" w:w="12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Critical</w:t>
            </w:r>
          </w:p>
        </w:tc>
        <w:tc>
          <w:tcPr>
            <w:tcW w:type="dxa" w:w="366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AI-assisted review as first pass, tiered autonomy model, reviewer workload metrics with hard caps, rotation policies</w:t>
            </w:r>
          </w:p>
        </w:tc>
      </w:tr>
      <w:tr>
        <w:tc>
          <w:tcPr>
            <w:tcW w:type="dxa" w:w="1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Skills Atrophy</w:t>
            </w:r>
          </w:p>
        </w:tc>
        <w:tc>
          <w:tcPr>
            <w:tcW w:type="dxa" w:w="27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Engineers who only review AI code lose the ability to write code themselves, reducing organizational resilience</w:t>
            </w:r>
          </w:p>
        </w:tc>
        <w:tc>
          <w:tcPr>
            <w:tcW w:type="dxa" w:w="1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High</w:t>
            </w:r>
          </w:p>
        </w:tc>
        <w:tc>
          <w:tcPr>
            <w:tcW w:type="dxa" w:w="36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Mandatory human-coded sprint rotations, architecture ownership requirements, periodic dark factory shutdown drills</w:t>
            </w:r>
          </w:p>
        </w:tc>
      </w:tr>
      <w:tr>
        <w:tc>
          <w:tcPr>
            <w:tcW w:type="dxa" w:w="18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Model Provider Dependency</w:t>
            </w:r>
          </w:p>
        </w:tc>
        <w:tc>
          <w:tcPr>
            <w:tcW w:type="dxa" w:w="27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Outage, pricing change, or capability regression from AI model provider disrupts development</w:t>
            </w:r>
          </w:p>
        </w:tc>
        <w:tc>
          <w:tcPr>
            <w:tcW w:type="dxa" w:w="12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High</w:t>
            </w:r>
          </w:p>
        </w:tc>
        <w:tc>
          <w:tcPr>
            <w:tcW w:type="dxa" w:w="366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Multi-model strategy, open-source model fallback capability, contractual SLA protections, on-premise model deployment for critical paths</w:t>
            </w:r>
          </w:p>
        </w:tc>
      </w:tr>
      <w:tr>
        <w:tc>
          <w:tcPr>
            <w:tcW w:type="dxa" w:w="1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IP and Legal Exposure</w:t>
            </w:r>
          </w:p>
        </w:tc>
        <w:tc>
          <w:tcPr>
            <w:tcW w:type="dxa" w:w="27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AI-generated code contains copyrighted fragments; licensing provenance is unclear</w:t>
            </w:r>
          </w:p>
        </w:tc>
        <w:tc>
          <w:tcPr>
            <w:tcW w:type="dxa" w:w="1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Medium-High</w:t>
            </w:r>
          </w:p>
        </w:tc>
        <w:tc>
          <w:tcPr>
            <w:tcW w:type="dxa" w:w="36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Code provenance scanning, licensing compliance automation, legal review of AI tool terms of service, self-hosted models for IP-sensitive projects</w:t>
            </w:r>
          </w:p>
        </w:tc>
      </w:tr>
      <w:tr>
        <w:tc>
          <w:tcPr>
            <w:tcW w:type="dxa" w:w="18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Regulatory Non-Compliance</w:t>
            </w:r>
          </w:p>
        </w:tc>
        <w:tc>
          <w:tcPr>
            <w:tcW w:type="dxa" w:w="27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AI-generated code in regulated products fails to meet traceability and accountability requirements</w:t>
            </w:r>
          </w:p>
        </w:tc>
        <w:tc>
          <w:tcPr>
            <w:tcW w:type="dxa" w:w="12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High (regulated industries)</w:t>
            </w:r>
          </w:p>
        </w:tc>
        <w:tc>
          <w:tcPr>
            <w:tcW w:type="dxa" w:w="366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Provenance logging, human sign-off gates on regulated components, engagement with regulators on AI code standards</w:t>
            </w:r>
          </w:p>
        </w:tc>
      </w:tr>
      <w:tr>
        <w:tc>
          <w:tcPr>
            <w:tcW w:type="dxa" w:w="1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Organizational Resistance</w:t>
            </w:r>
          </w:p>
        </w:tc>
        <w:tc>
          <w:tcPr>
            <w:tcW w:type="dxa" w:w="27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Engineers resist automation of their roles; passive resistance undermines AI adoption</w:t>
            </w:r>
          </w:p>
        </w:tc>
        <w:tc>
          <w:tcPr>
            <w:tcW w:type="dxa" w:w="1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36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Transparent communication of role evolution (not elimination), upskilling investment, shared productivity gains, AI fluency as career accelerator framing</w:t>
            </w:r>
          </w:p>
        </w:tc>
      </w:tr>
    </w:tbl>
    <w:p>
      <w:r>
        <w:br w:type="page"/>
      </w:r>
    </w:p>
    <w:p>
      <w:pPr>
        <w:pStyle w:val="Heading1"/>
        <w:spacing w:after="200" w:before="360"/>
      </w:pPr>
      <w:r>
        <w:rPr>
          <w:rFonts w:ascii="Arial" w:cs="Arial" w:eastAsia="Arial" w:hAnsi="Arial"/>
          <w:b/>
          <w:bCs/>
          <w:color w:val="1B3A5C"/>
          <w:sz w:val="32"/>
          <w:szCs w:val="32"/>
        </w:rPr>
        <w:t xml:space="preserve">11. Conclusions and Recommendations</w:t>
      </w:r>
    </w:p>
    <w:p>
      <w:pPr>
        <w:pStyle w:val="Heading2"/>
        <w:spacing w:after="200" w:before="240"/>
      </w:pPr>
      <w:r>
        <w:rPr>
          <w:rFonts w:ascii="Arial" w:cs="Arial" w:eastAsia="Arial" w:hAnsi="Arial"/>
          <w:b/>
          <w:bCs/>
          <w:color w:val="1B3A5C"/>
          <w:sz w:val="28"/>
          <w:szCs w:val="28"/>
        </w:rPr>
        <w:t xml:space="preserve">11.1 Summary of Findings</w:t>
      </w:r>
    </w:p>
    <w:p>
      <w:pPr>
        <w:spacing w:after="160" w:line="312"/>
        <w:jc w:val="both"/>
      </w:pPr>
      <w:r>
        <w:rPr>
          <w:rFonts w:ascii="Arial" w:cs="Arial" w:eastAsia="Arial" w:hAnsi="Arial"/>
          <w:color w:val="222222"/>
          <w:sz w:val="22"/>
          <w:szCs w:val="22"/>
        </w:rPr>
        <w:t xml:space="preserve">The Dark Factory of Software Development is not a theoretical construct but an emerging reality on a spectrum. The technology to generate code autonomously exists and is improving rapidly. The unresolved challenge is not generation but verification: ensuring that AI-generated software meets quality, security, and functional requirements at a level that warrants reducing or removing human oversight.</w:t>
      </w:r>
    </w:p>
    <w:p>
      <w:pPr>
        <w:spacing w:after="160" w:line="312"/>
        <w:jc w:val="both"/>
      </w:pPr>
      <w:r>
        <w:rPr>
          <w:rFonts w:ascii="Arial" w:cs="Arial" w:eastAsia="Arial" w:hAnsi="Arial"/>
          <w:color w:val="222222"/>
          <w:sz w:val="22"/>
          <w:szCs w:val="22"/>
        </w:rPr>
        <w:t xml:space="preserve">The key findings of this analysis are:</w:t>
      </w:r>
    </w:p>
    <w:p>
      <w:pPr>
        <w:pStyle w:val="ListParagraph"/>
        <w:numPr>
          <w:ilvl w:val="0"/>
          <w:numId w:val="7"/>
        </w:numPr>
        <w:spacing w:after="100" w:line="312"/>
      </w:pPr>
      <w:r>
        <w:rPr>
          <w:rFonts w:ascii="Arial" w:cs="Arial" w:eastAsia="Arial" w:hAnsi="Arial"/>
          <w:color w:val="222222"/>
          <w:sz w:val="22"/>
          <w:szCs w:val="22"/>
        </w:rPr>
        <w:t xml:space="preserve">AI coding capability is real, accelerating, and economically significant. Dismissing it as hype is an organizational risk equivalent to ignoring cloud computing in 2010 or mobile in 2008.</w:t>
      </w:r>
    </w:p>
    <w:p>
      <w:pPr>
        <w:pStyle w:val="ListParagraph"/>
        <w:numPr>
          <w:ilvl w:val="0"/>
          <w:numId w:val="7"/>
        </w:numPr>
        <w:spacing w:after="100" w:line="312"/>
      </w:pPr>
      <w:r>
        <w:rPr>
          <w:rFonts w:ascii="Arial" w:cs="Arial" w:eastAsia="Arial" w:hAnsi="Arial"/>
          <w:color w:val="222222"/>
          <w:sz w:val="22"/>
          <w:szCs w:val="22"/>
        </w:rPr>
        <w:t xml:space="preserve">Full Dark Factory operation (L5) remains 5-10+ years away for production-grade enterprise software, and may never be appropriate for safety-critical or regulated systems.</w:t>
      </w:r>
    </w:p>
    <w:p>
      <w:pPr>
        <w:pStyle w:val="ListParagraph"/>
        <w:numPr>
          <w:ilvl w:val="0"/>
          <w:numId w:val="7"/>
        </w:numPr>
        <w:spacing w:after="100" w:line="312"/>
      </w:pPr>
      <w:r>
        <w:rPr>
          <w:rFonts w:ascii="Arial" w:cs="Arial" w:eastAsia="Arial" w:hAnsi="Arial"/>
          <w:color w:val="222222"/>
          <w:sz w:val="22"/>
          <w:szCs w:val="22"/>
        </w:rPr>
        <w:t xml:space="preserve">Partial autonomy (L2-L3) is achievable today and delivers measurable ROI. This is where most enterprises should focus immediate investment.</w:t>
      </w:r>
    </w:p>
    <w:p>
      <w:pPr>
        <w:pStyle w:val="ListParagraph"/>
        <w:numPr>
          <w:ilvl w:val="0"/>
          <w:numId w:val="7"/>
        </w:numPr>
        <w:spacing w:after="100" w:line="312"/>
      </w:pPr>
      <w:r>
        <w:rPr>
          <w:rFonts w:ascii="Arial" w:cs="Arial" w:eastAsia="Arial" w:hAnsi="Arial"/>
          <w:color w:val="222222"/>
          <w:sz w:val="22"/>
          <w:szCs w:val="22"/>
        </w:rPr>
        <w:t xml:space="preserve">The cognitive load of reviewing AI-generated code is the binding constraint on automation speed. Organizations that solve the verification problem gain a structural competitive advantage.</w:t>
      </w:r>
    </w:p>
    <w:p>
      <w:pPr>
        <w:pStyle w:val="ListParagraph"/>
        <w:numPr>
          <w:ilvl w:val="0"/>
          <w:numId w:val="7"/>
        </w:numPr>
        <w:spacing w:after="100" w:line="312"/>
      </w:pPr>
      <w:r>
        <w:rPr>
          <w:rFonts w:ascii="Arial" w:cs="Arial" w:eastAsia="Arial" w:hAnsi="Arial"/>
          <w:color w:val="222222"/>
          <w:sz w:val="22"/>
          <w:szCs w:val="22"/>
        </w:rPr>
        <w:t xml:space="preserve">Workforce transformation is certain. The question is not whether engineering roles will change, but whether organizations manage the transition deliberately or are forced into it reactively.</w:t>
      </w:r>
    </w:p>
    <w:p>
      <w:pPr>
        <w:pStyle w:val="ListParagraph"/>
        <w:numPr>
          <w:ilvl w:val="0"/>
          <w:numId w:val="7"/>
        </w:numPr>
        <w:spacing w:after="100" w:line="312"/>
      </w:pPr>
      <w:r>
        <w:rPr>
          <w:rFonts w:ascii="Arial" w:cs="Arial" w:eastAsia="Arial" w:hAnsi="Arial"/>
          <w:color w:val="222222"/>
          <w:sz w:val="22"/>
          <w:szCs w:val="22"/>
        </w:rPr>
        <w:t xml:space="preserve">Cost-benefit is strongly favorable for L1-L2 investment, moderately favorable for L3 with appropriate verification investment, and speculative beyond L3.</w:t>
      </w:r>
    </w:p>
    <w:p>
      <w:pPr>
        <w:pStyle w:val="Heading2"/>
        <w:spacing w:after="200" w:before="240"/>
      </w:pPr>
      <w:r>
        <w:rPr>
          <w:rFonts w:ascii="Arial" w:cs="Arial" w:eastAsia="Arial" w:hAnsi="Arial"/>
          <w:b/>
          <w:bCs/>
          <w:color w:val="1B3A5C"/>
          <w:sz w:val="28"/>
          <w:szCs w:val="28"/>
        </w:rPr>
        <w:t xml:space="preserve">11.2 Executive Recommendations</w:t>
      </w:r>
    </w:p>
    <w:p>
      <w:pPr>
        <w:spacing w:after="160" w:line="312"/>
        <w:jc w:val="both"/>
      </w:pPr>
      <w:r>
        <w:rPr>
          <w:rFonts w:ascii="Arial" w:cs="Arial" w:eastAsia="Arial" w:hAnsi="Arial"/>
          <w:b/>
          <w:bCs/>
          <w:color w:val="222222"/>
          <w:sz w:val="22"/>
          <w:szCs w:val="22"/>
        </w:rPr>
        <w:t xml:space="preserve">Immediate (Next 90 Days): </w:t>
      </w:r>
      <w:r>
        <w:rPr>
          <w:rFonts w:ascii="Arial" w:cs="Arial" w:eastAsia="Arial" w:hAnsi="Arial"/>
          <w:color w:val="222222"/>
          <w:sz w:val="22"/>
          <w:szCs w:val="22"/>
        </w:rPr>
        <w:t xml:space="preserve">If not already done, deploy AI coding tools organization-wide. Establish baseline productivity metrics. Publish an AI-generated code policy. Begin verification infrastructure investment. Assign executive ownership of AI engineering strategy.</w:t>
      </w:r>
    </w:p>
    <w:p>
      <w:pPr>
        <w:spacing w:after="160" w:line="312"/>
        <w:jc w:val="both"/>
      </w:pPr>
      <w:r>
        <w:rPr>
          <w:rFonts w:ascii="Arial" w:cs="Arial" w:eastAsia="Arial" w:hAnsi="Arial"/>
          <w:b/>
          <w:bCs/>
          <w:color w:val="222222"/>
          <w:sz w:val="22"/>
          <w:szCs w:val="22"/>
        </w:rPr>
        <w:t xml:space="preserve">Short-Term (6-18 Months): </w:t>
      </w:r>
      <w:r>
        <w:rPr>
          <w:rFonts w:ascii="Arial" w:cs="Arial" w:eastAsia="Arial" w:hAnsi="Arial"/>
          <w:color w:val="222222"/>
          <w:sz w:val="22"/>
          <w:szCs w:val="22"/>
        </w:rPr>
        <w:t xml:space="preserve">Pilot autonomous coding agents in 2-3 low-risk product areas. Measure rigorously: productivity, quality, reviewer load, and developer satisfaction. Begin workforce transition planning: identify roles most affected, design reskilling programs, and communicate transparently.</w:t>
      </w:r>
    </w:p>
    <w:p>
      <w:pPr>
        <w:spacing w:after="160" w:line="312"/>
        <w:jc w:val="both"/>
      </w:pPr>
      <w:r>
        <w:rPr>
          <w:rFonts w:ascii="Arial" w:cs="Arial" w:eastAsia="Arial" w:hAnsi="Arial"/>
          <w:b/>
          <w:bCs/>
          <w:color w:val="222222"/>
          <w:sz w:val="22"/>
          <w:szCs w:val="22"/>
        </w:rPr>
        <w:t xml:space="preserve">Medium-Term (18-36 Months): </w:t>
      </w:r>
      <w:r>
        <w:rPr>
          <w:rFonts w:ascii="Arial" w:cs="Arial" w:eastAsia="Arial" w:hAnsi="Arial"/>
          <w:color w:val="222222"/>
          <w:sz w:val="22"/>
          <w:szCs w:val="22"/>
        </w:rPr>
        <w:t xml:space="preserve">Scale autonomous agents based on pilot data. Restructure engineering organization around the human-AI collaborative model: fewer implementation engineers, more architects, verification specialists, and AI pipeline operators. Invest in proprietary verification technology as a competitive differentiator.</w:t>
      </w:r>
    </w:p>
    <w:p>
      <w:pPr>
        <w:spacing w:after="160" w:line="312"/>
        <w:jc w:val="both"/>
      </w:pPr>
      <w:r>
        <w:rPr>
          <w:rFonts w:ascii="Arial" w:cs="Arial" w:eastAsia="Arial" w:hAnsi="Arial"/>
          <w:b/>
          <w:bCs/>
          <w:color w:val="222222"/>
          <w:sz w:val="22"/>
          <w:szCs w:val="22"/>
        </w:rPr>
        <w:t xml:space="preserve">Strategic (3-5 Years): </w:t>
      </w:r>
      <w:r>
        <w:rPr>
          <w:rFonts w:ascii="Arial" w:cs="Arial" w:eastAsia="Arial" w:hAnsi="Arial"/>
          <w:color w:val="222222"/>
          <w:sz w:val="22"/>
          <w:szCs w:val="22"/>
        </w:rPr>
        <w:t xml:space="preserve">Evaluate full Dark Factory models for commodity software components. Maintain human-led development for differentiating features and safety-critical systems. Build organizational capability to operate in a world where competitors may have fully autonomous software pipelines.</w:t>
      </w:r>
    </w:p>
    <w:p>
      <w:pPr>
        <w:spacing w:after="80"/>
      </w:pPr>
    </w:p>
    <w:p>
      <w:pPr>
        <w:pBdr>
          <w:top w:val="single" w:color="2E75B6" w:sz="6" w:space="8"/>
          <w:bottom w:val="single" w:color="2E75B6" w:sz="6" w:space="8"/>
        </w:pBdr>
        <w:spacing w:after="200" w:before="400"/>
        <w:jc w:val="center"/>
      </w:pPr>
      <w:r>
        <w:rPr>
          <w:rFonts w:ascii="Arial" w:cs="Arial" w:eastAsia="Arial" w:hAnsi="Arial"/>
          <w:b/>
          <w:bCs/>
          <w:color w:val="1B3A5C"/>
          <w:sz w:val="24"/>
          <w:szCs w:val="24"/>
        </w:rPr>
        <w:t xml:space="preserve">End of Analysis</w:t>
      </w:r>
    </w:p>
    <w:p>
      <w:pPr>
        <w:spacing w:after="80"/>
      </w:pPr>
    </w:p>
    <w:p>
      <w:pPr>
        <w:pStyle w:val="Heading1"/>
        <w:spacing w:after="200" w:before="360"/>
      </w:pPr>
      <w:r>
        <w:rPr>
          <w:rFonts w:ascii="Arial" w:cs="Arial" w:eastAsia="Arial" w:hAnsi="Arial"/>
          <w:b/>
          <w:bCs/>
          <w:color w:val="1B3A5C"/>
          <w:sz w:val="32"/>
          <w:szCs w:val="32"/>
        </w:rPr>
        <w:t xml:space="preserve">Appendix A: 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8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5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Dark Factory</w:t>
            </w:r>
          </w:p>
        </w:tc>
        <w:tc>
          <w:tcPr>
            <w:tcW w:type="dxa" w:w="68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A software development environment where AI agents autonomously produce, test, deploy, and maintain code with minimal to no human intervention. Derived from manufacturing “lights-out” factories.</w:t>
            </w:r>
          </w:p>
        </w:tc>
      </w:tr>
      <w:tr>
        <w:tc>
          <w:tcPr>
            <w:tcW w:type="dxa" w:w="25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Agentic AI</w:t>
            </w:r>
          </w:p>
        </w:tc>
        <w:tc>
          <w:tcPr>
            <w:tcW w:type="dxa" w:w="686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AI systems capable of autonomous multi-step task execution, including planning, tool use, and iterative refinement without human guidance at each step.</w:t>
            </w:r>
          </w:p>
        </w:tc>
      </w:tr>
      <w:tr>
        <w:tc>
          <w:tcPr>
            <w:tcW w:type="dxa" w:w="25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SWE-bench</w:t>
            </w:r>
          </w:p>
        </w:tc>
        <w:tc>
          <w:tcPr>
            <w:tcW w:type="dxa" w:w="68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A standardized benchmark evaluating AI systems’ ability to resolve real-world GitHub issues, used as a proxy for autonomous coding capability.</w:t>
            </w:r>
          </w:p>
        </w:tc>
      </w:tr>
      <w:tr>
        <w:tc>
          <w:tcPr>
            <w:tcW w:type="dxa" w:w="25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Code Churn</w:t>
            </w:r>
          </w:p>
        </w:tc>
        <w:tc>
          <w:tcPr>
            <w:tcW w:type="dxa" w:w="686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Code that is written and then quickly rewritten, reverted, or deleted. High churn rates may indicate inefficiency or quality issues.</w:t>
            </w:r>
          </w:p>
        </w:tc>
      </w:tr>
      <w:tr>
        <w:tc>
          <w:tcPr>
            <w:tcW w:type="dxa" w:w="25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Human-in-the-Loop (HITL)</w:t>
            </w:r>
          </w:p>
        </w:tc>
        <w:tc>
          <w:tcPr>
            <w:tcW w:type="dxa" w:w="68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A system design where human judgment is required at specific decision points, as opposed to fully autonomous operation.</w:t>
            </w:r>
          </w:p>
        </w:tc>
      </w:tr>
      <w:tr>
        <w:tc>
          <w:tcPr>
            <w:tcW w:type="dxa" w:w="25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Verification Debt</w:t>
            </w:r>
          </w:p>
        </w:tc>
        <w:tc>
          <w:tcPr>
            <w:tcW w:type="dxa" w:w="686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The accumulated risk from AI-generated code that has not been adequately reviewed or tested, analogous to technical debt.</w:t>
            </w:r>
          </w:p>
        </w:tc>
      </w:tr>
      <w:tr>
        <w:tc>
          <w:tcPr>
            <w:tcW w:type="dxa" w:w="25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Tiered Autonomy</w:t>
            </w:r>
          </w:p>
        </w:tc>
        <w:tc>
          <w:tcPr>
            <w:tcW w:type="dxa" w:w="68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22222"/>
                <w:sz w:val="20"/>
                <w:szCs w:val="20"/>
              </w:rPr>
              <w:t xml:space="preserve">A governance model where different categories of code changes are subject to different levels of human oversight based on risk.</w:t>
            </w:r>
          </w:p>
        </w:tc>
      </w:tr>
      <w:tr>
        <w:tc>
          <w:tcPr>
            <w:tcW w:type="dxa" w:w="250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Constitutional AI</w:t>
            </w:r>
          </w:p>
        </w:tc>
        <w:tc>
          <w:tcPr>
            <w:tcW w:type="dxa" w:w="6860"/>
            <w:tcBorders>
              <w:top w:val="single" w:color="B0C4D8" w:sz="1"/>
              <w:left w:val="single" w:color="B0C4D8" w:sz="1"/>
              <w:bottom w:val="single" w:color="B0C4D8" w:sz="1"/>
              <w:right w:val="single" w:color="B0C4D8" w:sz="1"/>
            </w:tcBorders>
            <w:shd w:fill="F2F6FA" w:val="clear"/>
            <w:tcMar>
              <w:top w:type="dxa" w:w="80"/>
              <w:left w:type="dxa" w:w="120"/>
              <w:bottom w:type="dxa" w:w="80"/>
              <w:right w:type="dxa" w:w="120"/>
            </w:tcMar>
          </w:tcPr>
          <w:p>
            <w:r>
              <w:rPr>
                <w:rFonts w:ascii="Arial" w:cs="Arial" w:eastAsia="Arial" w:hAnsi="Arial"/>
                <w:color w:val="222222"/>
                <w:sz w:val="20"/>
                <w:szCs w:val="20"/>
              </w:rPr>
              <w:t xml:space="preserve">Anthropic’s approach to AI alignment where models are trained with explicit principles constraining their behavior, relevant to trust in autonomous systems.</w:t>
            </w:r>
          </w:p>
        </w:tc>
      </w:tr>
    </w:tbl>
    <w:p>
      <w:pPr>
        <w:spacing w:after="80"/>
      </w:pPr>
    </w:p>
    <w:p>
      <w:pPr>
        <w:pStyle w:val="Heading1"/>
        <w:spacing w:after="200" w:before="360"/>
      </w:pPr>
      <w:r>
        <w:rPr>
          <w:rFonts w:ascii="Arial" w:cs="Arial" w:eastAsia="Arial" w:hAnsi="Arial"/>
          <w:b/>
          <w:bCs/>
          <w:color w:val="1B3A5C"/>
          <w:sz w:val="32"/>
          <w:szCs w:val="32"/>
        </w:rPr>
        <w:t xml:space="preserve">Appendix B: References and Source Data</w:t>
      </w:r>
    </w:p>
    <w:p>
      <w:pPr>
        <w:spacing w:after="160" w:line="312"/>
        <w:jc w:val="both"/>
      </w:pPr>
      <w:r>
        <w:rPr>
          <w:rFonts w:ascii="Arial" w:cs="Arial" w:eastAsia="Arial" w:hAnsi="Arial"/>
          <w:color w:val="555555"/>
          <w:sz w:val="20"/>
          <w:szCs w:val="20"/>
        </w:rPr>
        <w:t xml:space="preserve">This analysis draws on the following primary sources: GitHub Octoverse 2024 Report; Google I/O 2025 Developer Keynote (Sundar Pichai); Microsoft Build 2025 (Satya Nadella); Anthropic Research Blog and CEO Interviews (Dario Amodei, January 2025); McKinsey Global Institute “The State of AI in Software Engineering” (2024); GitClear “Coding on Copilot” Analysis (2024); Stanford/UC Berkeley AI Security Study (2024); Cisco SmartBear Code Review Best Practices Study; SWE-bench Leaderboard Data (continually updated); LinkedIn Jobs on the Rise Report (2025); EU AI Act Final Text (2024); Amazon Q Developer Internal Migration Report (2024); Cognition Labs / Devin technical documentation and benchmark disclosures; Factory.ai product documentation; and Cursor / Anysphere public disclosures.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6"/>
        <w:szCs w:val="16"/>
      </w:rPr>
      <w:t xml:space="preserve">Confidential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i/>
        <w:iCs/>
        <w:color w:val="888888"/>
        <w:sz w:val="16"/>
        <w:szCs w:val="16"/>
      </w:rPr>
      <w:t xml:space="preserve">Dark Factory of Software Development  |  Strategic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200" w:before="280"/>
      <w:outlineLvl w:val="1"/>
    </w:pPr>
    <w:rPr>
      <w:rFonts w:ascii="Arial" w:cs="Arial" w:eastAsia="Arial" w:hAnsi="Arial"/>
      <w:b/>
      <w:bCs/>
      <w:color w:val="1B3A5C"/>
      <w:sz w:val="30"/>
      <w:szCs w:val="30"/>
    </w:rPr>
  </w:style>
  <w:style w:type="paragraph" w:styleId="Heading3">
    <w:name w:val="Heading 3"/>
    <w:basedOn w:val="Normal"/>
    <w:next w:val="Normal"/>
    <w:qFormat/>
    <w:pPr>
      <w:spacing w:after="160" w:before="24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2026-06-30T05:27:45.129Z</dcterms:created>
  <dcterms:modified xsi:type="dcterms:W3CDTF">2026-06-30T05:27:45.141Z</dcterms:modified>
</cp:coreProperties>
</file>

<file path=docProps/custom.xml><?xml version="1.0" encoding="utf-8"?>
<Properties xmlns="http://schemas.openxmlformats.org/officeDocument/2006/custom-properties" xmlns:vt="http://schemas.openxmlformats.org/officeDocument/2006/docPropsVTypes"/>
</file>