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2FE149">
      <w:pPr>
        <w:spacing w:before="1440" w:after="200"/>
        <w:jc w:val="center"/>
      </w:pPr>
      <w:r>
        <w:rPr>
          <w:rFonts w:ascii="Arial" w:hAnsi="Arial" w:eastAsia="Arial" w:cs="Arial"/>
          <w:b/>
          <w:bCs/>
          <w:color w:val="888888"/>
          <w:sz w:val="28"/>
          <w:szCs w:val="28"/>
        </w:rPr>
        <w:t>KIIT</w:t>
      </w:r>
    </w:p>
    <w:p w14:paraId="48A11AEE">
      <w:pPr>
        <w:spacing w:before="0" w:after="400"/>
        <w:jc w:val="center"/>
      </w:pPr>
      <w:r>
        <w:rPr>
          <w:rFonts w:ascii="Arial" w:hAnsi="Arial" w:eastAsia="Arial" w:cs="Arial"/>
          <w:color w:val="888888"/>
          <w:sz w:val="24"/>
          <w:szCs w:val="24"/>
        </w:rPr>
        <w:t>SAP MM Capstone Project Report</w:t>
      </w:r>
    </w:p>
    <w:p w14:paraId="2B013AF2">
      <w:pPr>
        <w:pBdr>
          <w:bottom w:val="single" w:color="1F4E79" w:sz="12" w:space="4"/>
        </w:pBdr>
        <w:spacing w:before="0" w:after="200"/>
        <w:jc w:val="center"/>
      </w:pPr>
      <w:r>
        <w:rPr>
          <w:rFonts w:ascii="Arial" w:hAnsi="Arial" w:eastAsia="Arial" w:cs="Arial"/>
          <w:b/>
          <w:bCs/>
          <w:color w:val="1F4E79"/>
          <w:sz w:val="52"/>
          <w:szCs w:val="52"/>
        </w:rPr>
        <w:t>Procure-to-Pay (P2P)</w:t>
      </w:r>
    </w:p>
    <w:p w14:paraId="73EEB292">
      <w:pPr>
        <w:spacing w:before="200" w:after="60"/>
        <w:jc w:val="center"/>
      </w:pPr>
      <w:r>
        <w:rPr>
          <w:rFonts w:ascii="Arial" w:hAnsi="Arial" w:eastAsia="Arial" w:cs="Arial"/>
          <w:color w:val="2E75B6"/>
          <w:sz w:val="30"/>
          <w:szCs w:val="30"/>
        </w:rPr>
        <w:t>Full Purchasing Cycle in SAP MM</w:t>
      </w:r>
    </w:p>
    <w:p w14:paraId="0D5265DC">
      <w:pPr>
        <w:spacing w:before="80" w:after="80"/>
      </w:pPr>
    </w:p>
    <w:p w14:paraId="7E3B93ED">
      <w:pPr>
        <w:spacing w:before="80" w:after="80"/>
      </w:pPr>
    </w:p>
    <w:tbl>
      <w:tblPr>
        <w:tblStyle w:val="9"/>
        <w:tblW w:w="6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62"/>
        <w:gridCol w:w="3738"/>
      </w:tblGrid>
      <w:tr w14:paraId="627F2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7FBBF0F0">
            <w:r>
              <w:rPr>
                <w:rFonts w:ascii="Arial" w:hAnsi="Arial" w:eastAsia="Arial" w:cs="Arial"/>
                <w:b/>
                <w:bCs/>
                <w:color w:val="000000"/>
                <w:sz w:val="24"/>
                <w:szCs w:val="24"/>
              </w:rPr>
              <w:t>Name</w:t>
            </w:r>
          </w:p>
        </w:tc>
        <w:tc>
          <w:tcPr>
            <w:tcW w:w="6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3B7ECA5">
            <w:pPr>
              <w:rPr>
                <w:rFonts w:hint="default"/>
                <w:lang w:val="en-US"/>
              </w:rPr>
            </w:pPr>
            <w:r>
              <w:rPr>
                <w:rFonts w:hint="default"/>
                <w:lang w:val="en-US"/>
              </w:rPr>
              <w:t>Debasmita Chanda</w:t>
            </w:r>
          </w:p>
        </w:tc>
      </w:tr>
      <w:tr w14:paraId="2FAFA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1AE02539">
            <w:r>
              <w:rPr>
                <w:rFonts w:ascii="Arial" w:hAnsi="Arial" w:eastAsia="Arial" w:cs="Arial"/>
                <w:b/>
                <w:bCs/>
                <w:color w:val="000000"/>
                <w:sz w:val="24"/>
                <w:szCs w:val="24"/>
              </w:rPr>
              <w:t>Roll Number</w:t>
            </w:r>
          </w:p>
        </w:tc>
        <w:tc>
          <w:tcPr>
            <w:tcW w:w="6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6FD9282">
            <w:pPr>
              <w:rPr>
                <w:rFonts w:hint="default"/>
                <w:lang w:val="en-US"/>
              </w:rPr>
            </w:pPr>
            <w:r>
              <w:rPr>
                <w:rFonts w:hint="default" w:cs="Arial"/>
                <w:color w:val="000000"/>
                <w:sz w:val="24"/>
                <w:szCs w:val="24"/>
                <w:lang w:val="en-US"/>
              </w:rPr>
              <w:t>23051826</w:t>
            </w:r>
          </w:p>
        </w:tc>
      </w:tr>
      <w:tr w14:paraId="2443C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29BC9332">
            <w:r>
              <w:rPr>
                <w:rFonts w:ascii="Arial" w:hAnsi="Arial" w:eastAsia="Arial" w:cs="Arial"/>
                <w:b/>
                <w:bCs/>
                <w:color w:val="000000"/>
                <w:sz w:val="24"/>
                <w:szCs w:val="24"/>
              </w:rPr>
              <w:t>Batch / Program</w:t>
            </w:r>
          </w:p>
        </w:tc>
        <w:tc>
          <w:tcPr>
            <w:tcW w:w="6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FEDD720">
            <w:pPr>
              <w:rPr>
                <w:rFonts w:hint="default"/>
                <w:lang w:val="en-US"/>
              </w:rPr>
            </w:pPr>
            <w:r>
              <w:rPr>
                <w:rFonts w:hint="default" w:cs="Arial"/>
                <w:color w:val="000000"/>
                <w:sz w:val="24"/>
                <w:szCs w:val="24"/>
                <w:lang w:val="en-US"/>
              </w:rPr>
              <w:t>B.</w:t>
            </w:r>
            <w:r>
              <w:rPr>
                <w:rFonts w:hint="default" w:cs="Arial"/>
                <w:color w:val="000000"/>
                <w:sz w:val="24"/>
                <w:szCs w:val="24"/>
                <w:u w:val="single"/>
                <w:lang w:val="en-US"/>
              </w:rPr>
              <w:t>T</w:t>
            </w:r>
            <w:r>
              <w:rPr>
                <w:rFonts w:hint="default" w:cs="Arial"/>
                <w:color w:val="000000"/>
                <w:sz w:val="24"/>
                <w:szCs w:val="24"/>
                <w:lang w:val="en-US"/>
              </w:rPr>
              <w:t>ech CSE</w:t>
            </w:r>
          </w:p>
        </w:tc>
      </w:tr>
      <w:tr w14:paraId="57683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56B2DC93">
            <w:r>
              <w:rPr>
                <w:rFonts w:ascii="Arial" w:hAnsi="Arial" w:eastAsia="Arial" w:cs="Arial"/>
                <w:b/>
                <w:bCs/>
                <w:color w:val="000000"/>
                <w:sz w:val="24"/>
                <w:szCs w:val="24"/>
              </w:rPr>
              <w:t>Submission Date</w:t>
            </w:r>
          </w:p>
        </w:tc>
        <w:tc>
          <w:tcPr>
            <w:tcW w:w="6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FE90C8C">
            <w:r>
              <w:rPr>
                <w:rFonts w:ascii="Arial" w:hAnsi="Arial" w:eastAsia="Arial" w:cs="Arial"/>
                <w:color w:val="000000"/>
                <w:sz w:val="24"/>
                <w:szCs w:val="24"/>
              </w:rPr>
              <w:t>April 21, 2026</w:t>
            </w:r>
          </w:p>
        </w:tc>
      </w:tr>
    </w:tbl>
    <w:p w14:paraId="7E49548F">
      <w:pPr>
        <w:spacing w:before="80" w:after="80"/>
      </w:pPr>
    </w:p>
    <w:p w14:paraId="34400911">
      <w:pPr>
        <w:jc w:val="center"/>
      </w:pPr>
      <w:r>
        <w:rPr>
          <w:rFonts w:ascii="Arial" w:hAnsi="Arial" w:eastAsia="Arial" w:cs="Arial"/>
          <w:i/>
          <w:iCs/>
          <w:color w:val="888888"/>
          <w:sz w:val="20"/>
          <w:szCs w:val="20"/>
        </w:rPr>
        <w:t>Submitted in partial fulfillment of the Capstone Project requirement</w:t>
      </w:r>
    </w:p>
    <w:p w14:paraId="36B8B629">
      <w:r>
        <w:br w:type="page"/>
      </w:r>
    </w:p>
    <w:p w14:paraId="526C6997">
      <w:pPr>
        <w:pStyle w:val="2"/>
        <w:spacing w:before="320" w:after="160"/>
      </w:pPr>
      <w:r>
        <w:rPr>
          <w:rFonts w:ascii="Arial" w:hAnsi="Arial" w:eastAsia="Arial" w:cs="Arial"/>
          <w:b/>
          <w:bCs/>
          <w:color w:val="1F4E79"/>
          <w:sz w:val="30"/>
          <w:szCs w:val="30"/>
        </w:rPr>
        <w:t>1. Project Title</w:t>
      </w:r>
    </w:p>
    <w:p w14:paraId="7C073F58">
      <w:pPr>
        <w:spacing w:before="80" w:after="80"/>
        <w:jc w:val="both"/>
      </w:pPr>
      <w:r>
        <w:rPr>
          <w:rFonts w:ascii="Arial" w:hAnsi="Arial" w:eastAsia="Arial" w:cs="Arial"/>
          <w:sz w:val="24"/>
          <w:szCs w:val="24"/>
        </w:rPr>
        <w:t>Procure-to-Pay (P2P) — Full Purchasing Cycle Using SAP MM</w:t>
      </w:r>
    </w:p>
    <w:p w14:paraId="690013AA">
      <w:pPr>
        <w:spacing w:before="80" w:after="80"/>
      </w:pPr>
    </w:p>
    <w:p w14:paraId="420CB192">
      <w:pPr>
        <w:pStyle w:val="2"/>
        <w:spacing w:before="320" w:after="160"/>
      </w:pPr>
      <w:r>
        <w:rPr>
          <w:rFonts w:ascii="Arial" w:hAnsi="Arial" w:eastAsia="Arial" w:cs="Arial"/>
          <w:b/>
          <w:bCs/>
          <w:color w:val="1F4E79"/>
          <w:sz w:val="30"/>
          <w:szCs w:val="30"/>
        </w:rPr>
        <w:t>2. Problem Statement</w:t>
      </w:r>
    </w:p>
    <w:p w14:paraId="798E7BC6">
      <w:pPr>
        <w:spacing w:before="80" w:after="80"/>
        <w:jc w:val="both"/>
      </w:pPr>
      <w:r>
        <w:rPr>
          <w:rFonts w:ascii="Arial" w:hAnsi="Arial" w:eastAsia="Arial" w:cs="Arial"/>
          <w:sz w:val="24"/>
          <w:szCs w:val="24"/>
        </w:rPr>
        <w:t>In modern enterprises, managing the procurement lifecycle manually leads to numerous inefficiencies: delayed purchase approvals, inconsistent vendor pricing, poor inventory visibility, and reconciliation errors between goods receipt and invoices. Without a centralized and automated system, organizations struggle to maintain compliance, control spend, and ensure timely fulfillment of material requirements.</w:t>
      </w:r>
    </w:p>
    <w:p w14:paraId="5AE04F3A">
      <w:pPr>
        <w:spacing w:before="80" w:after="80"/>
        <w:jc w:val="both"/>
      </w:pPr>
      <w:r>
        <w:rPr>
          <w:rFonts w:ascii="Arial" w:hAnsi="Arial" w:eastAsia="Arial" w:cs="Arial"/>
          <w:sz w:val="24"/>
          <w:szCs w:val="24"/>
        </w:rPr>
        <w:t>This project addresses these challenges by implementing the end-to-end Procure-to-Pay (P2P) process in SAP MM. The objective is to demonstrate how SAP can automate and integrate each step — from identifying a material requirement to making vendor payment — thereby reducing manual effort, improving traceability, and strengthening internal controls.</w:t>
      </w:r>
    </w:p>
    <w:p w14:paraId="1E4CEDA0">
      <w:pPr>
        <w:spacing w:before="80" w:after="80"/>
      </w:pPr>
    </w:p>
    <w:p w14:paraId="26FDED57">
      <w:pPr>
        <w:pStyle w:val="2"/>
        <w:spacing w:before="320" w:after="160"/>
      </w:pPr>
      <w:r>
        <w:rPr>
          <w:rFonts w:ascii="Arial" w:hAnsi="Arial" w:eastAsia="Arial" w:cs="Arial"/>
          <w:b/>
          <w:bCs/>
          <w:color w:val="1F4E79"/>
          <w:sz w:val="30"/>
          <w:szCs w:val="30"/>
        </w:rPr>
        <w:t>3. Solution &amp; Features</w:t>
      </w:r>
    </w:p>
    <w:p w14:paraId="02783FC6">
      <w:pPr>
        <w:spacing w:before="80" w:after="80"/>
        <w:jc w:val="both"/>
      </w:pPr>
      <w:r>
        <w:rPr>
          <w:rFonts w:ascii="Arial" w:hAnsi="Arial" w:eastAsia="Arial" w:cs="Arial"/>
          <w:sz w:val="24"/>
          <w:szCs w:val="24"/>
        </w:rPr>
        <w:t>The solution implements the complete P2P cycle within SAP MM for a fictitious company, covering the following functional areas:</w:t>
      </w:r>
    </w:p>
    <w:p w14:paraId="669F2B52">
      <w:pPr>
        <w:spacing w:before="80" w:after="80"/>
      </w:pPr>
    </w:p>
    <w:p w14:paraId="3C2CCC86">
      <w:pPr>
        <w:pStyle w:val="17"/>
        <w:numPr>
          <w:ilvl w:val="0"/>
          <w:numId w:val="1"/>
        </w:numPr>
        <w:spacing w:before="60" w:after="60"/>
        <w:jc w:val="both"/>
      </w:pPr>
      <w:r>
        <w:rPr>
          <w:rFonts w:ascii="Arial" w:hAnsi="Arial" w:eastAsia="Arial" w:cs="Arial"/>
          <w:sz w:val="24"/>
          <w:szCs w:val="24"/>
        </w:rPr>
        <w:t>Vendor Master Data creation and management</w:t>
      </w:r>
    </w:p>
    <w:p w14:paraId="60858AEB">
      <w:pPr>
        <w:pStyle w:val="17"/>
        <w:numPr>
          <w:ilvl w:val="0"/>
          <w:numId w:val="1"/>
        </w:numPr>
        <w:spacing w:before="60" w:after="60"/>
        <w:jc w:val="both"/>
      </w:pPr>
      <w:r>
        <w:rPr>
          <w:rFonts w:ascii="Arial" w:hAnsi="Arial" w:eastAsia="Arial" w:cs="Arial"/>
          <w:sz w:val="24"/>
          <w:szCs w:val="24"/>
        </w:rPr>
        <w:t>Material Master Data setup across organizational levels</w:t>
      </w:r>
    </w:p>
    <w:p w14:paraId="47BD265F">
      <w:pPr>
        <w:pStyle w:val="17"/>
        <w:numPr>
          <w:ilvl w:val="0"/>
          <w:numId w:val="1"/>
        </w:numPr>
        <w:spacing w:before="60" w:after="60"/>
        <w:jc w:val="both"/>
      </w:pPr>
      <w:r>
        <w:rPr>
          <w:rFonts w:ascii="Arial" w:hAnsi="Arial" w:eastAsia="Arial" w:cs="Arial"/>
          <w:sz w:val="24"/>
          <w:szCs w:val="24"/>
        </w:rPr>
        <w:t>Purchase Requisition (PR) generation — manual and automatic</w:t>
      </w:r>
    </w:p>
    <w:p w14:paraId="05B5D1C3">
      <w:pPr>
        <w:pStyle w:val="17"/>
        <w:numPr>
          <w:ilvl w:val="0"/>
          <w:numId w:val="1"/>
        </w:numPr>
        <w:spacing w:before="60" w:after="60"/>
        <w:jc w:val="both"/>
      </w:pPr>
      <w:r>
        <w:rPr>
          <w:rFonts w:ascii="Arial" w:hAnsi="Arial" w:eastAsia="Arial" w:cs="Arial"/>
          <w:sz w:val="24"/>
          <w:szCs w:val="24"/>
        </w:rPr>
        <w:t>Request for Quotation (RFQ) and Quotation comparison</w:t>
      </w:r>
    </w:p>
    <w:p w14:paraId="78E23A52">
      <w:pPr>
        <w:pStyle w:val="17"/>
        <w:numPr>
          <w:ilvl w:val="0"/>
          <w:numId w:val="1"/>
        </w:numPr>
        <w:spacing w:before="60" w:after="60"/>
        <w:jc w:val="both"/>
      </w:pPr>
      <w:r>
        <w:rPr>
          <w:rFonts w:ascii="Arial" w:hAnsi="Arial" w:eastAsia="Arial" w:cs="Arial"/>
          <w:sz w:val="24"/>
          <w:szCs w:val="24"/>
        </w:rPr>
        <w:t>Purchase Order (PO) creation, release strategy, and output</w:t>
      </w:r>
    </w:p>
    <w:p w14:paraId="3F5CA70F">
      <w:pPr>
        <w:pStyle w:val="17"/>
        <w:numPr>
          <w:ilvl w:val="0"/>
          <w:numId w:val="1"/>
        </w:numPr>
        <w:spacing w:before="60" w:after="60"/>
        <w:jc w:val="both"/>
      </w:pPr>
      <w:r>
        <w:rPr>
          <w:rFonts w:ascii="Arial" w:hAnsi="Arial" w:eastAsia="Arial" w:cs="Arial"/>
          <w:sz w:val="24"/>
          <w:szCs w:val="24"/>
        </w:rPr>
        <w:t>Goods Receipt (GR) with Movement Type 101 and inventory update</w:t>
      </w:r>
    </w:p>
    <w:p w14:paraId="3C98EDC7">
      <w:pPr>
        <w:pStyle w:val="17"/>
        <w:numPr>
          <w:ilvl w:val="0"/>
          <w:numId w:val="1"/>
        </w:numPr>
        <w:spacing w:before="60" w:after="60"/>
        <w:jc w:val="both"/>
      </w:pPr>
      <w:r>
        <w:rPr>
          <w:rFonts w:ascii="Arial" w:hAnsi="Arial" w:eastAsia="Arial" w:cs="Arial"/>
          <w:sz w:val="24"/>
          <w:szCs w:val="24"/>
        </w:rPr>
        <w:t>Invoice Verification (LIV) and three-way matching</w:t>
      </w:r>
    </w:p>
    <w:p w14:paraId="61936CEA">
      <w:pPr>
        <w:pStyle w:val="17"/>
        <w:numPr>
          <w:ilvl w:val="0"/>
          <w:numId w:val="1"/>
        </w:numPr>
        <w:spacing w:before="60" w:after="60"/>
        <w:jc w:val="both"/>
      </w:pPr>
      <w:r>
        <w:rPr>
          <w:rFonts w:ascii="Arial" w:hAnsi="Arial" w:eastAsia="Arial" w:cs="Arial"/>
          <w:sz w:val="24"/>
          <w:szCs w:val="24"/>
        </w:rPr>
        <w:t>Payment Processing via Financial Accounting (FI) integration</w:t>
      </w:r>
    </w:p>
    <w:p w14:paraId="2C034A84">
      <w:pPr>
        <w:pStyle w:val="17"/>
        <w:numPr>
          <w:ilvl w:val="0"/>
          <w:numId w:val="1"/>
        </w:numPr>
        <w:spacing w:before="60" w:after="60"/>
        <w:jc w:val="both"/>
      </w:pPr>
      <w:r>
        <w:rPr>
          <w:rFonts w:ascii="Arial" w:hAnsi="Arial" w:eastAsia="Arial" w:cs="Arial"/>
          <w:sz w:val="24"/>
          <w:szCs w:val="24"/>
        </w:rPr>
        <w:t>End-to-end document flow and audit trail in SAP</w:t>
      </w:r>
    </w:p>
    <w:p w14:paraId="0880DDB0">
      <w:pPr>
        <w:spacing w:before="80" w:after="80"/>
      </w:pPr>
    </w:p>
    <w:p w14:paraId="356CACCD">
      <w:pPr>
        <w:pStyle w:val="2"/>
        <w:spacing w:before="320" w:after="160"/>
      </w:pPr>
      <w:r>
        <w:rPr>
          <w:rFonts w:ascii="Arial" w:hAnsi="Arial" w:eastAsia="Arial" w:cs="Arial"/>
          <w:b/>
          <w:bCs/>
          <w:color w:val="1F4E79"/>
          <w:sz w:val="30"/>
          <w:szCs w:val="30"/>
        </w:rPr>
        <w:t>4. Tech Stack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5657F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765B16CA">
            <w:r>
              <w:rPr>
                <w:rFonts w:ascii="Arial" w:hAnsi="Arial" w:eastAsia="Arial" w:cs="Arial"/>
                <w:b/>
                <w:bCs/>
                <w:color w:val="FFFFFF"/>
                <w:sz w:val="24"/>
                <w:szCs w:val="24"/>
              </w:rPr>
              <w:t>Component</w:t>
            </w:r>
          </w:p>
        </w:tc>
        <w:tc>
          <w:tcPr>
            <w:tcW w:w="636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20F7FCF3">
            <w:r>
              <w:rPr>
                <w:rFonts w:ascii="Arial" w:hAnsi="Arial" w:eastAsia="Arial" w:cs="Arial"/>
                <w:color w:val="FFFFFF"/>
                <w:sz w:val="24"/>
                <w:szCs w:val="24"/>
              </w:rPr>
              <w:t>Details</w:t>
            </w:r>
          </w:p>
        </w:tc>
      </w:tr>
      <w:tr w14:paraId="02A4D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30F23D8C">
            <w:r>
              <w:rPr>
                <w:rFonts w:ascii="Arial" w:hAnsi="Arial" w:eastAsia="Arial" w:cs="Arial"/>
                <w:b/>
                <w:bCs/>
                <w:color w:val="000000"/>
                <w:sz w:val="24"/>
                <w:szCs w:val="24"/>
              </w:rPr>
              <w:t>ERP Platform</w:t>
            </w:r>
          </w:p>
        </w:tc>
        <w:tc>
          <w:tcPr>
            <w:tcW w:w="6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AD545C3">
            <w:r>
              <w:rPr>
                <w:rFonts w:ascii="Arial" w:hAnsi="Arial" w:eastAsia="Arial" w:cs="Arial"/>
                <w:color w:val="000000"/>
                <w:sz w:val="24"/>
                <w:szCs w:val="24"/>
              </w:rPr>
              <w:t>SAP ECC 6.0 / SAP S/4HANA</w:t>
            </w:r>
          </w:p>
        </w:tc>
      </w:tr>
      <w:tr w14:paraId="65DD3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6F0F8113">
            <w:r>
              <w:rPr>
                <w:rFonts w:ascii="Arial" w:hAnsi="Arial" w:eastAsia="Arial" w:cs="Arial"/>
                <w:b/>
                <w:bCs/>
                <w:color w:val="000000"/>
                <w:sz w:val="24"/>
                <w:szCs w:val="24"/>
              </w:rPr>
              <w:t>Module</w:t>
            </w:r>
          </w:p>
        </w:tc>
        <w:tc>
          <w:tcPr>
            <w:tcW w:w="6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B49653E">
            <w:r>
              <w:rPr>
                <w:rFonts w:ascii="Arial" w:hAnsi="Arial" w:eastAsia="Arial" w:cs="Arial"/>
                <w:color w:val="000000"/>
                <w:sz w:val="24"/>
                <w:szCs w:val="24"/>
              </w:rPr>
              <w:t>SAP MM (Materials Management)</w:t>
            </w:r>
          </w:p>
        </w:tc>
      </w:tr>
      <w:tr w14:paraId="790C5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79083503">
            <w:r>
              <w:rPr>
                <w:rFonts w:ascii="Arial" w:hAnsi="Arial" w:eastAsia="Arial" w:cs="Arial"/>
                <w:b/>
                <w:bCs/>
                <w:color w:val="000000"/>
                <w:sz w:val="24"/>
                <w:szCs w:val="24"/>
              </w:rPr>
              <w:t>Integration</w:t>
            </w:r>
          </w:p>
        </w:tc>
        <w:tc>
          <w:tcPr>
            <w:tcW w:w="6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7F82A5E">
            <w:r>
              <w:rPr>
                <w:rFonts w:ascii="Arial" w:hAnsi="Arial" w:eastAsia="Arial" w:cs="Arial"/>
                <w:color w:val="000000"/>
                <w:sz w:val="24"/>
                <w:szCs w:val="24"/>
              </w:rPr>
              <w:t>SAP FI (Financial Accounting) for invoice &amp; payment</w:t>
            </w:r>
          </w:p>
        </w:tc>
      </w:tr>
      <w:tr w14:paraId="31EC2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1D98584D">
            <w:r>
              <w:rPr>
                <w:rFonts w:ascii="Arial" w:hAnsi="Arial" w:eastAsia="Arial" w:cs="Arial"/>
                <w:b/>
                <w:bCs/>
                <w:color w:val="000000"/>
                <w:sz w:val="24"/>
                <w:szCs w:val="24"/>
              </w:rPr>
              <w:t>Organizational Units</w:t>
            </w:r>
          </w:p>
        </w:tc>
        <w:tc>
          <w:tcPr>
            <w:tcW w:w="6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916861B">
            <w:r>
              <w:rPr>
                <w:rFonts w:ascii="Arial" w:hAnsi="Arial" w:eastAsia="Arial" w:cs="Arial"/>
                <w:color w:val="000000"/>
                <w:sz w:val="24"/>
                <w:szCs w:val="24"/>
              </w:rPr>
              <w:t>Company Code, Plant, Storage Location, Purchasing Org &amp; Group</w:t>
            </w:r>
          </w:p>
        </w:tc>
      </w:tr>
      <w:tr w14:paraId="0C2C8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23547EE3">
            <w:r>
              <w:rPr>
                <w:rFonts w:ascii="Arial" w:hAnsi="Arial" w:eastAsia="Arial" w:cs="Arial"/>
                <w:b/>
                <w:bCs/>
                <w:color w:val="000000"/>
                <w:sz w:val="24"/>
                <w:szCs w:val="24"/>
              </w:rPr>
              <w:t>Master Data</w:t>
            </w:r>
          </w:p>
        </w:tc>
        <w:tc>
          <w:tcPr>
            <w:tcW w:w="6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ADAA292">
            <w:r>
              <w:rPr>
                <w:rFonts w:ascii="Arial" w:hAnsi="Arial" w:eastAsia="Arial" w:cs="Arial"/>
                <w:color w:val="000000"/>
                <w:sz w:val="24"/>
                <w:szCs w:val="24"/>
              </w:rPr>
              <w:t>Vendor Master, Material Master, Info Record, Source List</w:t>
            </w:r>
          </w:p>
        </w:tc>
      </w:tr>
      <w:tr w14:paraId="3E027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2B644A44">
            <w:r>
              <w:rPr>
                <w:rFonts w:ascii="Arial" w:hAnsi="Arial" w:eastAsia="Arial" w:cs="Arial"/>
                <w:b/>
                <w:bCs/>
                <w:color w:val="000000"/>
                <w:sz w:val="24"/>
                <w:szCs w:val="24"/>
              </w:rPr>
              <w:t>Document Types</w:t>
            </w:r>
          </w:p>
        </w:tc>
        <w:tc>
          <w:tcPr>
            <w:tcW w:w="6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346AD6A">
            <w:r>
              <w:rPr>
                <w:rFonts w:ascii="Arial" w:hAnsi="Arial" w:eastAsia="Arial" w:cs="Arial"/>
                <w:color w:val="000000"/>
                <w:sz w:val="24"/>
                <w:szCs w:val="24"/>
              </w:rPr>
              <w:t>PR, RFQ, PO, GR (MIGO), Invoice (MIRO)</w:t>
            </w:r>
          </w:p>
        </w:tc>
      </w:tr>
      <w:tr w14:paraId="6A850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07A4D1CA">
            <w:r>
              <w:rPr>
                <w:rFonts w:ascii="Arial" w:hAnsi="Arial" w:eastAsia="Arial" w:cs="Arial"/>
                <w:b/>
                <w:bCs/>
                <w:color w:val="000000"/>
                <w:sz w:val="24"/>
                <w:szCs w:val="24"/>
              </w:rPr>
              <w:t>Reporting</w:t>
            </w:r>
          </w:p>
        </w:tc>
        <w:tc>
          <w:tcPr>
            <w:tcW w:w="6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DBAF59B">
            <w:r>
              <w:rPr>
                <w:rFonts w:ascii="Arial" w:hAnsi="Arial" w:eastAsia="Arial" w:cs="Arial"/>
                <w:color w:val="000000"/>
                <w:sz w:val="24"/>
                <w:szCs w:val="24"/>
              </w:rPr>
              <w:t>ME2M, ME2N, MB51, MR11</w:t>
            </w:r>
          </w:p>
        </w:tc>
      </w:tr>
    </w:tbl>
    <w:p w14:paraId="532B9E9F">
      <w:pPr>
        <w:spacing w:before="80" w:after="80"/>
      </w:pPr>
    </w:p>
    <w:p w14:paraId="3C251EBE">
      <w:pPr>
        <w:pStyle w:val="2"/>
        <w:spacing w:before="320" w:after="160"/>
      </w:pPr>
      <w:r>
        <w:rPr>
          <w:rFonts w:ascii="Arial" w:hAnsi="Arial" w:eastAsia="Arial" w:cs="Arial"/>
          <w:b/>
          <w:bCs/>
          <w:color w:val="1F4E79"/>
          <w:sz w:val="30"/>
          <w:szCs w:val="30"/>
        </w:rPr>
        <w:t>5. End-to-End P2P Process — Step-by-Step</w:t>
      </w:r>
    </w:p>
    <w:p w14:paraId="27960E8A">
      <w:pPr>
        <w:pStyle w:val="3"/>
        <w:spacing w:before="240" w:after="120"/>
      </w:pPr>
      <w:r>
        <w:rPr>
          <w:rFonts w:ascii="Arial" w:hAnsi="Arial" w:eastAsia="Arial" w:cs="Arial"/>
          <w:b/>
          <w:bCs/>
          <w:color w:val="2E75B6"/>
          <w:sz w:val="28"/>
          <w:szCs w:val="28"/>
        </w:rPr>
        <w:t>5.1 Organizational Structure Setup</w:t>
      </w:r>
    </w:p>
    <w:p w14:paraId="581CB157">
      <w:pPr>
        <w:spacing w:before="80" w:after="80"/>
        <w:jc w:val="both"/>
      </w:pPr>
      <w:r>
        <w:rPr>
          <w:rFonts w:ascii="Arial" w:hAnsi="Arial" w:eastAsia="Arial" w:cs="Arial"/>
          <w:sz w:val="24"/>
          <w:szCs w:val="24"/>
        </w:rPr>
        <w:t>Before executing the P2P cycle, the organizational structure must be configured in SAP. This forms the backbone of all procurement transactions.</w:t>
      </w:r>
    </w:p>
    <w:p w14:paraId="310AFA4E">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37089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77AC215D">
            <w:r>
              <w:rPr>
                <w:rFonts w:ascii="Arial" w:hAnsi="Arial" w:eastAsia="Arial" w:cs="Arial"/>
                <w:b/>
                <w:bCs/>
                <w:color w:val="FFFFFF"/>
                <w:sz w:val="24"/>
                <w:szCs w:val="24"/>
              </w:rPr>
              <w:t>Object</w:t>
            </w:r>
          </w:p>
        </w:tc>
        <w:tc>
          <w:tcPr>
            <w:tcW w:w="636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0BF1C667">
            <w:r>
              <w:rPr>
                <w:rFonts w:ascii="Arial" w:hAnsi="Arial" w:eastAsia="Arial" w:cs="Arial"/>
                <w:color w:val="FFFFFF"/>
                <w:sz w:val="24"/>
                <w:szCs w:val="24"/>
              </w:rPr>
              <w:t>Description / T-Code</w:t>
            </w:r>
          </w:p>
        </w:tc>
      </w:tr>
      <w:tr w14:paraId="61193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70D09F14">
            <w:r>
              <w:rPr>
                <w:rFonts w:ascii="Arial" w:hAnsi="Arial" w:eastAsia="Arial" w:cs="Arial"/>
                <w:b/>
                <w:bCs/>
                <w:color w:val="000000"/>
                <w:sz w:val="24"/>
                <w:szCs w:val="24"/>
              </w:rPr>
              <w:t>Company Code</w:t>
            </w:r>
          </w:p>
        </w:tc>
        <w:tc>
          <w:tcPr>
            <w:tcW w:w="6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6E0BC92">
            <w:r>
              <w:rPr>
                <w:rFonts w:ascii="Arial" w:hAnsi="Arial" w:eastAsia="Arial" w:cs="Arial"/>
                <w:color w:val="000000"/>
                <w:sz w:val="24"/>
                <w:szCs w:val="24"/>
              </w:rPr>
              <w:t>KIIT001 — created via OX02</w:t>
            </w:r>
          </w:p>
        </w:tc>
      </w:tr>
      <w:tr w14:paraId="75675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4A2A147B">
            <w:r>
              <w:rPr>
                <w:rFonts w:ascii="Arial" w:hAnsi="Arial" w:eastAsia="Arial" w:cs="Arial"/>
                <w:b/>
                <w:bCs/>
                <w:color w:val="000000"/>
                <w:sz w:val="24"/>
                <w:szCs w:val="24"/>
              </w:rPr>
              <w:t>Plant</w:t>
            </w:r>
          </w:p>
        </w:tc>
        <w:tc>
          <w:tcPr>
            <w:tcW w:w="6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356A4CD">
            <w:r>
              <w:rPr>
                <w:rFonts w:ascii="Arial" w:hAnsi="Arial" w:eastAsia="Arial" w:cs="Arial"/>
                <w:color w:val="000000"/>
                <w:sz w:val="24"/>
                <w:szCs w:val="24"/>
              </w:rPr>
              <w:t>KT01 — created via OX10, assigned to Company Code</w:t>
            </w:r>
          </w:p>
        </w:tc>
      </w:tr>
      <w:tr w14:paraId="765BE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6762536E">
            <w:r>
              <w:rPr>
                <w:rFonts w:ascii="Arial" w:hAnsi="Arial" w:eastAsia="Arial" w:cs="Arial"/>
                <w:b/>
                <w:bCs/>
                <w:color w:val="000000"/>
                <w:sz w:val="24"/>
                <w:szCs w:val="24"/>
              </w:rPr>
              <w:t>Storage Location</w:t>
            </w:r>
          </w:p>
        </w:tc>
        <w:tc>
          <w:tcPr>
            <w:tcW w:w="6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B8E7941">
            <w:r>
              <w:rPr>
                <w:rFonts w:ascii="Arial" w:hAnsi="Arial" w:eastAsia="Arial" w:cs="Arial"/>
                <w:color w:val="000000"/>
                <w:sz w:val="24"/>
                <w:szCs w:val="24"/>
              </w:rPr>
              <w:t>KS01 — created via OWL1</w:t>
            </w:r>
          </w:p>
        </w:tc>
      </w:tr>
      <w:tr w14:paraId="3A5EA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079CCD5B">
            <w:r>
              <w:rPr>
                <w:rFonts w:ascii="Arial" w:hAnsi="Arial" w:eastAsia="Arial" w:cs="Arial"/>
                <w:b/>
                <w:bCs/>
                <w:color w:val="000000"/>
                <w:sz w:val="24"/>
                <w:szCs w:val="24"/>
              </w:rPr>
              <w:t>Purchasing Organization</w:t>
            </w:r>
          </w:p>
        </w:tc>
        <w:tc>
          <w:tcPr>
            <w:tcW w:w="6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6A89846">
            <w:r>
              <w:rPr>
                <w:rFonts w:ascii="Arial" w:hAnsi="Arial" w:eastAsia="Arial" w:cs="Arial"/>
                <w:color w:val="000000"/>
                <w:sz w:val="24"/>
                <w:szCs w:val="24"/>
              </w:rPr>
              <w:t>KP01 — created via OX08, assigned to Plant</w:t>
            </w:r>
          </w:p>
        </w:tc>
      </w:tr>
      <w:tr w14:paraId="59C13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EAF2FB"/>
            <w:tcMar>
              <w:top w:w="80" w:type="dxa"/>
              <w:left w:w="120" w:type="dxa"/>
              <w:bottom w:w="80" w:type="dxa"/>
              <w:right w:w="120" w:type="dxa"/>
            </w:tcMar>
          </w:tcPr>
          <w:p w14:paraId="16D1F687">
            <w:r>
              <w:rPr>
                <w:rFonts w:ascii="Arial" w:hAnsi="Arial" w:eastAsia="Arial" w:cs="Arial"/>
                <w:b/>
                <w:bCs/>
                <w:color w:val="000000"/>
                <w:sz w:val="24"/>
                <w:szCs w:val="24"/>
              </w:rPr>
              <w:t>Purchasing Group</w:t>
            </w:r>
          </w:p>
        </w:tc>
        <w:tc>
          <w:tcPr>
            <w:tcW w:w="6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ECF2882">
            <w:r>
              <w:rPr>
                <w:rFonts w:ascii="Arial" w:hAnsi="Arial" w:eastAsia="Arial" w:cs="Arial"/>
                <w:color w:val="000000"/>
                <w:sz w:val="24"/>
                <w:szCs w:val="24"/>
              </w:rPr>
              <w:t>K01 — responsible buyer group (OME4)</w:t>
            </w:r>
          </w:p>
        </w:tc>
      </w:tr>
    </w:tbl>
    <w:p w14:paraId="587149C9">
      <w:pPr>
        <w:spacing w:before="80" w:after="80"/>
      </w:pPr>
    </w:p>
    <w:p w14:paraId="7784C960">
      <w:pPr>
        <w:pStyle w:val="3"/>
        <w:spacing w:before="240" w:after="120"/>
      </w:pPr>
      <w:r>
        <w:rPr>
          <w:rFonts w:ascii="Arial" w:hAnsi="Arial" w:eastAsia="Arial" w:cs="Arial"/>
          <w:b/>
          <w:bCs/>
          <w:color w:val="2E75B6"/>
          <w:sz w:val="28"/>
          <w:szCs w:val="28"/>
        </w:rPr>
        <w:t>5.2 Master Data Creation</w:t>
      </w:r>
    </w:p>
    <w:p w14:paraId="01D61C73">
      <w:pPr>
        <w:spacing w:before="80" w:after="80"/>
        <w:jc w:val="both"/>
      </w:pPr>
      <w:r>
        <w:rPr>
          <w:rFonts w:ascii="Arial" w:hAnsi="Arial" w:eastAsia="Arial" w:cs="Arial"/>
          <w:sz w:val="24"/>
          <w:szCs w:val="24"/>
        </w:rPr>
        <w:t>Master data is the foundation of all SAP transactions. The following master records must be created before executing the P2P cycle.</w:t>
      </w:r>
    </w:p>
    <w:p w14:paraId="2782D920">
      <w:pPr>
        <w:spacing w:before="80" w:after="80"/>
      </w:pPr>
    </w:p>
    <w:p w14:paraId="33ABBD26">
      <w:pPr>
        <w:spacing w:before="120" w:after="60"/>
      </w:pPr>
      <w:r>
        <w:rPr>
          <w:rFonts w:ascii="Arial" w:hAnsi="Arial" w:eastAsia="Arial" w:cs="Arial"/>
          <w:b/>
          <w:bCs/>
          <w:color w:val="1F4E79"/>
          <w:sz w:val="24"/>
          <w:szCs w:val="24"/>
        </w:rPr>
        <w:t>Material Master (MM01)</w:t>
      </w:r>
    </w:p>
    <w:p w14:paraId="4431B1EF">
      <w:pPr>
        <w:pStyle w:val="17"/>
        <w:numPr>
          <w:ilvl w:val="0"/>
          <w:numId w:val="1"/>
        </w:numPr>
        <w:spacing w:before="60" w:after="60"/>
        <w:jc w:val="both"/>
      </w:pPr>
      <w:r>
        <w:rPr>
          <w:rFonts w:ascii="Arial" w:hAnsi="Arial" w:eastAsia="Arial" w:cs="Arial"/>
          <w:sz w:val="24"/>
          <w:szCs w:val="24"/>
        </w:rPr>
        <w:t>T-Code: MM01</w:t>
      </w:r>
    </w:p>
    <w:p w14:paraId="02B5259E">
      <w:pPr>
        <w:pStyle w:val="17"/>
        <w:numPr>
          <w:ilvl w:val="0"/>
          <w:numId w:val="1"/>
        </w:numPr>
        <w:spacing w:before="60" w:after="60"/>
        <w:jc w:val="both"/>
      </w:pPr>
      <w:r>
        <w:rPr>
          <w:rFonts w:ascii="Arial" w:hAnsi="Arial" w:eastAsia="Arial" w:cs="Arial"/>
          <w:sz w:val="24"/>
          <w:szCs w:val="24"/>
        </w:rPr>
        <w:t>Industry Sector: Mechanical Engineering</w:t>
      </w:r>
    </w:p>
    <w:p w14:paraId="388BECE0">
      <w:pPr>
        <w:pStyle w:val="17"/>
        <w:numPr>
          <w:ilvl w:val="0"/>
          <w:numId w:val="1"/>
        </w:numPr>
        <w:spacing w:before="60" w:after="60"/>
        <w:jc w:val="both"/>
      </w:pPr>
      <w:r>
        <w:rPr>
          <w:rFonts w:ascii="Arial" w:hAnsi="Arial" w:eastAsia="Arial" w:cs="Arial"/>
          <w:sz w:val="24"/>
          <w:szCs w:val="24"/>
        </w:rPr>
        <w:t>Material Type: ROH (Raw Material)</w:t>
      </w:r>
    </w:p>
    <w:p w14:paraId="112A4AFC">
      <w:pPr>
        <w:pStyle w:val="17"/>
        <w:numPr>
          <w:ilvl w:val="0"/>
          <w:numId w:val="1"/>
        </w:numPr>
        <w:spacing w:before="60" w:after="60"/>
        <w:jc w:val="both"/>
      </w:pPr>
      <w:r>
        <w:rPr>
          <w:rFonts w:ascii="Arial" w:hAnsi="Arial" w:eastAsia="Arial" w:cs="Arial"/>
          <w:sz w:val="24"/>
          <w:szCs w:val="24"/>
        </w:rPr>
        <w:t>Views: Basic Data 1 &amp; 2, Purchasing, MRP 1 &amp; 2, Accounting 1</w:t>
      </w:r>
    </w:p>
    <w:p w14:paraId="2A75C9DF">
      <w:pPr>
        <w:pStyle w:val="17"/>
        <w:numPr>
          <w:ilvl w:val="0"/>
          <w:numId w:val="1"/>
        </w:numPr>
        <w:spacing w:before="60" w:after="60"/>
        <w:jc w:val="both"/>
      </w:pPr>
      <w:r>
        <w:rPr>
          <w:rFonts w:ascii="Arial" w:hAnsi="Arial" w:eastAsia="Arial" w:cs="Arial"/>
          <w:sz w:val="24"/>
          <w:szCs w:val="24"/>
        </w:rPr>
        <w:t>Key Fields: Material Number, Base Unit of Measure, Material Group, Plant, Storage Location, Price Control (V/S), Valuation Class</w:t>
      </w:r>
    </w:p>
    <w:p w14:paraId="48329BBF">
      <w:pPr>
        <w:spacing w:before="80" w:after="80"/>
      </w:pPr>
    </w:p>
    <w:p w14:paraId="590C8E6B">
      <w:pPr>
        <w:spacing w:before="120" w:after="60"/>
      </w:pPr>
      <w:r>
        <w:rPr>
          <w:rFonts w:ascii="Arial" w:hAnsi="Arial" w:eastAsia="Arial" w:cs="Arial"/>
          <w:b/>
          <w:bCs/>
          <w:color w:val="1F4E79"/>
          <w:sz w:val="24"/>
          <w:szCs w:val="24"/>
        </w:rPr>
        <w:t>Vendor Master (XK01)</w:t>
      </w:r>
    </w:p>
    <w:p w14:paraId="65BFCCC5">
      <w:pPr>
        <w:pStyle w:val="17"/>
        <w:numPr>
          <w:ilvl w:val="0"/>
          <w:numId w:val="1"/>
        </w:numPr>
        <w:spacing w:before="60" w:after="60"/>
        <w:jc w:val="both"/>
      </w:pPr>
      <w:r>
        <w:rPr>
          <w:rFonts w:ascii="Arial" w:hAnsi="Arial" w:eastAsia="Arial" w:cs="Arial"/>
          <w:sz w:val="24"/>
          <w:szCs w:val="24"/>
        </w:rPr>
        <w:t>T-Code: XK01 (Centrally), MK01 (Purchasing only), FK01 (FI only)</w:t>
      </w:r>
    </w:p>
    <w:p w14:paraId="2B8951F5">
      <w:pPr>
        <w:pStyle w:val="17"/>
        <w:numPr>
          <w:ilvl w:val="0"/>
          <w:numId w:val="1"/>
        </w:numPr>
        <w:spacing w:before="60" w:after="60"/>
        <w:jc w:val="both"/>
      </w:pPr>
      <w:r>
        <w:rPr>
          <w:rFonts w:ascii="Arial" w:hAnsi="Arial" w:eastAsia="Arial" w:cs="Arial"/>
          <w:sz w:val="24"/>
          <w:szCs w:val="24"/>
        </w:rPr>
        <w:t>Account Group: LIEF (Vendors)</w:t>
      </w:r>
    </w:p>
    <w:p w14:paraId="746CD4AC">
      <w:pPr>
        <w:pStyle w:val="17"/>
        <w:numPr>
          <w:ilvl w:val="0"/>
          <w:numId w:val="1"/>
        </w:numPr>
        <w:spacing w:before="60" w:after="60"/>
        <w:jc w:val="both"/>
      </w:pPr>
      <w:r>
        <w:rPr>
          <w:rFonts w:ascii="Arial" w:hAnsi="Arial" w:eastAsia="Arial" w:cs="Arial"/>
          <w:sz w:val="24"/>
          <w:szCs w:val="24"/>
        </w:rPr>
        <w:t>Sections: General Data, Company Code Data (reconciliation account), Purchasing Data (terms, incoterms)</w:t>
      </w:r>
    </w:p>
    <w:p w14:paraId="4F4B618E">
      <w:pPr>
        <w:pStyle w:val="17"/>
        <w:numPr>
          <w:ilvl w:val="0"/>
          <w:numId w:val="1"/>
        </w:numPr>
        <w:spacing w:before="60" w:after="60"/>
        <w:jc w:val="both"/>
      </w:pPr>
      <w:r>
        <w:rPr>
          <w:rFonts w:ascii="Arial" w:hAnsi="Arial" w:eastAsia="Arial" w:cs="Arial"/>
          <w:sz w:val="24"/>
          <w:szCs w:val="24"/>
        </w:rPr>
        <w:t>Payment Terms: NT30 (Net 30 days)</w:t>
      </w:r>
    </w:p>
    <w:p w14:paraId="5FFDE8C5">
      <w:pPr>
        <w:spacing w:before="80" w:after="80"/>
      </w:pPr>
    </w:p>
    <w:p w14:paraId="6EBB6421">
      <w:pPr>
        <w:spacing w:before="120" w:after="60"/>
      </w:pPr>
      <w:r>
        <w:rPr>
          <w:rFonts w:ascii="Arial" w:hAnsi="Arial" w:eastAsia="Arial" w:cs="Arial"/>
          <w:b/>
          <w:bCs/>
          <w:color w:val="1F4E79"/>
          <w:sz w:val="24"/>
          <w:szCs w:val="24"/>
        </w:rPr>
        <w:t>Purchasing Info Record (ME11)</w:t>
      </w:r>
    </w:p>
    <w:p w14:paraId="101FE6BE">
      <w:pPr>
        <w:pStyle w:val="17"/>
        <w:numPr>
          <w:ilvl w:val="0"/>
          <w:numId w:val="1"/>
        </w:numPr>
        <w:spacing w:before="60" w:after="60"/>
        <w:jc w:val="both"/>
      </w:pPr>
      <w:r>
        <w:rPr>
          <w:rFonts w:ascii="Arial" w:hAnsi="Arial" w:eastAsia="Arial" w:cs="Arial"/>
          <w:sz w:val="24"/>
          <w:szCs w:val="24"/>
        </w:rPr>
        <w:t>Links Vendor + Material + Purchasing Org + Plant</w:t>
      </w:r>
    </w:p>
    <w:p w14:paraId="454549A6">
      <w:pPr>
        <w:pStyle w:val="17"/>
        <w:numPr>
          <w:ilvl w:val="0"/>
          <w:numId w:val="1"/>
        </w:numPr>
        <w:spacing w:before="60" w:after="60"/>
        <w:jc w:val="both"/>
      </w:pPr>
      <w:r>
        <w:rPr>
          <w:rFonts w:ascii="Arial" w:hAnsi="Arial" w:eastAsia="Arial" w:cs="Arial"/>
          <w:sz w:val="24"/>
          <w:szCs w:val="24"/>
        </w:rPr>
        <w:t>Contains: Net Price, Price Unit, Valid-to Date, Tolerances</w:t>
      </w:r>
    </w:p>
    <w:p w14:paraId="192685F0">
      <w:pPr>
        <w:pStyle w:val="17"/>
        <w:numPr>
          <w:ilvl w:val="0"/>
          <w:numId w:val="1"/>
        </w:numPr>
        <w:spacing w:before="60" w:after="60"/>
        <w:jc w:val="both"/>
      </w:pPr>
      <w:r>
        <w:rPr>
          <w:rFonts w:ascii="Arial" w:hAnsi="Arial" w:eastAsia="Arial" w:cs="Arial"/>
          <w:sz w:val="24"/>
          <w:szCs w:val="24"/>
        </w:rPr>
        <w:t>Info Category: Standard</w:t>
      </w:r>
    </w:p>
    <w:p w14:paraId="6593923E">
      <w:pPr>
        <w:spacing w:before="80" w:after="80"/>
      </w:pPr>
    </w:p>
    <w:p w14:paraId="3805A0A5">
      <w:pPr>
        <w:pStyle w:val="3"/>
        <w:spacing w:before="240" w:after="120"/>
      </w:pPr>
      <w:r>
        <w:rPr>
          <w:rFonts w:ascii="Arial" w:hAnsi="Arial" w:eastAsia="Arial" w:cs="Arial"/>
          <w:b/>
          <w:bCs/>
          <w:color w:val="2E75B6"/>
          <w:sz w:val="28"/>
          <w:szCs w:val="28"/>
        </w:rPr>
        <w:t>5.3 Purchase Requisition (PR)</w:t>
      </w:r>
    </w:p>
    <w:p w14:paraId="62F07D82">
      <w:pPr>
        <w:spacing w:before="80" w:after="80"/>
        <w:jc w:val="both"/>
      </w:pPr>
      <w:r>
        <w:rPr>
          <w:rFonts w:ascii="Arial" w:hAnsi="Arial" w:eastAsia="Arial" w:cs="Arial"/>
          <w:sz w:val="24"/>
          <w:szCs w:val="24"/>
        </w:rPr>
        <w:t>A Purchase Requisition is an internal document requesting the procurement of materials or services. It can be created manually or automatically through MRP.</w:t>
      </w:r>
    </w:p>
    <w:p w14:paraId="561A5C60">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800"/>
        <w:gridCol w:w="2800"/>
        <w:gridCol w:w="2760"/>
      </w:tblGrid>
      <w:tr w14:paraId="62395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33AD0858">
            <w:r>
              <w:rPr>
                <w:rFonts w:ascii="Arial" w:hAnsi="Arial" w:eastAsia="Arial" w:cs="Arial"/>
                <w:b/>
                <w:bCs/>
                <w:color w:val="FFFFFF"/>
                <w:sz w:val="24"/>
                <w:szCs w:val="24"/>
              </w:rPr>
              <w:t>Step</w:t>
            </w:r>
          </w:p>
        </w:tc>
        <w:tc>
          <w:tcPr>
            <w:tcW w:w="28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64DC35A1">
            <w:r>
              <w:rPr>
                <w:rFonts w:ascii="Arial" w:hAnsi="Arial" w:eastAsia="Arial" w:cs="Arial"/>
                <w:b/>
                <w:bCs/>
                <w:color w:val="FFFFFF"/>
                <w:sz w:val="24"/>
                <w:szCs w:val="24"/>
              </w:rPr>
              <w:t>Transaction Code</w:t>
            </w:r>
          </w:p>
        </w:tc>
        <w:tc>
          <w:tcPr>
            <w:tcW w:w="28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611DDC77">
            <w:r>
              <w:rPr>
                <w:rFonts w:ascii="Arial" w:hAnsi="Arial" w:eastAsia="Arial" w:cs="Arial"/>
                <w:b/>
                <w:bCs/>
                <w:color w:val="FFFFFF"/>
                <w:sz w:val="24"/>
                <w:szCs w:val="24"/>
              </w:rPr>
              <w:t>Activity</w:t>
            </w:r>
          </w:p>
        </w:tc>
        <w:tc>
          <w:tcPr>
            <w:tcW w:w="276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778A6216">
            <w:r>
              <w:rPr>
                <w:rFonts w:ascii="Arial" w:hAnsi="Arial" w:eastAsia="Arial" w:cs="Arial"/>
                <w:b/>
                <w:bCs/>
                <w:color w:val="FFFFFF"/>
                <w:sz w:val="24"/>
                <w:szCs w:val="24"/>
              </w:rPr>
              <w:t>Description</w:t>
            </w:r>
          </w:p>
        </w:tc>
      </w:tr>
      <w:tr w14:paraId="77229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2C4A54D1">
            <w:r>
              <w:rPr>
                <w:rFonts w:ascii="Arial" w:hAnsi="Arial" w:eastAsia="Arial" w:cs="Arial"/>
                <w:b/>
                <w:bCs/>
                <w:sz w:val="22"/>
                <w:szCs w:val="22"/>
              </w:rPr>
              <w:t>1</w:t>
            </w:r>
          </w:p>
        </w:tc>
        <w:tc>
          <w:tcPr>
            <w:tcW w:w="28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5ECB3C8F">
            <w:r>
              <w:rPr>
                <w:rFonts w:ascii="Courier New" w:hAnsi="Courier New" w:eastAsia="Courier New" w:cs="Courier New"/>
                <w:b/>
                <w:bCs/>
                <w:color w:val="1F4E79"/>
                <w:sz w:val="22"/>
                <w:szCs w:val="22"/>
              </w:rPr>
              <w:t>ME51N</w:t>
            </w:r>
          </w:p>
        </w:tc>
        <w:tc>
          <w:tcPr>
            <w:tcW w:w="28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3A4EB5D9">
            <w:r>
              <w:rPr>
                <w:rFonts w:ascii="Arial" w:hAnsi="Arial" w:eastAsia="Arial" w:cs="Arial"/>
                <w:sz w:val="22"/>
                <w:szCs w:val="22"/>
              </w:rPr>
              <w:t>Create PR</w:t>
            </w:r>
          </w:p>
        </w:tc>
        <w:tc>
          <w:tcPr>
            <w:tcW w:w="276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71CB7F49">
            <w:r>
              <w:rPr>
                <w:rFonts w:ascii="Arial" w:hAnsi="Arial" w:eastAsia="Arial" w:cs="Arial"/>
                <w:sz w:val="22"/>
                <w:szCs w:val="22"/>
              </w:rPr>
              <w:t>Enter material, quantity, delivery date, plant, storage location, purchasing group. Save to get PR number.</w:t>
            </w:r>
          </w:p>
        </w:tc>
      </w:tr>
      <w:tr w14:paraId="12BD5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31B8382">
            <w:r>
              <w:rPr>
                <w:rFonts w:ascii="Arial" w:hAnsi="Arial" w:eastAsia="Arial" w:cs="Arial"/>
                <w:b/>
                <w:bCs/>
                <w:sz w:val="22"/>
                <w:szCs w:val="22"/>
              </w:rPr>
              <w:t>2</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1AEBBBC">
            <w:r>
              <w:rPr>
                <w:rFonts w:ascii="Courier New" w:hAnsi="Courier New" w:eastAsia="Courier New" w:cs="Courier New"/>
                <w:b/>
                <w:bCs/>
                <w:color w:val="1F4E79"/>
                <w:sz w:val="22"/>
                <w:szCs w:val="22"/>
              </w:rPr>
              <w:t>ME52N</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733358E">
            <w:r>
              <w:rPr>
                <w:rFonts w:ascii="Arial" w:hAnsi="Arial" w:eastAsia="Arial" w:cs="Arial"/>
                <w:sz w:val="22"/>
                <w:szCs w:val="22"/>
              </w:rPr>
              <w:t>Change PR</w:t>
            </w:r>
          </w:p>
        </w:tc>
        <w:tc>
          <w:tcPr>
            <w:tcW w:w="2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E7361E9">
            <w:r>
              <w:rPr>
                <w:rFonts w:ascii="Arial" w:hAnsi="Arial" w:eastAsia="Arial" w:cs="Arial"/>
                <w:sz w:val="22"/>
                <w:szCs w:val="22"/>
              </w:rPr>
              <w:t>Edit an existing PR before conversion to PO.</w:t>
            </w:r>
          </w:p>
        </w:tc>
      </w:tr>
      <w:tr w14:paraId="01D6D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561419F5">
            <w:r>
              <w:rPr>
                <w:rFonts w:ascii="Arial" w:hAnsi="Arial" w:eastAsia="Arial" w:cs="Arial"/>
                <w:b/>
                <w:bCs/>
                <w:sz w:val="22"/>
                <w:szCs w:val="22"/>
              </w:rPr>
              <w:t>3</w:t>
            </w:r>
          </w:p>
        </w:tc>
        <w:tc>
          <w:tcPr>
            <w:tcW w:w="28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5188EA97">
            <w:r>
              <w:rPr>
                <w:rFonts w:ascii="Courier New" w:hAnsi="Courier New" w:eastAsia="Courier New" w:cs="Courier New"/>
                <w:b/>
                <w:bCs/>
                <w:color w:val="1F4E79"/>
                <w:sz w:val="22"/>
                <w:szCs w:val="22"/>
              </w:rPr>
              <w:t>ME53N</w:t>
            </w:r>
          </w:p>
        </w:tc>
        <w:tc>
          <w:tcPr>
            <w:tcW w:w="28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52E6E46A">
            <w:r>
              <w:rPr>
                <w:rFonts w:ascii="Arial" w:hAnsi="Arial" w:eastAsia="Arial" w:cs="Arial"/>
                <w:sz w:val="22"/>
                <w:szCs w:val="22"/>
              </w:rPr>
              <w:t>Display PR</w:t>
            </w:r>
          </w:p>
        </w:tc>
        <w:tc>
          <w:tcPr>
            <w:tcW w:w="276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77B878D4">
            <w:r>
              <w:rPr>
                <w:rFonts w:ascii="Arial" w:hAnsi="Arial" w:eastAsia="Arial" w:cs="Arial"/>
                <w:sz w:val="22"/>
                <w:szCs w:val="22"/>
              </w:rPr>
              <w:t>View PR details and status.</w:t>
            </w:r>
          </w:p>
        </w:tc>
      </w:tr>
      <w:tr w14:paraId="7EB01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709DAD1">
            <w:r>
              <w:rPr>
                <w:rFonts w:ascii="Arial" w:hAnsi="Arial" w:eastAsia="Arial" w:cs="Arial"/>
                <w:b/>
                <w:bCs/>
                <w:sz w:val="22"/>
                <w:szCs w:val="22"/>
              </w:rPr>
              <w:t>4</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D9D46B0">
            <w:r>
              <w:rPr>
                <w:rFonts w:ascii="Courier New" w:hAnsi="Courier New" w:eastAsia="Courier New" w:cs="Courier New"/>
                <w:b/>
                <w:bCs/>
                <w:color w:val="1F4E79"/>
                <w:sz w:val="22"/>
                <w:szCs w:val="22"/>
              </w:rPr>
              <w:t>ME54N</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1C52491">
            <w:r>
              <w:rPr>
                <w:rFonts w:ascii="Arial" w:hAnsi="Arial" w:eastAsia="Arial" w:cs="Arial"/>
                <w:sz w:val="22"/>
                <w:szCs w:val="22"/>
              </w:rPr>
              <w:t>Release PR</w:t>
            </w:r>
          </w:p>
        </w:tc>
        <w:tc>
          <w:tcPr>
            <w:tcW w:w="2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C0649F5">
            <w:r>
              <w:rPr>
                <w:rFonts w:ascii="Arial" w:hAnsi="Arial" w:eastAsia="Arial" w:cs="Arial"/>
                <w:sz w:val="22"/>
                <w:szCs w:val="22"/>
              </w:rPr>
              <w:t>Approve the PR as per release strategy (if configured).</w:t>
            </w:r>
          </w:p>
        </w:tc>
      </w:tr>
    </w:tbl>
    <w:p w14:paraId="0436013F">
      <w:pPr>
        <w:spacing w:before="80" w:after="80"/>
      </w:pPr>
    </w:p>
    <w:p w14:paraId="6DD9CC53">
      <w:pPr>
        <w:spacing w:before="80" w:after="80"/>
        <w:jc w:val="both"/>
      </w:pPr>
      <w:r>
        <w:rPr>
          <w:rFonts w:ascii="Arial" w:hAnsi="Arial" w:eastAsia="Arial" w:cs="Arial"/>
          <w:sz w:val="24"/>
          <w:szCs w:val="24"/>
        </w:rPr>
        <w:t>Key Fields in PR: Item Category (blank = Standard), Account Assignment Category, Desired Vendor (optional), Tracking Number.</w:t>
      </w:r>
    </w:p>
    <w:p w14:paraId="4AF1CBBD">
      <w:pPr>
        <w:spacing w:before="80" w:after="80"/>
      </w:pPr>
    </w:p>
    <w:p w14:paraId="68C2EFA2">
      <w:pPr>
        <w:pStyle w:val="3"/>
        <w:spacing w:before="240" w:after="120"/>
      </w:pPr>
      <w:r>
        <w:rPr>
          <w:rFonts w:ascii="Arial" w:hAnsi="Arial" w:eastAsia="Arial" w:cs="Arial"/>
          <w:b/>
          <w:bCs/>
          <w:color w:val="2E75B6"/>
          <w:sz w:val="28"/>
          <w:szCs w:val="28"/>
        </w:rPr>
        <w:t>5.4 Request for Quotation (RFQ) &amp; Quotation</w:t>
      </w:r>
    </w:p>
    <w:p w14:paraId="36F94BB7">
      <w:pPr>
        <w:spacing w:before="80" w:after="80"/>
        <w:jc w:val="both"/>
      </w:pPr>
      <w:r>
        <w:rPr>
          <w:rFonts w:ascii="Arial" w:hAnsi="Arial" w:eastAsia="Arial" w:cs="Arial"/>
          <w:sz w:val="24"/>
          <w:szCs w:val="24"/>
        </w:rPr>
        <w:t>An RFQ is sent to multiple vendors to obtain competitive pricing before creating a Purchase Order.</w:t>
      </w:r>
    </w:p>
    <w:p w14:paraId="10111F50">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800"/>
        <w:gridCol w:w="2800"/>
        <w:gridCol w:w="2760"/>
      </w:tblGrid>
      <w:tr w14:paraId="4BD2E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74E70E69">
            <w:r>
              <w:rPr>
                <w:rFonts w:ascii="Arial" w:hAnsi="Arial" w:eastAsia="Arial" w:cs="Arial"/>
                <w:b/>
                <w:bCs/>
                <w:color w:val="FFFFFF"/>
                <w:sz w:val="24"/>
                <w:szCs w:val="24"/>
              </w:rPr>
              <w:t>Step</w:t>
            </w:r>
          </w:p>
        </w:tc>
        <w:tc>
          <w:tcPr>
            <w:tcW w:w="28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6D9C5CF6">
            <w:r>
              <w:rPr>
                <w:rFonts w:ascii="Arial" w:hAnsi="Arial" w:eastAsia="Arial" w:cs="Arial"/>
                <w:b/>
                <w:bCs/>
                <w:color w:val="FFFFFF"/>
                <w:sz w:val="24"/>
                <w:szCs w:val="24"/>
              </w:rPr>
              <w:t>Transaction Code</w:t>
            </w:r>
          </w:p>
        </w:tc>
        <w:tc>
          <w:tcPr>
            <w:tcW w:w="28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49201504">
            <w:r>
              <w:rPr>
                <w:rFonts w:ascii="Arial" w:hAnsi="Arial" w:eastAsia="Arial" w:cs="Arial"/>
                <w:b/>
                <w:bCs/>
                <w:color w:val="FFFFFF"/>
                <w:sz w:val="24"/>
                <w:szCs w:val="24"/>
              </w:rPr>
              <w:t>Activity</w:t>
            </w:r>
          </w:p>
        </w:tc>
        <w:tc>
          <w:tcPr>
            <w:tcW w:w="276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19D31603">
            <w:r>
              <w:rPr>
                <w:rFonts w:ascii="Arial" w:hAnsi="Arial" w:eastAsia="Arial" w:cs="Arial"/>
                <w:b/>
                <w:bCs/>
                <w:color w:val="FFFFFF"/>
                <w:sz w:val="24"/>
                <w:szCs w:val="24"/>
              </w:rPr>
              <w:t>Description</w:t>
            </w:r>
          </w:p>
        </w:tc>
      </w:tr>
      <w:tr w14:paraId="27533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3A5E2BB9">
            <w:r>
              <w:rPr>
                <w:rFonts w:ascii="Arial" w:hAnsi="Arial" w:eastAsia="Arial" w:cs="Arial"/>
                <w:b/>
                <w:bCs/>
                <w:sz w:val="22"/>
                <w:szCs w:val="22"/>
              </w:rPr>
              <w:t>1</w:t>
            </w:r>
          </w:p>
        </w:tc>
        <w:tc>
          <w:tcPr>
            <w:tcW w:w="28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11957B1D">
            <w:r>
              <w:rPr>
                <w:rFonts w:ascii="Courier New" w:hAnsi="Courier New" w:eastAsia="Courier New" w:cs="Courier New"/>
                <w:b/>
                <w:bCs/>
                <w:color w:val="1F4E79"/>
                <w:sz w:val="22"/>
                <w:szCs w:val="22"/>
              </w:rPr>
              <w:t>ME41</w:t>
            </w:r>
          </w:p>
        </w:tc>
        <w:tc>
          <w:tcPr>
            <w:tcW w:w="28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420D414A">
            <w:r>
              <w:rPr>
                <w:rFonts w:ascii="Arial" w:hAnsi="Arial" w:eastAsia="Arial" w:cs="Arial"/>
                <w:sz w:val="22"/>
                <w:szCs w:val="22"/>
              </w:rPr>
              <w:t>Create RFQ</w:t>
            </w:r>
          </w:p>
        </w:tc>
        <w:tc>
          <w:tcPr>
            <w:tcW w:w="276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4ABE382F">
            <w:r>
              <w:rPr>
                <w:rFonts w:ascii="Arial" w:hAnsi="Arial" w:eastAsia="Arial" w:cs="Arial"/>
                <w:sz w:val="22"/>
                <w:szCs w:val="22"/>
              </w:rPr>
              <w:t>Enter collective number, quotation deadline, vendor(s). Copy items from PR using 'Adopt from PR'.</w:t>
            </w:r>
          </w:p>
        </w:tc>
      </w:tr>
      <w:tr w14:paraId="59E2F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8D06EF0">
            <w:r>
              <w:rPr>
                <w:rFonts w:ascii="Arial" w:hAnsi="Arial" w:eastAsia="Arial" w:cs="Arial"/>
                <w:b/>
                <w:bCs/>
                <w:sz w:val="22"/>
                <w:szCs w:val="22"/>
              </w:rPr>
              <w:t>2</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173DD83">
            <w:r>
              <w:rPr>
                <w:rFonts w:ascii="Courier New" w:hAnsi="Courier New" w:eastAsia="Courier New" w:cs="Courier New"/>
                <w:b/>
                <w:bCs/>
                <w:color w:val="1F4E79"/>
                <w:sz w:val="22"/>
                <w:szCs w:val="22"/>
              </w:rPr>
              <w:t>ME47</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8CB3FCC">
            <w:r>
              <w:rPr>
                <w:rFonts w:ascii="Arial" w:hAnsi="Arial" w:eastAsia="Arial" w:cs="Arial"/>
                <w:sz w:val="22"/>
                <w:szCs w:val="22"/>
              </w:rPr>
              <w:t>Maintain Quotation</w:t>
            </w:r>
          </w:p>
        </w:tc>
        <w:tc>
          <w:tcPr>
            <w:tcW w:w="2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DD8EDB5">
            <w:r>
              <w:rPr>
                <w:rFonts w:ascii="Arial" w:hAnsi="Arial" w:eastAsia="Arial" w:cs="Arial"/>
                <w:sz w:val="22"/>
                <w:szCs w:val="22"/>
              </w:rPr>
              <w:t>Enter vendor's quoted price, delivery time, and conditions.</w:t>
            </w:r>
          </w:p>
        </w:tc>
      </w:tr>
      <w:tr w14:paraId="3541F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65AA5DD8">
            <w:r>
              <w:rPr>
                <w:rFonts w:ascii="Arial" w:hAnsi="Arial" w:eastAsia="Arial" w:cs="Arial"/>
                <w:b/>
                <w:bCs/>
                <w:sz w:val="22"/>
                <w:szCs w:val="22"/>
              </w:rPr>
              <w:t>3</w:t>
            </w:r>
          </w:p>
        </w:tc>
        <w:tc>
          <w:tcPr>
            <w:tcW w:w="28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3498EDE5">
            <w:r>
              <w:rPr>
                <w:rFonts w:ascii="Courier New" w:hAnsi="Courier New" w:eastAsia="Courier New" w:cs="Courier New"/>
                <w:b/>
                <w:bCs/>
                <w:color w:val="1F4E79"/>
                <w:sz w:val="22"/>
                <w:szCs w:val="22"/>
              </w:rPr>
              <w:t>ME49</w:t>
            </w:r>
          </w:p>
        </w:tc>
        <w:tc>
          <w:tcPr>
            <w:tcW w:w="28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73BA286E">
            <w:r>
              <w:rPr>
                <w:rFonts w:ascii="Arial" w:hAnsi="Arial" w:eastAsia="Arial" w:cs="Arial"/>
                <w:sz w:val="22"/>
                <w:szCs w:val="22"/>
              </w:rPr>
              <w:t>Price Comparison</w:t>
            </w:r>
          </w:p>
        </w:tc>
        <w:tc>
          <w:tcPr>
            <w:tcW w:w="276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21C3ABAB">
            <w:r>
              <w:rPr>
                <w:rFonts w:ascii="Arial" w:hAnsi="Arial" w:eastAsia="Arial" w:cs="Arial"/>
                <w:sz w:val="22"/>
                <w:szCs w:val="22"/>
              </w:rPr>
              <w:t>Compare all received quotations using the price comparison list. System highlights the best (lowest) price.</w:t>
            </w:r>
          </w:p>
        </w:tc>
      </w:tr>
    </w:tbl>
    <w:p w14:paraId="76B38E20">
      <w:pPr>
        <w:spacing w:before="80" w:after="80"/>
      </w:pPr>
    </w:p>
    <w:p w14:paraId="2793FBDA">
      <w:pPr>
        <w:spacing w:before="80" w:after="80"/>
        <w:jc w:val="both"/>
      </w:pPr>
      <w:r>
        <w:rPr>
          <w:rFonts w:ascii="Arial" w:hAnsi="Arial" w:eastAsia="Arial" w:cs="Arial"/>
          <w:sz w:val="24"/>
          <w:szCs w:val="24"/>
        </w:rPr>
        <w:t>A rejection letter can be sent to unsuccessful vendors using ME48.</w:t>
      </w:r>
    </w:p>
    <w:p w14:paraId="3A898C1D">
      <w:pPr>
        <w:spacing w:before="80" w:after="80"/>
      </w:pPr>
    </w:p>
    <w:p w14:paraId="567A0ACB">
      <w:pPr>
        <w:pStyle w:val="3"/>
        <w:spacing w:before="240" w:after="120"/>
      </w:pPr>
      <w:r>
        <w:rPr>
          <w:rFonts w:ascii="Arial" w:hAnsi="Arial" w:eastAsia="Arial" w:cs="Arial"/>
          <w:b/>
          <w:bCs/>
          <w:color w:val="2E75B6"/>
          <w:sz w:val="28"/>
          <w:szCs w:val="28"/>
        </w:rPr>
        <w:t>5.5 Purchase Order (PO)</w:t>
      </w:r>
    </w:p>
    <w:p w14:paraId="471B3F40">
      <w:pPr>
        <w:spacing w:before="80" w:after="80"/>
        <w:jc w:val="both"/>
      </w:pPr>
      <w:r>
        <w:rPr>
          <w:rFonts w:ascii="Arial" w:hAnsi="Arial" w:eastAsia="Arial" w:cs="Arial"/>
          <w:sz w:val="24"/>
          <w:szCs w:val="24"/>
        </w:rPr>
        <w:t>A Purchase Order is the formal, legally binding document issued to the vendor to supply materials or services at agreed terms.</w:t>
      </w:r>
    </w:p>
    <w:p w14:paraId="51D9109A">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800"/>
        <w:gridCol w:w="2800"/>
        <w:gridCol w:w="2760"/>
      </w:tblGrid>
      <w:tr w14:paraId="41505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644A1381">
            <w:r>
              <w:rPr>
                <w:rFonts w:ascii="Arial" w:hAnsi="Arial" w:eastAsia="Arial" w:cs="Arial"/>
                <w:b/>
                <w:bCs/>
                <w:color w:val="FFFFFF"/>
                <w:sz w:val="24"/>
                <w:szCs w:val="24"/>
              </w:rPr>
              <w:t>Step</w:t>
            </w:r>
          </w:p>
        </w:tc>
        <w:tc>
          <w:tcPr>
            <w:tcW w:w="28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7E366601">
            <w:r>
              <w:rPr>
                <w:rFonts w:ascii="Arial" w:hAnsi="Arial" w:eastAsia="Arial" w:cs="Arial"/>
                <w:b/>
                <w:bCs/>
                <w:color w:val="FFFFFF"/>
                <w:sz w:val="24"/>
                <w:szCs w:val="24"/>
              </w:rPr>
              <w:t>Transaction Code</w:t>
            </w:r>
          </w:p>
        </w:tc>
        <w:tc>
          <w:tcPr>
            <w:tcW w:w="28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115BFBCD">
            <w:r>
              <w:rPr>
                <w:rFonts w:ascii="Arial" w:hAnsi="Arial" w:eastAsia="Arial" w:cs="Arial"/>
                <w:b/>
                <w:bCs/>
                <w:color w:val="FFFFFF"/>
                <w:sz w:val="24"/>
                <w:szCs w:val="24"/>
              </w:rPr>
              <w:t>Activity</w:t>
            </w:r>
          </w:p>
        </w:tc>
        <w:tc>
          <w:tcPr>
            <w:tcW w:w="276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5E3BF4EE">
            <w:r>
              <w:rPr>
                <w:rFonts w:ascii="Arial" w:hAnsi="Arial" w:eastAsia="Arial" w:cs="Arial"/>
                <w:b/>
                <w:bCs/>
                <w:color w:val="FFFFFF"/>
                <w:sz w:val="24"/>
                <w:szCs w:val="24"/>
              </w:rPr>
              <w:t>Description</w:t>
            </w:r>
          </w:p>
        </w:tc>
      </w:tr>
      <w:tr w14:paraId="5EB26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26A95694">
            <w:r>
              <w:rPr>
                <w:rFonts w:ascii="Arial" w:hAnsi="Arial" w:eastAsia="Arial" w:cs="Arial"/>
                <w:b/>
                <w:bCs/>
                <w:sz w:val="22"/>
                <w:szCs w:val="22"/>
              </w:rPr>
              <w:t>1</w:t>
            </w:r>
          </w:p>
        </w:tc>
        <w:tc>
          <w:tcPr>
            <w:tcW w:w="28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004A9C3C">
            <w:r>
              <w:rPr>
                <w:rFonts w:ascii="Courier New" w:hAnsi="Courier New" w:eastAsia="Courier New" w:cs="Courier New"/>
                <w:b/>
                <w:bCs/>
                <w:color w:val="1F4E79"/>
                <w:sz w:val="22"/>
                <w:szCs w:val="22"/>
              </w:rPr>
              <w:t>ME21N</w:t>
            </w:r>
          </w:p>
        </w:tc>
        <w:tc>
          <w:tcPr>
            <w:tcW w:w="28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12E01697">
            <w:r>
              <w:rPr>
                <w:rFonts w:ascii="Arial" w:hAnsi="Arial" w:eastAsia="Arial" w:cs="Arial"/>
                <w:sz w:val="22"/>
                <w:szCs w:val="22"/>
              </w:rPr>
              <w:t>Create PO</w:t>
            </w:r>
          </w:p>
        </w:tc>
        <w:tc>
          <w:tcPr>
            <w:tcW w:w="276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4E248A12">
            <w:r>
              <w:rPr>
                <w:rFonts w:ascii="Arial" w:hAnsi="Arial" w:eastAsia="Arial" w:cs="Arial"/>
                <w:sz w:val="22"/>
                <w:szCs w:val="22"/>
              </w:rPr>
              <w:t>Enter vendor, PO type (NB=Standard), purchasing org/group, company code, plant. Add line items with material, quantity, price, delivery date.</w:t>
            </w:r>
          </w:p>
        </w:tc>
      </w:tr>
      <w:tr w14:paraId="2AF5E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83229EE">
            <w:r>
              <w:rPr>
                <w:rFonts w:ascii="Arial" w:hAnsi="Arial" w:eastAsia="Arial" w:cs="Arial"/>
                <w:b/>
                <w:bCs/>
                <w:sz w:val="22"/>
                <w:szCs w:val="22"/>
              </w:rPr>
              <w:t>2</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E2FF6EA">
            <w:r>
              <w:rPr>
                <w:rFonts w:ascii="Courier New" w:hAnsi="Courier New" w:eastAsia="Courier New" w:cs="Courier New"/>
                <w:b/>
                <w:bCs/>
                <w:color w:val="1F4E79"/>
                <w:sz w:val="22"/>
                <w:szCs w:val="22"/>
              </w:rPr>
              <w:t>ME22N</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74C1E4D">
            <w:r>
              <w:rPr>
                <w:rFonts w:ascii="Arial" w:hAnsi="Arial" w:eastAsia="Arial" w:cs="Arial"/>
                <w:sz w:val="22"/>
                <w:szCs w:val="22"/>
              </w:rPr>
              <w:t>Change PO</w:t>
            </w:r>
          </w:p>
        </w:tc>
        <w:tc>
          <w:tcPr>
            <w:tcW w:w="2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CF45FFA">
            <w:r>
              <w:rPr>
                <w:rFonts w:ascii="Arial" w:hAnsi="Arial" w:eastAsia="Arial" w:cs="Arial"/>
                <w:sz w:val="22"/>
                <w:szCs w:val="22"/>
              </w:rPr>
              <w:t>Modify an existing PO before goods receipt.</w:t>
            </w:r>
          </w:p>
        </w:tc>
      </w:tr>
      <w:tr w14:paraId="1D8E0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017A6047">
            <w:r>
              <w:rPr>
                <w:rFonts w:ascii="Arial" w:hAnsi="Arial" w:eastAsia="Arial" w:cs="Arial"/>
                <w:b/>
                <w:bCs/>
                <w:sz w:val="22"/>
                <w:szCs w:val="22"/>
              </w:rPr>
              <w:t>3</w:t>
            </w:r>
          </w:p>
        </w:tc>
        <w:tc>
          <w:tcPr>
            <w:tcW w:w="28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2F6AAB2C">
            <w:r>
              <w:rPr>
                <w:rFonts w:ascii="Courier New" w:hAnsi="Courier New" w:eastAsia="Courier New" w:cs="Courier New"/>
                <w:b/>
                <w:bCs/>
                <w:color w:val="1F4E79"/>
                <w:sz w:val="22"/>
                <w:szCs w:val="22"/>
              </w:rPr>
              <w:t>ME23N</w:t>
            </w:r>
          </w:p>
        </w:tc>
        <w:tc>
          <w:tcPr>
            <w:tcW w:w="28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0944F8A9">
            <w:r>
              <w:rPr>
                <w:rFonts w:ascii="Arial" w:hAnsi="Arial" w:eastAsia="Arial" w:cs="Arial"/>
                <w:sz w:val="22"/>
                <w:szCs w:val="22"/>
              </w:rPr>
              <w:t>Display PO</w:t>
            </w:r>
          </w:p>
        </w:tc>
        <w:tc>
          <w:tcPr>
            <w:tcW w:w="276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01D2C302">
            <w:r>
              <w:rPr>
                <w:rFonts w:ascii="Arial" w:hAnsi="Arial" w:eastAsia="Arial" w:cs="Arial"/>
                <w:sz w:val="22"/>
                <w:szCs w:val="22"/>
              </w:rPr>
              <w:t>View PO details including status, delivery schedule.</w:t>
            </w:r>
          </w:p>
        </w:tc>
      </w:tr>
      <w:tr w14:paraId="52A0B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C253ED7">
            <w:r>
              <w:rPr>
                <w:rFonts w:ascii="Arial" w:hAnsi="Arial" w:eastAsia="Arial" w:cs="Arial"/>
                <w:b/>
                <w:bCs/>
                <w:sz w:val="22"/>
                <w:szCs w:val="22"/>
              </w:rPr>
              <w:t>4</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D7B1AB2">
            <w:r>
              <w:rPr>
                <w:rFonts w:ascii="Courier New" w:hAnsi="Courier New" w:eastAsia="Courier New" w:cs="Courier New"/>
                <w:b/>
                <w:bCs/>
                <w:color w:val="1F4E79"/>
                <w:sz w:val="22"/>
                <w:szCs w:val="22"/>
              </w:rPr>
              <w:t>ME29N</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899BAD4">
            <w:r>
              <w:rPr>
                <w:rFonts w:ascii="Arial" w:hAnsi="Arial" w:eastAsia="Arial" w:cs="Arial"/>
                <w:sz w:val="22"/>
                <w:szCs w:val="22"/>
              </w:rPr>
              <w:t>Release PO</w:t>
            </w:r>
          </w:p>
        </w:tc>
        <w:tc>
          <w:tcPr>
            <w:tcW w:w="2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6557E5D">
            <w:r>
              <w:rPr>
                <w:rFonts w:ascii="Arial" w:hAnsi="Arial" w:eastAsia="Arial" w:cs="Arial"/>
                <w:sz w:val="22"/>
                <w:szCs w:val="22"/>
              </w:rPr>
              <w:t>Approve PO via release strategy (workflow).</w:t>
            </w:r>
          </w:p>
        </w:tc>
      </w:tr>
      <w:tr w14:paraId="5405D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3C434DAE">
            <w:r>
              <w:rPr>
                <w:rFonts w:ascii="Arial" w:hAnsi="Arial" w:eastAsia="Arial" w:cs="Arial"/>
                <w:b/>
                <w:bCs/>
                <w:sz w:val="22"/>
                <w:szCs w:val="22"/>
              </w:rPr>
              <w:t>5</w:t>
            </w:r>
          </w:p>
        </w:tc>
        <w:tc>
          <w:tcPr>
            <w:tcW w:w="28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4E95F9BA">
            <w:r>
              <w:rPr>
                <w:rFonts w:ascii="Courier New" w:hAnsi="Courier New" w:eastAsia="Courier New" w:cs="Courier New"/>
                <w:b/>
                <w:bCs/>
                <w:color w:val="1F4E79"/>
                <w:sz w:val="22"/>
                <w:szCs w:val="22"/>
              </w:rPr>
              <w:t>ME9F</w:t>
            </w:r>
          </w:p>
        </w:tc>
        <w:tc>
          <w:tcPr>
            <w:tcW w:w="28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6A3227CE">
            <w:r>
              <w:rPr>
                <w:rFonts w:ascii="Arial" w:hAnsi="Arial" w:eastAsia="Arial" w:cs="Arial"/>
                <w:sz w:val="22"/>
                <w:szCs w:val="22"/>
              </w:rPr>
              <w:t>Print/Output PO</w:t>
            </w:r>
          </w:p>
        </w:tc>
        <w:tc>
          <w:tcPr>
            <w:tcW w:w="276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11630C2F">
            <w:r>
              <w:rPr>
                <w:rFonts w:ascii="Arial" w:hAnsi="Arial" w:eastAsia="Arial" w:cs="Arial"/>
                <w:sz w:val="22"/>
                <w:szCs w:val="22"/>
              </w:rPr>
              <w:t>Send PO to vendor via print, email, or EDI.</w:t>
            </w:r>
          </w:p>
        </w:tc>
      </w:tr>
    </w:tbl>
    <w:p w14:paraId="251540BA">
      <w:pPr>
        <w:spacing w:before="80" w:after="80"/>
      </w:pPr>
    </w:p>
    <w:p w14:paraId="671D8435">
      <w:pPr>
        <w:spacing w:before="80" w:after="80"/>
        <w:jc w:val="both"/>
      </w:pPr>
      <w:r>
        <w:rPr>
          <w:rFonts w:ascii="Arial" w:hAnsi="Arial" w:eastAsia="Arial" w:cs="Arial"/>
          <w:sz w:val="24"/>
          <w:szCs w:val="24"/>
        </w:rPr>
        <w:t>PO can also be created with reference to PR (ME21N &gt; Adopt from PR) or from Quotation (ME21N &gt; Adopt from RFQ).</w:t>
      </w:r>
    </w:p>
    <w:p w14:paraId="73FC0ECE">
      <w:pPr>
        <w:spacing w:before="80" w:after="80"/>
        <w:jc w:val="both"/>
      </w:pPr>
      <w:r>
        <w:rPr>
          <w:rFonts w:ascii="Arial" w:hAnsi="Arial" w:eastAsia="Arial" w:cs="Arial"/>
          <w:sz w:val="24"/>
          <w:szCs w:val="24"/>
        </w:rPr>
        <w:t>Important PO tabs: Header (payment terms, header conditions), Item (material, quantity, price), Delivery/Invoice (GR-based IV flag), Conditions (pricing schema).</w:t>
      </w:r>
    </w:p>
    <w:p w14:paraId="4D532344">
      <w:pPr>
        <w:spacing w:before="80" w:after="80"/>
      </w:pPr>
    </w:p>
    <w:p w14:paraId="215C2C43">
      <w:pPr>
        <w:pStyle w:val="3"/>
        <w:spacing w:before="240" w:after="120"/>
      </w:pPr>
      <w:r>
        <w:rPr>
          <w:rFonts w:ascii="Arial" w:hAnsi="Arial" w:eastAsia="Arial" w:cs="Arial"/>
          <w:b/>
          <w:bCs/>
          <w:color w:val="2E75B6"/>
          <w:sz w:val="28"/>
          <w:szCs w:val="28"/>
        </w:rPr>
        <w:t>5.6 Goods Receipt (GR)</w:t>
      </w:r>
    </w:p>
    <w:p w14:paraId="1C1C6CCF">
      <w:pPr>
        <w:spacing w:before="80" w:after="80"/>
        <w:jc w:val="both"/>
      </w:pPr>
      <w:r>
        <w:rPr>
          <w:rFonts w:ascii="Arial" w:hAnsi="Arial" w:eastAsia="Arial" w:cs="Arial"/>
          <w:sz w:val="24"/>
          <w:szCs w:val="24"/>
        </w:rPr>
        <w:t>Goods Receipt records the physical receipt of materials from the vendor against the Purchase Order. It updates both inventory and financial accounts.</w:t>
      </w:r>
    </w:p>
    <w:p w14:paraId="5EBCCFA3">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800"/>
        <w:gridCol w:w="2800"/>
        <w:gridCol w:w="2760"/>
      </w:tblGrid>
      <w:tr w14:paraId="46DFE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2BB0BF93">
            <w:r>
              <w:rPr>
                <w:rFonts w:ascii="Arial" w:hAnsi="Arial" w:eastAsia="Arial" w:cs="Arial"/>
                <w:b/>
                <w:bCs/>
                <w:color w:val="FFFFFF"/>
                <w:sz w:val="24"/>
                <w:szCs w:val="24"/>
              </w:rPr>
              <w:t>Step</w:t>
            </w:r>
          </w:p>
        </w:tc>
        <w:tc>
          <w:tcPr>
            <w:tcW w:w="28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6BA6A5FB">
            <w:r>
              <w:rPr>
                <w:rFonts w:ascii="Arial" w:hAnsi="Arial" w:eastAsia="Arial" w:cs="Arial"/>
                <w:b/>
                <w:bCs/>
                <w:color w:val="FFFFFF"/>
                <w:sz w:val="24"/>
                <w:szCs w:val="24"/>
              </w:rPr>
              <w:t>Transaction Code</w:t>
            </w:r>
          </w:p>
        </w:tc>
        <w:tc>
          <w:tcPr>
            <w:tcW w:w="28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73CFA3BD">
            <w:r>
              <w:rPr>
                <w:rFonts w:ascii="Arial" w:hAnsi="Arial" w:eastAsia="Arial" w:cs="Arial"/>
                <w:b/>
                <w:bCs/>
                <w:color w:val="FFFFFF"/>
                <w:sz w:val="24"/>
                <w:szCs w:val="24"/>
              </w:rPr>
              <w:t>Activity</w:t>
            </w:r>
          </w:p>
        </w:tc>
        <w:tc>
          <w:tcPr>
            <w:tcW w:w="276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17757D52">
            <w:r>
              <w:rPr>
                <w:rFonts w:ascii="Arial" w:hAnsi="Arial" w:eastAsia="Arial" w:cs="Arial"/>
                <w:b/>
                <w:bCs/>
                <w:color w:val="FFFFFF"/>
                <w:sz w:val="24"/>
                <w:szCs w:val="24"/>
              </w:rPr>
              <w:t>Description</w:t>
            </w:r>
          </w:p>
        </w:tc>
      </w:tr>
      <w:tr w14:paraId="16231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0E585AE2">
            <w:r>
              <w:rPr>
                <w:rFonts w:ascii="Arial" w:hAnsi="Arial" w:eastAsia="Arial" w:cs="Arial"/>
                <w:b/>
                <w:bCs/>
                <w:sz w:val="22"/>
                <w:szCs w:val="22"/>
              </w:rPr>
              <w:t>1</w:t>
            </w:r>
          </w:p>
        </w:tc>
        <w:tc>
          <w:tcPr>
            <w:tcW w:w="28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40EBB0B0">
            <w:r>
              <w:rPr>
                <w:rFonts w:ascii="Courier New" w:hAnsi="Courier New" w:eastAsia="Courier New" w:cs="Courier New"/>
                <w:b/>
                <w:bCs/>
                <w:color w:val="1F4E79"/>
                <w:sz w:val="22"/>
                <w:szCs w:val="22"/>
              </w:rPr>
              <w:t>MIGO</w:t>
            </w:r>
          </w:p>
        </w:tc>
        <w:tc>
          <w:tcPr>
            <w:tcW w:w="28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0A54C465">
            <w:r>
              <w:rPr>
                <w:rFonts w:ascii="Arial" w:hAnsi="Arial" w:eastAsia="Arial" w:cs="Arial"/>
                <w:sz w:val="22"/>
                <w:szCs w:val="22"/>
              </w:rPr>
              <w:t>Post Goods Receipt</w:t>
            </w:r>
          </w:p>
        </w:tc>
        <w:tc>
          <w:tcPr>
            <w:tcW w:w="276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2B57ED1B">
            <w:r>
              <w:rPr>
                <w:rFonts w:ascii="Arial" w:hAnsi="Arial" w:eastAsia="Arial" w:cs="Arial"/>
                <w:sz w:val="22"/>
                <w:szCs w:val="22"/>
              </w:rPr>
              <w:t>Select 'Goods Receipt' &gt; 'Purchase Order'. Enter PO number. System pulls line items. Check quantity, storage location, movement type 101. Post document.</w:t>
            </w:r>
          </w:p>
        </w:tc>
      </w:tr>
      <w:tr w14:paraId="081D6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67B5F42">
            <w:r>
              <w:rPr>
                <w:rFonts w:ascii="Arial" w:hAnsi="Arial" w:eastAsia="Arial" w:cs="Arial"/>
                <w:b/>
                <w:bCs/>
                <w:sz w:val="22"/>
                <w:szCs w:val="22"/>
              </w:rPr>
              <w:t>2</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AA4EBB4">
            <w:r>
              <w:rPr>
                <w:rFonts w:ascii="Courier New" w:hAnsi="Courier New" w:eastAsia="Courier New" w:cs="Courier New"/>
                <w:b/>
                <w:bCs/>
                <w:color w:val="1F4E79"/>
                <w:sz w:val="22"/>
                <w:szCs w:val="22"/>
              </w:rPr>
              <w:t>MB03</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889185A">
            <w:r>
              <w:rPr>
                <w:rFonts w:ascii="Arial" w:hAnsi="Arial" w:eastAsia="Arial" w:cs="Arial"/>
                <w:sz w:val="22"/>
                <w:szCs w:val="22"/>
              </w:rPr>
              <w:t>Display Material Document</w:t>
            </w:r>
          </w:p>
        </w:tc>
        <w:tc>
          <w:tcPr>
            <w:tcW w:w="2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FEF9DCB">
            <w:r>
              <w:rPr>
                <w:rFonts w:ascii="Arial" w:hAnsi="Arial" w:eastAsia="Arial" w:cs="Arial"/>
                <w:sz w:val="22"/>
                <w:szCs w:val="22"/>
              </w:rPr>
              <w:t>View the posted GR document and accounting entries.</w:t>
            </w:r>
          </w:p>
        </w:tc>
      </w:tr>
      <w:tr w14:paraId="41720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1915871A">
            <w:r>
              <w:rPr>
                <w:rFonts w:ascii="Arial" w:hAnsi="Arial" w:eastAsia="Arial" w:cs="Arial"/>
                <w:b/>
                <w:bCs/>
                <w:sz w:val="22"/>
                <w:szCs w:val="22"/>
              </w:rPr>
              <w:t>3</w:t>
            </w:r>
          </w:p>
        </w:tc>
        <w:tc>
          <w:tcPr>
            <w:tcW w:w="28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049E8B8E">
            <w:r>
              <w:rPr>
                <w:rFonts w:ascii="Courier New" w:hAnsi="Courier New" w:eastAsia="Courier New" w:cs="Courier New"/>
                <w:b/>
                <w:bCs/>
                <w:color w:val="1F4E79"/>
                <w:sz w:val="22"/>
                <w:szCs w:val="22"/>
              </w:rPr>
              <w:t>MMBE</w:t>
            </w:r>
          </w:p>
        </w:tc>
        <w:tc>
          <w:tcPr>
            <w:tcW w:w="28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44F1976B">
            <w:r>
              <w:rPr>
                <w:rFonts w:ascii="Arial" w:hAnsi="Arial" w:eastAsia="Arial" w:cs="Arial"/>
                <w:sz w:val="22"/>
                <w:szCs w:val="22"/>
              </w:rPr>
              <w:t>Stock Overview</w:t>
            </w:r>
          </w:p>
        </w:tc>
        <w:tc>
          <w:tcPr>
            <w:tcW w:w="276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7F84AF5A">
            <w:r>
              <w:rPr>
                <w:rFonts w:ascii="Arial" w:hAnsi="Arial" w:eastAsia="Arial" w:cs="Arial"/>
                <w:sz w:val="22"/>
                <w:szCs w:val="22"/>
              </w:rPr>
              <w:t>Verify updated stock in storage location after GR.</w:t>
            </w:r>
          </w:p>
        </w:tc>
      </w:tr>
      <w:tr w14:paraId="06E75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0F0C5F9">
            <w:r>
              <w:rPr>
                <w:rFonts w:ascii="Arial" w:hAnsi="Arial" w:eastAsia="Arial" w:cs="Arial"/>
                <w:b/>
                <w:bCs/>
                <w:sz w:val="22"/>
                <w:szCs w:val="22"/>
              </w:rPr>
              <w:t>4</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C8FE398">
            <w:r>
              <w:rPr>
                <w:rFonts w:ascii="Courier New" w:hAnsi="Courier New" w:eastAsia="Courier New" w:cs="Courier New"/>
                <w:b/>
                <w:bCs/>
                <w:color w:val="1F4E79"/>
                <w:sz w:val="22"/>
                <w:szCs w:val="22"/>
              </w:rPr>
              <w:t>MB52</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318D98E">
            <w:r>
              <w:rPr>
                <w:rFonts w:ascii="Arial" w:hAnsi="Arial" w:eastAsia="Arial" w:cs="Arial"/>
                <w:sz w:val="22"/>
                <w:szCs w:val="22"/>
              </w:rPr>
              <w:t>Warehouse Stocks Report</w:t>
            </w:r>
          </w:p>
        </w:tc>
        <w:tc>
          <w:tcPr>
            <w:tcW w:w="2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CF287A3">
            <w:r>
              <w:rPr>
                <w:rFonts w:ascii="Arial" w:hAnsi="Arial" w:eastAsia="Arial" w:cs="Arial"/>
                <w:sz w:val="22"/>
                <w:szCs w:val="22"/>
              </w:rPr>
              <w:t>View unrestricted, blocked, and quality inspection stock.</w:t>
            </w:r>
          </w:p>
        </w:tc>
      </w:tr>
    </w:tbl>
    <w:p w14:paraId="030BE564">
      <w:pPr>
        <w:spacing w:before="80" w:after="80"/>
      </w:pPr>
    </w:p>
    <w:p w14:paraId="1BF07C84">
      <w:pPr>
        <w:spacing w:before="80" w:after="80"/>
        <w:jc w:val="both"/>
      </w:pPr>
      <w:r>
        <w:rPr>
          <w:rFonts w:ascii="Arial" w:hAnsi="Arial" w:eastAsia="Arial" w:cs="Arial"/>
          <w:sz w:val="24"/>
          <w:szCs w:val="24"/>
        </w:rPr>
        <w:t>Movement Type 101: GR against PO — increases unrestricted stock, debits GR/IR clearing account and inventory account.</w:t>
      </w:r>
    </w:p>
    <w:p w14:paraId="6F246280">
      <w:pPr>
        <w:spacing w:before="80" w:after="80"/>
        <w:jc w:val="both"/>
      </w:pPr>
      <w:r>
        <w:rPr>
          <w:rFonts w:ascii="Arial" w:hAnsi="Arial" w:eastAsia="Arial" w:cs="Arial"/>
          <w:sz w:val="24"/>
          <w:szCs w:val="24"/>
        </w:rPr>
        <w:t>If quality inspection is active, stock goes to QI stock (movement type 101 with QM integration).</w:t>
      </w:r>
    </w:p>
    <w:p w14:paraId="7AAD3748">
      <w:pPr>
        <w:spacing w:before="80" w:after="80"/>
      </w:pPr>
    </w:p>
    <w:p w14:paraId="77C054A3">
      <w:pPr>
        <w:pStyle w:val="3"/>
        <w:spacing w:before="240" w:after="120"/>
      </w:pPr>
      <w:r>
        <w:rPr>
          <w:rFonts w:ascii="Arial" w:hAnsi="Arial" w:eastAsia="Arial" w:cs="Arial"/>
          <w:b/>
          <w:bCs/>
          <w:color w:val="2E75B6"/>
          <w:sz w:val="28"/>
          <w:szCs w:val="28"/>
        </w:rPr>
        <w:t>5.7 Invoice Verification (Logistics Invoice Verification — LIV)</w:t>
      </w:r>
    </w:p>
    <w:p w14:paraId="378E78CB">
      <w:pPr>
        <w:spacing w:before="80" w:after="80"/>
        <w:jc w:val="both"/>
      </w:pPr>
      <w:r>
        <w:rPr>
          <w:rFonts w:ascii="Arial" w:hAnsi="Arial" w:eastAsia="Arial" w:cs="Arial"/>
          <w:sz w:val="24"/>
          <w:szCs w:val="24"/>
        </w:rPr>
        <w:t>Invoice Verification matches the vendor invoice with the Purchase Order and Goods Receipt (three-way match) to ensure accuracy before payment.</w:t>
      </w:r>
    </w:p>
    <w:p w14:paraId="629C1F2D">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800"/>
        <w:gridCol w:w="2800"/>
        <w:gridCol w:w="2760"/>
      </w:tblGrid>
      <w:tr w14:paraId="74289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1593F350">
            <w:r>
              <w:rPr>
                <w:rFonts w:ascii="Arial" w:hAnsi="Arial" w:eastAsia="Arial" w:cs="Arial"/>
                <w:b/>
                <w:bCs/>
                <w:color w:val="FFFFFF"/>
                <w:sz w:val="24"/>
                <w:szCs w:val="24"/>
              </w:rPr>
              <w:t>Step</w:t>
            </w:r>
          </w:p>
        </w:tc>
        <w:tc>
          <w:tcPr>
            <w:tcW w:w="28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159FF4EE">
            <w:r>
              <w:rPr>
                <w:rFonts w:ascii="Arial" w:hAnsi="Arial" w:eastAsia="Arial" w:cs="Arial"/>
                <w:b/>
                <w:bCs/>
                <w:color w:val="FFFFFF"/>
                <w:sz w:val="24"/>
                <w:szCs w:val="24"/>
              </w:rPr>
              <w:t>Transaction Code</w:t>
            </w:r>
          </w:p>
        </w:tc>
        <w:tc>
          <w:tcPr>
            <w:tcW w:w="28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1CA7B116">
            <w:r>
              <w:rPr>
                <w:rFonts w:ascii="Arial" w:hAnsi="Arial" w:eastAsia="Arial" w:cs="Arial"/>
                <w:b/>
                <w:bCs/>
                <w:color w:val="FFFFFF"/>
                <w:sz w:val="24"/>
                <w:szCs w:val="24"/>
              </w:rPr>
              <w:t>Activity</w:t>
            </w:r>
          </w:p>
        </w:tc>
        <w:tc>
          <w:tcPr>
            <w:tcW w:w="276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47EFACAD">
            <w:r>
              <w:rPr>
                <w:rFonts w:ascii="Arial" w:hAnsi="Arial" w:eastAsia="Arial" w:cs="Arial"/>
                <w:b/>
                <w:bCs/>
                <w:color w:val="FFFFFF"/>
                <w:sz w:val="24"/>
                <w:szCs w:val="24"/>
              </w:rPr>
              <w:t>Description</w:t>
            </w:r>
          </w:p>
        </w:tc>
      </w:tr>
      <w:tr w14:paraId="76121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35717192">
            <w:r>
              <w:rPr>
                <w:rFonts w:ascii="Arial" w:hAnsi="Arial" w:eastAsia="Arial" w:cs="Arial"/>
                <w:b/>
                <w:bCs/>
                <w:sz w:val="22"/>
                <w:szCs w:val="22"/>
              </w:rPr>
              <w:t>1</w:t>
            </w:r>
          </w:p>
        </w:tc>
        <w:tc>
          <w:tcPr>
            <w:tcW w:w="28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4EC2D3D2">
            <w:r>
              <w:rPr>
                <w:rFonts w:ascii="Courier New" w:hAnsi="Courier New" w:eastAsia="Courier New" w:cs="Courier New"/>
                <w:b/>
                <w:bCs/>
                <w:color w:val="1F4E79"/>
                <w:sz w:val="22"/>
                <w:szCs w:val="22"/>
              </w:rPr>
              <w:t>MIRO</w:t>
            </w:r>
          </w:p>
        </w:tc>
        <w:tc>
          <w:tcPr>
            <w:tcW w:w="28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7AE2854A">
            <w:r>
              <w:rPr>
                <w:rFonts w:ascii="Arial" w:hAnsi="Arial" w:eastAsia="Arial" w:cs="Arial"/>
                <w:sz w:val="22"/>
                <w:szCs w:val="22"/>
              </w:rPr>
              <w:t>Enter Vendor Invoice</w:t>
            </w:r>
          </w:p>
        </w:tc>
        <w:tc>
          <w:tcPr>
            <w:tcW w:w="276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6ACDC694">
            <w:r>
              <w:rPr>
                <w:rFonts w:ascii="Arial" w:hAnsi="Arial" w:eastAsia="Arial" w:cs="Arial"/>
                <w:sz w:val="22"/>
                <w:szCs w:val="22"/>
              </w:rPr>
              <w:t>Select 'Invoice'. Enter invoice date, company code, currency. Enter PO reference. System proposes quantity and amount from GR. Verify and post.</w:t>
            </w:r>
          </w:p>
        </w:tc>
      </w:tr>
      <w:tr w14:paraId="0A46B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4F10CB5">
            <w:r>
              <w:rPr>
                <w:rFonts w:ascii="Arial" w:hAnsi="Arial" w:eastAsia="Arial" w:cs="Arial"/>
                <w:b/>
                <w:bCs/>
                <w:sz w:val="22"/>
                <w:szCs w:val="22"/>
              </w:rPr>
              <w:t>2</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4765871">
            <w:r>
              <w:rPr>
                <w:rFonts w:ascii="Courier New" w:hAnsi="Courier New" w:eastAsia="Courier New" w:cs="Courier New"/>
                <w:b/>
                <w:bCs/>
                <w:color w:val="1F4E79"/>
                <w:sz w:val="22"/>
                <w:szCs w:val="22"/>
              </w:rPr>
              <w:t>MIR4</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80DBC2F">
            <w:r>
              <w:rPr>
                <w:rFonts w:ascii="Arial" w:hAnsi="Arial" w:eastAsia="Arial" w:cs="Arial"/>
                <w:sz w:val="22"/>
                <w:szCs w:val="22"/>
              </w:rPr>
              <w:t>Display Invoice Document</w:t>
            </w:r>
          </w:p>
        </w:tc>
        <w:tc>
          <w:tcPr>
            <w:tcW w:w="2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FCE08F3">
            <w:r>
              <w:rPr>
                <w:rFonts w:ascii="Arial" w:hAnsi="Arial" w:eastAsia="Arial" w:cs="Arial"/>
                <w:sz w:val="22"/>
                <w:szCs w:val="22"/>
              </w:rPr>
              <w:t>View posted invoice and its accounting entries.</w:t>
            </w:r>
          </w:p>
        </w:tc>
      </w:tr>
      <w:tr w14:paraId="41793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1A49EEA7">
            <w:r>
              <w:rPr>
                <w:rFonts w:ascii="Arial" w:hAnsi="Arial" w:eastAsia="Arial" w:cs="Arial"/>
                <w:b/>
                <w:bCs/>
                <w:sz w:val="22"/>
                <w:szCs w:val="22"/>
              </w:rPr>
              <w:t>3</w:t>
            </w:r>
          </w:p>
        </w:tc>
        <w:tc>
          <w:tcPr>
            <w:tcW w:w="28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32552141">
            <w:r>
              <w:rPr>
                <w:rFonts w:ascii="Courier New" w:hAnsi="Courier New" w:eastAsia="Courier New" w:cs="Courier New"/>
                <w:b/>
                <w:bCs/>
                <w:color w:val="1F4E79"/>
                <w:sz w:val="22"/>
                <w:szCs w:val="22"/>
              </w:rPr>
              <w:t>MIR7</w:t>
            </w:r>
          </w:p>
        </w:tc>
        <w:tc>
          <w:tcPr>
            <w:tcW w:w="28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201BEE8F">
            <w:r>
              <w:rPr>
                <w:rFonts w:ascii="Arial" w:hAnsi="Arial" w:eastAsia="Arial" w:cs="Arial"/>
                <w:sz w:val="22"/>
                <w:szCs w:val="22"/>
              </w:rPr>
              <w:t>Park Invoice</w:t>
            </w:r>
          </w:p>
        </w:tc>
        <w:tc>
          <w:tcPr>
            <w:tcW w:w="276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35D0A970">
            <w:r>
              <w:rPr>
                <w:rFonts w:ascii="Arial" w:hAnsi="Arial" w:eastAsia="Arial" w:cs="Arial"/>
                <w:sz w:val="22"/>
                <w:szCs w:val="22"/>
              </w:rPr>
              <w:t>Save invoice without posting (for review/approval).</w:t>
            </w:r>
          </w:p>
        </w:tc>
      </w:tr>
      <w:tr w14:paraId="5234E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97D934C">
            <w:r>
              <w:rPr>
                <w:rFonts w:ascii="Arial" w:hAnsi="Arial" w:eastAsia="Arial" w:cs="Arial"/>
                <w:b/>
                <w:bCs/>
                <w:sz w:val="22"/>
                <w:szCs w:val="22"/>
              </w:rPr>
              <w:t>4</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843EA37">
            <w:r>
              <w:rPr>
                <w:rFonts w:ascii="Courier New" w:hAnsi="Courier New" w:eastAsia="Courier New" w:cs="Courier New"/>
                <w:b/>
                <w:bCs/>
                <w:color w:val="1F4E79"/>
                <w:sz w:val="22"/>
                <w:szCs w:val="22"/>
              </w:rPr>
              <w:t>MRBR</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B4D69E9">
            <w:r>
              <w:rPr>
                <w:rFonts w:ascii="Arial" w:hAnsi="Arial" w:eastAsia="Arial" w:cs="Arial"/>
                <w:sz w:val="22"/>
                <w:szCs w:val="22"/>
              </w:rPr>
              <w:t>Release Blocked Invoices</w:t>
            </w:r>
          </w:p>
        </w:tc>
        <w:tc>
          <w:tcPr>
            <w:tcW w:w="2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231FDB5">
            <w:r>
              <w:rPr>
                <w:rFonts w:ascii="Arial" w:hAnsi="Arial" w:eastAsia="Arial" w:cs="Arial"/>
                <w:sz w:val="22"/>
                <w:szCs w:val="22"/>
              </w:rPr>
              <w:t>Release invoices blocked due to price/quantity variances.</w:t>
            </w:r>
          </w:p>
        </w:tc>
      </w:tr>
    </w:tbl>
    <w:p w14:paraId="73627E79">
      <w:pPr>
        <w:spacing w:before="80" w:after="80"/>
      </w:pPr>
    </w:p>
    <w:p w14:paraId="600CBC0F">
      <w:pPr>
        <w:spacing w:before="80" w:after="80"/>
        <w:jc w:val="both"/>
      </w:pPr>
      <w:r>
        <w:rPr>
          <w:rFonts w:ascii="Arial" w:hAnsi="Arial" w:eastAsia="Arial" w:cs="Arial"/>
          <w:sz w:val="24"/>
          <w:szCs w:val="24"/>
        </w:rPr>
        <w:t>Three-Way Match: Purchase Order (quantity/price) + Goods Receipt (quantity received) + Invoice (vendor's billed amount). Any discrepancy beyond tolerance triggers an automatic block.</w:t>
      </w:r>
    </w:p>
    <w:p w14:paraId="69E1A42E">
      <w:pPr>
        <w:spacing w:before="80" w:after="80"/>
        <w:jc w:val="both"/>
      </w:pPr>
      <w:r>
        <w:rPr>
          <w:rFonts w:ascii="Arial" w:hAnsi="Arial" w:eastAsia="Arial" w:cs="Arial"/>
          <w:sz w:val="24"/>
          <w:szCs w:val="24"/>
        </w:rPr>
        <w:t>Accounting entries on MIRO: Dr Vendor (GR/IR Clearing), Cr Vendor Payable (AP).</w:t>
      </w:r>
    </w:p>
    <w:p w14:paraId="5F0C284B">
      <w:pPr>
        <w:spacing w:before="80" w:after="80"/>
      </w:pPr>
    </w:p>
    <w:p w14:paraId="77B91483">
      <w:pPr>
        <w:pStyle w:val="3"/>
        <w:spacing w:before="240" w:after="120"/>
      </w:pPr>
      <w:r>
        <w:rPr>
          <w:rFonts w:ascii="Arial" w:hAnsi="Arial" w:eastAsia="Arial" w:cs="Arial"/>
          <w:b/>
          <w:bCs/>
          <w:color w:val="2E75B6"/>
          <w:sz w:val="28"/>
          <w:szCs w:val="28"/>
        </w:rPr>
        <w:t>5.8 Payment Processing</w:t>
      </w:r>
    </w:p>
    <w:p w14:paraId="39E6D754">
      <w:pPr>
        <w:spacing w:before="80" w:after="80"/>
        <w:jc w:val="both"/>
      </w:pPr>
      <w:r>
        <w:rPr>
          <w:rFonts w:ascii="Arial" w:hAnsi="Arial" w:eastAsia="Arial" w:cs="Arial"/>
          <w:sz w:val="24"/>
          <w:szCs w:val="24"/>
        </w:rPr>
        <w:t>Payment is made to the vendor through SAP FI (Accounts Payable). This completes the P2P cycle.</w:t>
      </w:r>
    </w:p>
    <w:p w14:paraId="6FC4C18D">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800"/>
        <w:gridCol w:w="2800"/>
        <w:gridCol w:w="2760"/>
      </w:tblGrid>
      <w:tr w14:paraId="1BF9F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6418B2A5">
            <w:r>
              <w:rPr>
                <w:rFonts w:ascii="Arial" w:hAnsi="Arial" w:eastAsia="Arial" w:cs="Arial"/>
                <w:b/>
                <w:bCs/>
                <w:color w:val="FFFFFF"/>
                <w:sz w:val="24"/>
                <w:szCs w:val="24"/>
              </w:rPr>
              <w:t>Step</w:t>
            </w:r>
          </w:p>
        </w:tc>
        <w:tc>
          <w:tcPr>
            <w:tcW w:w="28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62EA25F8">
            <w:r>
              <w:rPr>
                <w:rFonts w:ascii="Arial" w:hAnsi="Arial" w:eastAsia="Arial" w:cs="Arial"/>
                <w:b/>
                <w:bCs/>
                <w:color w:val="FFFFFF"/>
                <w:sz w:val="24"/>
                <w:szCs w:val="24"/>
              </w:rPr>
              <w:t>Transaction Code</w:t>
            </w:r>
          </w:p>
        </w:tc>
        <w:tc>
          <w:tcPr>
            <w:tcW w:w="28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49876AD4">
            <w:r>
              <w:rPr>
                <w:rFonts w:ascii="Arial" w:hAnsi="Arial" w:eastAsia="Arial" w:cs="Arial"/>
                <w:b/>
                <w:bCs/>
                <w:color w:val="FFFFFF"/>
                <w:sz w:val="24"/>
                <w:szCs w:val="24"/>
              </w:rPr>
              <w:t>Activity</w:t>
            </w:r>
          </w:p>
        </w:tc>
        <w:tc>
          <w:tcPr>
            <w:tcW w:w="276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100254B7">
            <w:r>
              <w:rPr>
                <w:rFonts w:ascii="Arial" w:hAnsi="Arial" w:eastAsia="Arial" w:cs="Arial"/>
                <w:b/>
                <w:bCs/>
                <w:color w:val="FFFFFF"/>
                <w:sz w:val="24"/>
                <w:szCs w:val="24"/>
              </w:rPr>
              <w:t>Description</w:t>
            </w:r>
          </w:p>
        </w:tc>
      </w:tr>
      <w:tr w14:paraId="40751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28C7314A">
            <w:r>
              <w:rPr>
                <w:rFonts w:ascii="Arial" w:hAnsi="Arial" w:eastAsia="Arial" w:cs="Arial"/>
                <w:b/>
                <w:bCs/>
                <w:sz w:val="22"/>
                <w:szCs w:val="22"/>
              </w:rPr>
              <w:t>1</w:t>
            </w:r>
          </w:p>
        </w:tc>
        <w:tc>
          <w:tcPr>
            <w:tcW w:w="28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6C09CAC3">
            <w:r>
              <w:rPr>
                <w:rFonts w:ascii="Courier New" w:hAnsi="Courier New" w:eastAsia="Courier New" w:cs="Courier New"/>
                <w:b/>
                <w:bCs/>
                <w:color w:val="1F4E79"/>
                <w:sz w:val="22"/>
                <w:szCs w:val="22"/>
              </w:rPr>
              <w:t>F-53</w:t>
            </w:r>
          </w:p>
        </w:tc>
        <w:tc>
          <w:tcPr>
            <w:tcW w:w="28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14241EA8">
            <w:r>
              <w:rPr>
                <w:rFonts w:ascii="Arial" w:hAnsi="Arial" w:eastAsia="Arial" w:cs="Arial"/>
                <w:sz w:val="22"/>
                <w:szCs w:val="22"/>
              </w:rPr>
              <w:t>Manual Outgoing Payment</w:t>
            </w:r>
          </w:p>
        </w:tc>
        <w:tc>
          <w:tcPr>
            <w:tcW w:w="276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51785636">
            <w:r>
              <w:rPr>
                <w:rFonts w:ascii="Arial" w:hAnsi="Arial" w:eastAsia="Arial" w:cs="Arial"/>
                <w:sz w:val="22"/>
                <w:szCs w:val="22"/>
              </w:rPr>
              <w:t>Enter company code, payment date, bank account, vendor, amount. Clear open items.</w:t>
            </w:r>
          </w:p>
        </w:tc>
      </w:tr>
      <w:tr w14:paraId="4E505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9AFC195">
            <w:r>
              <w:rPr>
                <w:rFonts w:ascii="Arial" w:hAnsi="Arial" w:eastAsia="Arial" w:cs="Arial"/>
                <w:b/>
                <w:bCs/>
                <w:sz w:val="22"/>
                <w:szCs w:val="22"/>
              </w:rPr>
              <w:t>2</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5AAEA28">
            <w:r>
              <w:rPr>
                <w:rFonts w:ascii="Courier New" w:hAnsi="Courier New" w:eastAsia="Courier New" w:cs="Courier New"/>
                <w:b/>
                <w:bCs/>
                <w:color w:val="1F4E79"/>
                <w:sz w:val="22"/>
                <w:szCs w:val="22"/>
              </w:rPr>
              <w:t>F110</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6032B99">
            <w:r>
              <w:rPr>
                <w:rFonts w:ascii="Arial" w:hAnsi="Arial" w:eastAsia="Arial" w:cs="Arial"/>
                <w:sz w:val="22"/>
                <w:szCs w:val="22"/>
              </w:rPr>
              <w:t>Automatic Payment Run</w:t>
            </w:r>
          </w:p>
        </w:tc>
        <w:tc>
          <w:tcPr>
            <w:tcW w:w="2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980C5C5">
            <w:r>
              <w:rPr>
                <w:rFonts w:ascii="Arial" w:hAnsi="Arial" w:eastAsia="Arial" w:cs="Arial"/>
                <w:sz w:val="22"/>
                <w:szCs w:val="22"/>
              </w:rPr>
              <w:t>Configure payment parameters (paying company, payment methods, next payment date). Run payment proposal, review exceptions, execute payment.</w:t>
            </w:r>
          </w:p>
        </w:tc>
      </w:tr>
      <w:tr w14:paraId="76F9A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4F9355A5">
            <w:r>
              <w:rPr>
                <w:rFonts w:ascii="Arial" w:hAnsi="Arial" w:eastAsia="Arial" w:cs="Arial"/>
                <w:b/>
                <w:bCs/>
                <w:sz w:val="22"/>
                <w:szCs w:val="22"/>
              </w:rPr>
              <w:t>3</w:t>
            </w:r>
          </w:p>
        </w:tc>
        <w:tc>
          <w:tcPr>
            <w:tcW w:w="28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53472766">
            <w:r>
              <w:rPr>
                <w:rFonts w:ascii="Courier New" w:hAnsi="Courier New" w:eastAsia="Courier New" w:cs="Courier New"/>
                <w:b/>
                <w:bCs/>
                <w:color w:val="1F4E79"/>
                <w:sz w:val="22"/>
                <w:szCs w:val="22"/>
              </w:rPr>
              <w:t>FBL1N</w:t>
            </w:r>
          </w:p>
        </w:tc>
        <w:tc>
          <w:tcPr>
            <w:tcW w:w="28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0D1420CA">
            <w:r>
              <w:rPr>
                <w:rFonts w:ascii="Arial" w:hAnsi="Arial" w:eastAsia="Arial" w:cs="Arial"/>
                <w:sz w:val="22"/>
                <w:szCs w:val="22"/>
              </w:rPr>
              <w:t>Vendor Line Items Report</w:t>
            </w:r>
          </w:p>
        </w:tc>
        <w:tc>
          <w:tcPr>
            <w:tcW w:w="276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0F296B25">
            <w:r>
              <w:rPr>
                <w:rFonts w:ascii="Arial" w:hAnsi="Arial" w:eastAsia="Arial" w:cs="Arial"/>
                <w:sz w:val="22"/>
                <w:szCs w:val="22"/>
              </w:rPr>
              <w:t>Verify all open and cleared items for the vendor.</w:t>
            </w:r>
          </w:p>
        </w:tc>
      </w:tr>
      <w:tr w14:paraId="7CAA1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D222608">
            <w:r>
              <w:rPr>
                <w:rFonts w:ascii="Arial" w:hAnsi="Arial" w:eastAsia="Arial" w:cs="Arial"/>
                <w:b/>
                <w:bCs/>
                <w:sz w:val="22"/>
                <w:szCs w:val="22"/>
              </w:rPr>
              <w:t>4</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E6C3B1F">
            <w:r>
              <w:rPr>
                <w:rFonts w:ascii="Courier New" w:hAnsi="Courier New" w:eastAsia="Courier New" w:cs="Courier New"/>
                <w:b/>
                <w:bCs/>
                <w:color w:val="1F4E79"/>
                <w:sz w:val="22"/>
                <w:szCs w:val="22"/>
              </w:rPr>
              <w:t>FK10N</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7886DBC">
            <w:r>
              <w:rPr>
                <w:rFonts w:ascii="Arial" w:hAnsi="Arial" w:eastAsia="Arial" w:cs="Arial"/>
                <w:sz w:val="22"/>
                <w:szCs w:val="22"/>
              </w:rPr>
              <w:t>Vendor Balance Display</w:t>
            </w:r>
          </w:p>
        </w:tc>
        <w:tc>
          <w:tcPr>
            <w:tcW w:w="2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E86EF4F">
            <w:r>
              <w:rPr>
                <w:rFonts w:ascii="Arial" w:hAnsi="Arial" w:eastAsia="Arial" w:cs="Arial"/>
                <w:sz w:val="22"/>
                <w:szCs w:val="22"/>
              </w:rPr>
              <w:t>View vendor account balance and transaction summary.</w:t>
            </w:r>
          </w:p>
        </w:tc>
      </w:tr>
    </w:tbl>
    <w:p w14:paraId="35F84166">
      <w:pPr>
        <w:spacing w:before="80" w:after="80"/>
      </w:pPr>
    </w:p>
    <w:p w14:paraId="531F58C4">
      <w:pPr>
        <w:pStyle w:val="2"/>
        <w:spacing w:before="320" w:after="160"/>
      </w:pPr>
      <w:r>
        <w:rPr>
          <w:rFonts w:ascii="Arial" w:hAnsi="Arial" w:eastAsia="Arial" w:cs="Arial"/>
          <w:b/>
          <w:bCs/>
          <w:color w:val="1F4E79"/>
          <w:sz w:val="30"/>
          <w:szCs w:val="30"/>
        </w:rPr>
        <w:t>6. P2P Document Flow Summary</w:t>
      </w:r>
    </w:p>
    <w:p w14:paraId="32F11AC6">
      <w:pPr>
        <w:spacing w:before="80" w:after="80"/>
        <w:jc w:val="both"/>
      </w:pPr>
      <w:r>
        <w:rPr>
          <w:rFonts w:ascii="Arial" w:hAnsi="Arial" w:eastAsia="Arial" w:cs="Arial"/>
          <w:sz w:val="24"/>
          <w:szCs w:val="24"/>
        </w:rPr>
        <w:t>The following table shows the complete document flow from requirement identification to payment:</w:t>
      </w:r>
    </w:p>
    <w:p w14:paraId="5C0C8247">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500"/>
        <w:gridCol w:w="2000"/>
        <w:gridCol w:w="2000"/>
        <w:gridCol w:w="2360"/>
      </w:tblGrid>
      <w:tr w14:paraId="46E4F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00" w:type="dxa"/>
              <w:bottom w:w="80" w:type="dxa"/>
              <w:right w:w="100" w:type="dxa"/>
            </w:tcMar>
          </w:tcPr>
          <w:p w14:paraId="20F49851">
            <w:r>
              <w:rPr>
                <w:rFonts w:ascii="Arial" w:hAnsi="Arial" w:eastAsia="Arial" w:cs="Arial"/>
                <w:b/>
                <w:bCs/>
                <w:color w:val="FFFFFF"/>
                <w:sz w:val="22"/>
                <w:szCs w:val="22"/>
              </w:rPr>
              <w:t>#</w:t>
            </w:r>
          </w:p>
        </w:tc>
        <w:tc>
          <w:tcPr>
            <w:tcW w:w="25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0733BA11">
            <w:r>
              <w:rPr>
                <w:rFonts w:ascii="Arial" w:hAnsi="Arial" w:eastAsia="Arial" w:cs="Arial"/>
                <w:b/>
                <w:bCs/>
                <w:color w:val="FFFFFF"/>
                <w:sz w:val="22"/>
                <w:szCs w:val="22"/>
              </w:rPr>
              <w:t>Document</w:t>
            </w:r>
          </w:p>
        </w:tc>
        <w:tc>
          <w:tcPr>
            <w:tcW w:w="20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6F6DFDC5">
            <w:r>
              <w:rPr>
                <w:rFonts w:ascii="Arial" w:hAnsi="Arial" w:eastAsia="Arial" w:cs="Arial"/>
                <w:b/>
                <w:bCs/>
                <w:color w:val="FFFFFF"/>
                <w:sz w:val="22"/>
                <w:szCs w:val="22"/>
              </w:rPr>
              <w:t>T-Code</w:t>
            </w:r>
          </w:p>
        </w:tc>
        <w:tc>
          <w:tcPr>
            <w:tcW w:w="20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0E7B86C6">
            <w:r>
              <w:rPr>
                <w:rFonts w:ascii="Arial" w:hAnsi="Arial" w:eastAsia="Arial" w:cs="Arial"/>
                <w:b/>
                <w:bCs/>
                <w:color w:val="FFFFFF"/>
                <w:sz w:val="22"/>
                <w:szCs w:val="22"/>
              </w:rPr>
              <w:t>Module</w:t>
            </w:r>
          </w:p>
        </w:tc>
        <w:tc>
          <w:tcPr>
            <w:tcW w:w="236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76832AE8">
            <w:r>
              <w:rPr>
                <w:rFonts w:ascii="Arial" w:hAnsi="Arial" w:eastAsia="Arial" w:cs="Arial"/>
                <w:b/>
                <w:bCs/>
                <w:color w:val="FFFFFF"/>
                <w:sz w:val="22"/>
                <w:szCs w:val="22"/>
              </w:rPr>
              <w:t>Output / Result</w:t>
            </w:r>
          </w:p>
        </w:tc>
      </w:tr>
      <w:tr w14:paraId="58ED2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00" w:type="dxa"/>
              <w:bottom w:w="80" w:type="dxa"/>
              <w:right w:w="100" w:type="dxa"/>
            </w:tcMar>
          </w:tcPr>
          <w:p w14:paraId="73F58D03">
            <w:r>
              <w:rPr>
                <w:rFonts w:ascii="Arial" w:hAnsi="Arial" w:eastAsia="Arial" w:cs="Arial"/>
                <w:sz w:val="22"/>
                <w:szCs w:val="22"/>
              </w:rPr>
              <w:t>1</w:t>
            </w:r>
          </w:p>
        </w:tc>
        <w:tc>
          <w:tcPr>
            <w:tcW w:w="25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6791B575">
            <w:r>
              <w:rPr>
                <w:rFonts w:ascii="Arial" w:hAnsi="Arial" w:eastAsia="Arial" w:cs="Arial"/>
                <w:b/>
                <w:bCs/>
                <w:sz w:val="22"/>
                <w:szCs w:val="22"/>
              </w:rPr>
              <w:t>Purchase Requisition (PR)</w:t>
            </w:r>
          </w:p>
        </w:tc>
        <w:tc>
          <w:tcPr>
            <w:tcW w:w="20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1A529D17">
            <w:r>
              <w:rPr>
                <w:rFonts w:ascii="Courier New" w:hAnsi="Courier New" w:eastAsia="Courier New" w:cs="Courier New"/>
                <w:b/>
                <w:bCs/>
                <w:color w:val="1F4E79"/>
                <w:sz w:val="22"/>
                <w:szCs w:val="22"/>
              </w:rPr>
              <w:t>ME51N</w:t>
            </w:r>
          </w:p>
        </w:tc>
        <w:tc>
          <w:tcPr>
            <w:tcW w:w="20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63D18E03">
            <w:r>
              <w:rPr>
                <w:rFonts w:ascii="Arial" w:hAnsi="Arial" w:eastAsia="Arial" w:cs="Arial"/>
                <w:sz w:val="22"/>
                <w:szCs w:val="22"/>
              </w:rPr>
              <w:t>SAP MM</w:t>
            </w:r>
          </w:p>
        </w:tc>
        <w:tc>
          <w:tcPr>
            <w:tcW w:w="236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3CB9F496">
            <w:r>
              <w:rPr>
                <w:rFonts w:ascii="Arial" w:hAnsi="Arial" w:eastAsia="Arial" w:cs="Arial"/>
                <w:sz w:val="22"/>
                <w:szCs w:val="22"/>
              </w:rPr>
              <w:t>Internal approval document</w:t>
            </w:r>
          </w:p>
        </w:tc>
      </w:tr>
      <w:tr w14:paraId="5FF02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00" w:type="dxa"/>
              <w:bottom w:w="80" w:type="dxa"/>
              <w:right w:w="100" w:type="dxa"/>
            </w:tcMar>
          </w:tcPr>
          <w:p w14:paraId="6839E3D1">
            <w:r>
              <w:rPr>
                <w:rFonts w:ascii="Arial" w:hAnsi="Arial" w:eastAsia="Arial" w:cs="Arial"/>
                <w:sz w:val="22"/>
                <w:szCs w:val="22"/>
              </w:rPr>
              <w:t>2</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2FCFAAD">
            <w:r>
              <w:rPr>
                <w:rFonts w:ascii="Arial" w:hAnsi="Arial" w:eastAsia="Arial" w:cs="Arial"/>
                <w:b/>
                <w:bCs/>
                <w:sz w:val="22"/>
                <w:szCs w:val="22"/>
              </w:rPr>
              <w:t>Request for Quotation (RFQ)</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69D5653">
            <w:r>
              <w:rPr>
                <w:rFonts w:ascii="Courier New" w:hAnsi="Courier New" w:eastAsia="Courier New" w:cs="Courier New"/>
                <w:b/>
                <w:bCs/>
                <w:color w:val="1F4E79"/>
                <w:sz w:val="22"/>
                <w:szCs w:val="22"/>
              </w:rPr>
              <w:t>ME41</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F297696">
            <w:r>
              <w:rPr>
                <w:rFonts w:ascii="Arial" w:hAnsi="Arial" w:eastAsia="Arial" w:cs="Arial"/>
                <w:sz w:val="22"/>
                <w:szCs w:val="22"/>
              </w:rPr>
              <w:t>SAP MM</w:t>
            </w:r>
          </w:p>
        </w:tc>
        <w:tc>
          <w:tcPr>
            <w:tcW w:w="2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033F30E">
            <w:r>
              <w:rPr>
                <w:rFonts w:ascii="Arial" w:hAnsi="Arial" w:eastAsia="Arial" w:cs="Arial"/>
                <w:sz w:val="22"/>
                <w:szCs w:val="22"/>
              </w:rPr>
              <w:t>Sent to vendors for pricing</w:t>
            </w:r>
          </w:p>
        </w:tc>
      </w:tr>
      <w:tr w14:paraId="72EB4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00" w:type="dxa"/>
              <w:bottom w:w="80" w:type="dxa"/>
              <w:right w:w="100" w:type="dxa"/>
            </w:tcMar>
          </w:tcPr>
          <w:p w14:paraId="11E3BBC7">
            <w:r>
              <w:rPr>
                <w:rFonts w:ascii="Arial" w:hAnsi="Arial" w:eastAsia="Arial" w:cs="Arial"/>
                <w:sz w:val="22"/>
                <w:szCs w:val="22"/>
              </w:rPr>
              <w:t>3</w:t>
            </w:r>
          </w:p>
        </w:tc>
        <w:tc>
          <w:tcPr>
            <w:tcW w:w="25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11AEB95F">
            <w:r>
              <w:rPr>
                <w:rFonts w:ascii="Arial" w:hAnsi="Arial" w:eastAsia="Arial" w:cs="Arial"/>
                <w:b/>
                <w:bCs/>
                <w:sz w:val="22"/>
                <w:szCs w:val="22"/>
              </w:rPr>
              <w:t>Quotation / Price Comparison</w:t>
            </w:r>
          </w:p>
        </w:tc>
        <w:tc>
          <w:tcPr>
            <w:tcW w:w="20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65AE7D24">
            <w:r>
              <w:rPr>
                <w:rFonts w:ascii="Courier New" w:hAnsi="Courier New" w:eastAsia="Courier New" w:cs="Courier New"/>
                <w:b/>
                <w:bCs/>
                <w:color w:val="1F4E79"/>
                <w:sz w:val="22"/>
                <w:szCs w:val="22"/>
              </w:rPr>
              <w:t>ME47 / ME49</w:t>
            </w:r>
          </w:p>
        </w:tc>
        <w:tc>
          <w:tcPr>
            <w:tcW w:w="20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18FBDA2E">
            <w:r>
              <w:rPr>
                <w:rFonts w:ascii="Arial" w:hAnsi="Arial" w:eastAsia="Arial" w:cs="Arial"/>
                <w:sz w:val="22"/>
                <w:szCs w:val="22"/>
              </w:rPr>
              <w:t>SAP MM</w:t>
            </w:r>
          </w:p>
        </w:tc>
        <w:tc>
          <w:tcPr>
            <w:tcW w:w="236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124F7A94">
            <w:r>
              <w:rPr>
                <w:rFonts w:ascii="Arial" w:hAnsi="Arial" w:eastAsia="Arial" w:cs="Arial"/>
                <w:sz w:val="22"/>
                <w:szCs w:val="22"/>
              </w:rPr>
              <w:t>Best vendor selected</w:t>
            </w:r>
          </w:p>
        </w:tc>
      </w:tr>
      <w:tr w14:paraId="68438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00" w:type="dxa"/>
              <w:bottom w:w="80" w:type="dxa"/>
              <w:right w:w="100" w:type="dxa"/>
            </w:tcMar>
          </w:tcPr>
          <w:p w14:paraId="141D930C">
            <w:r>
              <w:rPr>
                <w:rFonts w:ascii="Arial" w:hAnsi="Arial" w:eastAsia="Arial" w:cs="Arial"/>
                <w:sz w:val="22"/>
                <w:szCs w:val="22"/>
              </w:rPr>
              <w:t>4</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ADBBCFC">
            <w:r>
              <w:rPr>
                <w:rFonts w:ascii="Arial" w:hAnsi="Arial" w:eastAsia="Arial" w:cs="Arial"/>
                <w:b/>
                <w:bCs/>
                <w:sz w:val="22"/>
                <w:szCs w:val="22"/>
              </w:rPr>
              <w:t>Purchase Order (PO)</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9A9DE22">
            <w:r>
              <w:rPr>
                <w:rFonts w:ascii="Courier New" w:hAnsi="Courier New" w:eastAsia="Courier New" w:cs="Courier New"/>
                <w:b/>
                <w:bCs/>
                <w:color w:val="1F4E79"/>
                <w:sz w:val="22"/>
                <w:szCs w:val="22"/>
              </w:rPr>
              <w:t>ME21N</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30C3A77">
            <w:r>
              <w:rPr>
                <w:rFonts w:ascii="Arial" w:hAnsi="Arial" w:eastAsia="Arial" w:cs="Arial"/>
                <w:sz w:val="22"/>
                <w:szCs w:val="22"/>
              </w:rPr>
              <w:t>SAP MM</w:t>
            </w:r>
          </w:p>
        </w:tc>
        <w:tc>
          <w:tcPr>
            <w:tcW w:w="2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B0FDC2C">
            <w:r>
              <w:rPr>
                <w:rFonts w:ascii="Arial" w:hAnsi="Arial" w:eastAsia="Arial" w:cs="Arial"/>
                <w:sz w:val="22"/>
                <w:szCs w:val="22"/>
              </w:rPr>
              <w:t>Legal binding document to vendor</w:t>
            </w:r>
          </w:p>
        </w:tc>
      </w:tr>
      <w:tr w14:paraId="3A03B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00" w:type="dxa"/>
              <w:bottom w:w="80" w:type="dxa"/>
              <w:right w:w="100" w:type="dxa"/>
            </w:tcMar>
          </w:tcPr>
          <w:p w14:paraId="0C877F83">
            <w:r>
              <w:rPr>
                <w:rFonts w:ascii="Arial" w:hAnsi="Arial" w:eastAsia="Arial" w:cs="Arial"/>
                <w:sz w:val="22"/>
                <w:szCs w:val="22"/>
              </w:rPr>
              <w:t>5</w:t>
            </w:r>
          </w:p>
        </w:tc>
        <w:tc>
          <w:tcPr>
            <w:tcW w:w="25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524DF278">
            <w:r>
              <w:rPr>
                <w:rFonts w:ascii="Arial" w:hAnsi="Arial" w:eastAsia="Arial" w:cs="Arial"/>
                <w:b/>
                <w:bCs/>
                <w:sz w:val="22"/>
                <w:szCs w:val="22"/>
              </w:rPr>
              <w:t>Goods Receipt (GR)</w:t>
            </w:r>
          </w:p>
        </w:tc>
        <w:tc>
          <w:tcPr>
            <w:tcW w:w="20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1BAABF2D">
            <w:r>
              <w:rPr>
                <w:rFonts w:ascii="Courier New" w:hAnsi="Courier New" w:eastAsia="Courier New" w:cs="Courier New"/>
                <w:b/>
                <w:bCs/>
                <w:color w:val="1F4E79"/>
                <w:sz w:val="22"/>
                <w:szCs w:val="22"/>
              </w:rPr>
              <w:t>MIGO</w:t>
            </w:r>
          </w:p>
        </w:tc>
        <w:tc>
          <w:tcPr>
            <w:tcW w:w="20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289A9D86">
            <w:r>
              <w:rPr>
                <w:rFonts w:ascii="Arial" w:hAnsi="Arial" w:eastAsia="Arial" w:cs="Arial"/>
                <w:sz w:val="22"/>
                <w:szCs w:val="22"/>
              </w:rPr>
              <w:t>SAP MM / IM</w:t>
            </w:r>
          </w:p>
        </w:tc>
        <w:tc>
          <w:tcPr>
            <w:tcW w:w="236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02183C09">
            <w:r>
              <w:rPr>
                <w:rFonts w:ascii="Arial" w:hAnsi="Arial" w:eastAsia="Arial" w:cs="Arial"/>
                <w:sz w:val="22"/>
                <w:szCs w:val="22"/>
              </w:rPr>
              <w:t>Inventory updated (Mvt 101)</w:t>
            </w:r>
          </w:p>
        </w:tc>
      </w:tr>
      <w:tr w14:paraId="7249C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00" w:type="dxa"/>
              <w:bottom w:w="80" w:type="dxa"/>
              <w:right w:w="100" w:type="dxa"/>
            </w:tcMar>
          </w:tcPr>
          <w:p w14:paraId="4C22D032">
            <w:r>
              <w:rPr>
                <w:rFonts w:ascii="Arial" w:hAnsi="Arial" w:eastAsia="Arial" w:cs="Arial"/>
                <w:sz w:val="22"/>
                <w:szCs w:val="22"/>
              </w:rPr>
              <w:t>6</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454128E">
            <w:r>
              <w:rPr>
                <w:rFonts w:ascii="Arial" w:hAnsi="Arial" w:eastAsia="Arial" w:cs="Arial"/>
                <w:b/>
                <w:bCs/>
                <w:sz w:val="22"/>
                <w:szCs w:val="22"/>
              </w:rPr>
              <w:t>Invoice Verification</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C262600">
            <w:r>
              <w:rPr>
                <w:rFonts w:ascii="Courier New" w:hAnsi="Courier New" w:eastAsia="Courier New" w:cs="Courier New"/>
                <w:b/>
                <w:bCs/>
                <w:color w:val="1F4E79"/>
                <w:sz w:val="22"/>
                <w:szCs w:val="22"/>
              </w:rPr>
              <w:t>MIRO</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D069632">
            <w:r>
              <w:rPr>
                <w:rFonts w:ascii="Arial" w:hAnsi="Arial" w:eastAsia="Arial" w:cs="Arial"/>
                <w:sz w:val="22"/>
                <w:szCs w:val="22"/>
              </w:rPr>
              <w:t>SAP MM / FI</w:t>
            </w:r>
          </w:p>
        </w:tc>
        <w:tc>
          <w:tcPr>
            <w:tcW w:w="2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F5791F8">
            <w:r>
              <w:rPr>
                <w:rFonts w:ascii="Arial" w:hAnsi="Arial" w:eastAsia="Arial" w:cs="Arial"/>
                <w:sz w:val="22"/>
                <w:szCs w:val="22"/>
              </w:rPr>
              <w:t>Vendor payable created</w:t>
            </w:r>
          </w:p>
        </w:tc>
      </w:tr>
      <w:tr w14:paraId="45EAC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00" w:type="dxa"/>
              <w:bottom w:w="80" w:type="dxa"/>
              <w:right w:w="100" w:type="dxa"/>
            </w:tcMar>
          </w:tcPr>
          <w:p w14:paraId="18038F8F">
            <w:r>
              <w:rPr>
                <w:rFonts w:ascii="Arial" w:hAnsi="Arial" w:eastAsia="Arial" w:cs="Arial"/>
                <w:sz w:val="22"/>
                <w:szCs w:val="22"/>
              </w:rPr>
              <w:t>7</w:t>
            </w:r>
          </w:p>
        </w:tc>
        <w:tc>
          <w:tcPr>
            <w:tcW w:w="25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5CA6CF8A">
            <w:r>
              <w:rPr>
                <w:rFonts w:ascii="Arial" w:hAnsi="Arial" w:eastAsia="Arial" w:cs="Arial"/>
                <w:b/>
                <w:bCs/>
                <w:sz w:val="22"/>
                <w:szCs w:val="22"/>
              </w:rPr>
              <w:t>Payment</w:t>
            </w:r>
          </w:p>
        </w:tc>
        <w:tc>
          <w:tcPr>
            <w:tcW w:w="20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31FAC08A">
            <w:r>
              <w:rPr>
                <w:rFonts w:ascii="Courier New" w:hAnsi="Courier New" w:eastAsia="Courier New" w:cs="Courier New"/>
                <w:b/>
                <w:bCs/>
                <w:color w:val="1F4E79"/>
                <w:sz w:val="22"/>
                <w:szCs w:val="22"/>
              </w:rPr>
              <w:t>F110 / F-53</w:t>
            </w:r>
          </w:p>
        </w:tc>
        <w:tc>
          <w:tcPr>
            <w:tcW w:w="20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221C2C99">
            <w:r>
              <w:rPr>
                <w:rFonts w:ascii="Arial" w:hAnsi="Arial" w:eastAsia="Arial" w:cs="Arial"/>
                <w:sz w:val="22"/>
                <w:szCs w:val="22"/>
              </w:rPr>
              <w:t>SAP FI / AP</w:t>
            </w:r>
          </w:p>
        </w:tc>
        <w:tc>
          <w:tcPr>
            <w:tcW w:w="236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2FD167E5">
            <w:r>
              <w:rPr>
                <w:rFonts w:ascii="Arial" w:hAnsi="Arial" w:eastAsia="Arial" w:cs="Arial"/>
                <w:sz w:val="22"/>
                <w:szCs w:val="22"/>
              </w:rPr>
              <w:t>Vendor account cleared</w:t>
            </w:r>
          </w:p>
        </w:tc>
      </w:tr>
    </w:tbl>
    <w:p w14:paraId="3F3DC0C6">
      <w:pPr>
        <w:spacing w:before="80" w:after="80"/>
      </w:pPr>
    </w:p>
    <w:p w14:paraId="6E67E7C2">
      <w:pPr>
        <w:pStyle w:val="2"/>
        <w:spacing w:before="320" w:after="160"/>
      </w:pPr>
      <w:r>
        <w:rPr>
          <w:rFonts w:ascii="Arial" w:hAnsi="Arial" w:eastAsia="Arial" w:cs="Arial"/>
          <w:b/>
          <w:bCs/>
          <w:color w:val="1F4E79"/>
          <w:sz w:val="30"/>
          <w:szCs w:val="30"/>
        </w:rPr>
        <w:t>7. Unique Points &amp; Key Learnings</w:t>
      </w:r>
    </w:p>
    <w:p w14:paraId="4FE45D8A">
      <w:pPr>
        <w:pStyle w:val="17"/>
        <w:numPr>
          <w:ilvl w:val="0"/>
          <w:numId w:val="1"/>
        </w:numPr>
        <w:spacing w:before="60" w:after="60"/>
        <w:jc w:val="both"/>
      </w:pPr>
      <w:r>
        <w:rPr>
          <w:rFonts w:ascii="Arial" w:hAnsi="Arial" w:eastAsia="Arial" w:cs="Arial"/>
          <w:sz w:val="24"/>
          <w:szCs w:val="24"/>
        </w:rPr>
        <w:t>Three-way matching (PO + GR + Invoice) is the core control mechanism that prevents fraudulent or erroneous payments in the P2P cycle.</w:t>
      </w:r>
    </w:p>
    <w:p w14:paraId="7A6DBE44">
      <w:pPr>
        <w:pStyle w:val="17"/>
        <w:numPr>
          <w:ilvl w:val="0"/>
          <w:numId w:val="1"/>
        </w:numPr>
        <w:spacing w:before="60" w:after="60"/>
        <w:jc w:val="both"/>
      </w:pPr>
      <w:r>
        <w:rPr>
          <w:rFonts w:ascii="Arial" w:hAnsi="Arial" w:eastAsia="Arial" w:cs="Arial"/>
          <w:sz w:val="24"/>
          <w:szCs w:val="24"/>
        </w:rPr>
        <w:t>GR-Based Invoice Verification (GR-based IV flag on PO) ensures invoices can only be verified after goods are physically received, strengthening audit controls.</w:t>
      </w:r>
    </w:p>
    <w:p w14:paraId="0561E94C">
      <w:pPr>
        <w:pStyle w:val="17"/>
        <w:numPr>
          <w:ilvl w:val="0"/>
          <w:numId w:val="1"/>
        </w:numPr>
        <w:spacing w:before="60" w:after="60"/>
        <w:jc w:val="both"/>
      </w:pPr>
      <w:r>
        <w:rPr>
          <w:rFonts w:ascii="Arial" w:hAnsi="Arial" w:eastAsia="Arial" w:cs="Arial"/>
          <w:sz w:val="24"/>
          <w:szCs w:val="24"/>
        </w:rPr>
        <w:t>SAP's document flow (ME23N &gt; Environment &gt; Document Flow) provides complete traceability from PR to payment in a single view.</w:t>
      </w:r>
    </w:p>
    <w:p w14:paraId="63CEE608">
      <w:pPr>
        <w:pStyle w:val="17"/>
        <w:numPr>
          <w:ilvl w:val="0"/>
          <w:numId w:val="1"/>
        </w:numPr>
        <w:spacing w:before="60" w:after="60"/>
        <w:jc w:val="both"/>
      </w:pPr>
      <w:r>
        <w:rPr>
          <w:rFonts w:ascii="Arial" w:hAnsi="Arial" w:eastAsia="Arial" w:cs="Arial"/>
          <w:sz w:val="24"/>
          <w:szCs w:val="24"/>
        </w:rPr>
        <w:t>Release strategies in SAP allow organizations to enforce approval workflows for PRs and POs based on value thresholds, ensuring compliance with procurement policy.</w:t>
      </w:r>
    </w:p>
    <w:p w14:paraId="1F2920E4">
      <w:pPr>
        <w:pStyle w:val="17"/>
        <w:numPr>
          <w:ilvl w:val="0"/>
          <w:numId w:val="1"/>
        </w:numPr>
        <w:spacing w:before="60" w:after="60"/>
        <w:jc w:val="both"/>
      </w:pPr>
      <w:r>
        <w:rPr>
          <w:rFonts w:ascii="Arial" w:hAnsi="Arial" w:eastAsia="Arial" w:cs="Arial"/>
          <w:sz w:val="24"/>
          <w:szCs w:val="24"/>
        </w:rPr>
        <w:t>The integration between MM and FI is automatic: Goods Receipt triggers inventory accounting (GR/IR clearing), and Invoice Verification generates vendor payable entries without manual journal entries.</w:t>
      </w:r>
    </w:p>
    <w:p w14:paraId="40725D13">
      <w:pPr>
        <w:pStyle w:val="17"/>
        <w:numPr>
          <w:ilvl w:val="0"/>
          <w:numId w:val="1"/>
        </w:numPr>
        <w:spacing w:before="60" w:after="60"/>
        <w:jc w:val="both"/>
      </w:pPr>
      <w:r>
        <w:rPr>
          <w:rFonts w:ascii="Arial" w:hAnsi="Arial" w:eastAsia="Arial" w:cs="Arial"/>
          <w:sz w:val="24"/>
          <w:szCs w:val="24"/>
        </w:rPr>
        <w:t>Purchasing Info Records (PIR) automate price defaulting, reducing manual entry errors and ensuring consistent pricing across POs.</w:t>
      </w:r>
    </w:p>
    <w:p w14:paraId="5D5BC0DA">
      <w:pPr>
        <w:spacing w:before="80" w:after="80"/>
      </w:pPr>
    </w:p>
    <w:p w14:paraId="6488D762">
      <w:pPr>
        <w:pStyle w:val="2"/>
        <w:spacing w:before="320" w:after="160"/>
      </w:pPr>
      <w:r>
        <w:rPr>
          <w:rFonts w:ascii="Arial" w:hAnsi="Arial" w:eastAsia="Arial" w:cs="Arial"/>
          <w:b/>
          <w:bCs/>
          <w:color w:val="1F4E79"/>
          <w:sz w:val="30"/>
          <w:szCs w:val="30"/>
        </w:rPr>
        <w:t>8. Future Improvements</w:t>
      </w:r>
    </w:p>
    <w:p w14:paraId="4AECE252">
      <w:pPr>
        <w:pStyle w:val="17"/>
        <w:numPr>
          <w:ilvl w:val="0"/>
          <w:numId w:val="2"/>
        </w:numPr>
        <w:spacing w:before="60" w:after="60"/>
        <w:jc w:val="both"/>
      </w:pPr>
      <w:r>
        <w:rPr>
          <w:rFonts w:ascii="Arial" w:hAnsi="Arial" w:eastAsia="Arial" w:cs="Arial"/>
          <w:sz w:val="24"/>
          <w:szCs w:val="24"/>
        </w:rPr>
        <w:t>Implement MRP (Material Requirements Planning) to trigger automatic PRs based on stock levels and production demand, eliminating manual requisitions.</w:t>
      </w:r>
    </w:p>
    <w:p w14:paraId="6C47C8C7">
      <w:pPr>
        <w:pStyle w:val="17"/>
        <w:numPr>
          <w:ilvl w:val="0"/>
          <w:numId w:val="2"/>
        </w:numPr>
        <w:spacing w:before="60" w:after="60"/>
        <w:jc w:val="both"/>
      </w:pPr>
      <w:r>
        <w:rPr>
          <w:rFonts w:ascii="Arial" w:hAnsi="Arial" w:eastAsia="Arial" w:cs="Arial"/>
          <w:sz w:val="24"/>
          <w:szCs w:val="24"/>
        </w:rPr>
        <w:t>Configure Evaluated Receipt Settlement (ERS) to auto-post vendor invoices upon GR, further reducing manual invoice processing effort.</w:t>
      </w:r>
    </w:p>
    <w:p w14:paraId="4BC5C27C">
      <w:pPr>
        <w:pStyle w:val="17"/>
        <w:numPr>
          <w:ilvl w:val="0"/>
          <w:numId w:val="2"/>
        </w:numPr>
        <w:spacing w:before="60" w:after="60"/>
        <w:jc w:val="both"/>
      </w:pPr>
      <w:r>
        <w:rPr>
          <w:rFonts w:ascii="Arial" w:hAnsi="Arial" w:eastAsia="Arial" w:cs="Arial"/>
          <w:sz w:val="24"/>
          <w:szCs w:val="24"/>
        </w:rPr>
        <w:t>Enable Electronic Data Interchange (EDI) for PO transmission to vendors and automated invoice receipt, reducing paper-based processes.</w:t>
      </w:r>
    </w:p>
    <w:p w14:paraId="11BEC312">
      <w:pPr>
        <w:pStyle w:val="17"/>
        <w:numPr>
          <w:ilvl w:val="0"/>
          <w:numId w:val="2"/>
        </w:numPr>
        <w:spacing w:before="60" w:after="60"/>
        <w:jc w:val="both"/>
      </w:pPr>
      <w:r>
        <w:rPr>
          <w:rFonts w:ascii="Arial" w:hAnsi="Arial" w:eastAsia="Arial" w:cs="Arial"/>
          <w:sz w:val="24"/>
          <w:szCs w:val="24"/>
        </w:rPr>
        <w:t>Integrate SAP SRM (Supplier Relationship Management) or SAP Ariba for vendor self-service portals, RFQ management, and contract management.</w:t>
      </w:r>
    </w:p>
    <w:p w14:paraId="0B80F4A0">
      <w:pPr>
        <w:pStyle w:val="17"/>
        <w:numPr>
          <w:ilvl w:val="0"/>
          <w:numId w:val="2"/>
        </w:numPr>
        <w:spacing w:before="60" w:after="60"/>
        <w:jc w:val="both"/>
      </w:pPr>
      <w:r>
        <w:rPr>
          <w:rFonts w:ascii="Arial" w:hAnsi="Arial" w:eastAsia="Arial" w:cs="Arial"/>
          <w:sz w:val="24"/>
          <w:szCs w:val="24"/>
        </w:rPr>
        <w:t>Implement SAP Analytics Cloud (SAC) dashboards for real-time procurement KPI monitoring: PO cycle time, invoice processing rate, spend by vendor/category.</w:t>
      </w:r>
    </w:p>
    <w:p w14:paraId="659CB2A1">
      <w:pPr>
        <w:pStyle w:val="17"/>
        <w:numPr>
          <w:ilvl w:val="0"/>
          <w:numId w:val="2"/>
        </w:numPr>
        <w:spacing w:before="60" w:after="60"/>
        <w:jc w:val="both"/>
      </w:pPr>
      <w:r>
        <w:rPr>
          <w:rFonts w:ascii="Arial" w:hAnsi="Arial" w:eastAsia="Arial" w:cs="Arial"/>
          <w:sz w:val="24"/>
          <w:szCs w:val="24"/>
        </w:rPr>
        <w:t>Migrate the solution to SAP S/4HANA to leverage Fiori-based UI, embedded analytics, and the Universal Journal for unified MM-FI reporting.</w:t>
      </w:r>
    </w:p>
    <w:p w14:paraId="4ABB137D">
      <w:pPr>
        <w:spacing w:before="80" w:after="80"/>
      </w:pPr>
    </w:p>
    <w:p w14:paraId="2237EFBF">
      <w:pPr>
        <w:pStyle w:val="2"/>
        <w:spacing w:before="320" w:after="160"/>
      </w:pPr>
      <w:r>
        <w:rPr>
          <w:rFonts w:ascii="Arial" w:hAnsi="Arial" w:eastAsia="Arial" w:cs="Arial"/>
          <w:b/>
          <w:bCs/>
          <w:color w:val="1F4E79"/>
          <w:sz w:val="30"/>
          <w:szCs w:val="30"/>
        </w:rPr>
        <w:t>9. Conclusion</w:t>
      </w:r>
    </w:p>
    <w:p w14:paraId="6D18C93F">
      <w:pPr>
        <w:spacing w:before="80" w:after="80"/>
        <w:jc w:val="both"/>
      </w:pPr>
      <w:r>
        <w:rPr>
          <w:rFonts w:ascii="Arial" w:hAnsi="Arial" w:eastAsia="Arial" w:cs="Arial"/>
          <w:sz w:val="24"/>
          <w:szCs w:val="24"/>
        </w:rPr>
        <w:t>This project successfully demonstrates the complete Procure-to-Pay (P2P) cycle using SAP MM, covering every stage from organizational structure setup and master data creation through Purchase Requisition, RFQ, Purchase Order, Goods Receipt, Invoice Verification, and final vendor payment. The implementation highlights how SAP automates and integrates procurement activities across MM and FI modules, ensuring accuracy, compliance, and full auditability.</w:t>
      </w:r>
    </w:p>
    <w:p w14:paraId="5AFF45F0">
      <w:pPr>
        <w:spacing w:before="80" w:after="80"/>
        <w:jc w:val="both"/>
      </w:pPr>
      <w:r>
        <w:rPr>
          <w:rFonts w:ascii="Arial" w:hAnsi="Arial" w:eastAsia="Arial" w:cs="Arial"/>
          <w:sz w:val="24"/>
          <w:szCs w:val="24"/>
        </w:rPr>
        <w:t>The P2P process is one of the most critical business processes in any organization, and SAP MM provides a robust, configurable framework to manage it efficiently. The skills and knowledge gained through this project — from master data setup to three-way matching and payment processing — form the foundation of SAP MM functional expertise.</w:t>
      </w:r>
    </w:p>
    <w:p w14:paraId="33FD2C67">
      <w:pPr>
        <w:spacing w:before="80" w:after="80"/>
      </w:pPr>
    </w:p>
    <w:p w14:paraId="7D49C9A6">
      <w:pPr>
        <w:pStyle w:val="2"/>
        <w:spacing w:before="320" w:after="160"/>
      </w:pPr>
      <w:r>
        <w:rPr>
          <w:rFonts w:ascii="Arial" w:hAnsi="Arial" w:eastAsia="Arial" w:cs="Arial"/>
          <w:b/>
          <w:bCs/>
          <w:color w:val="1F4E79"/>
          <w:sz w:val="30"/>
          <w:szCs w:val="30"/>
        </w:rPr>
        <w:t>10. References</w:t>
      </w:r>
    </w:p>
    <w:p w14:paraId="226B7525">
      <w:pPr>
        <w:pStyle w:val="17"/>
        <w:numPr>
          <w:ilvl w:val="0"/>
          <w:numId w:val="1"/>
        </w:numPr>
        <w:spacing w:before="60" w:after="60"/>
        <w:jc w:val="both"/>
      </w:pPr>
      <w:r>
        <w:rPr>
          <w:rFonts w:ascii="Arial" w:hAnsi="Arial" w:eastAsia="Arial" w:cs="Arial"/>
          <w:sz w:val="24"/>
          <w:szCs w:val="24"/>
        </w:rPr>
        <w:t>SAP Help Portal — SAP MM Materials Management Documentation (help.sap.com)</w:t>
      </w:r>
    </w:p>
    <w:p w14:paraId="59B8FBB0">
      <w:pPr>
        <w:pStyle w:val="17"/>
        <w:numPr>
          <w:ilvl w:val="0"/>
          <w:numId w:val="1"/>
        </w:numPr>
        <w:spacing w:before="60" w:after="60"/>
        <w:jc w:val="both"/>
      </w:pPr>
      <w:r>
        <w:rPr>
          <w:rFonts w:ascii="Arial" w:hAnsi="Arial" w:eastAsia="Arial" w:cs="Arial"/>
          <w:sz w:val="24"/>
          <w:szCs w:val="24"/>
        </w:rPr>
        <w:t>KIIT SAP Project Guidance Document — Capstone Guidelines 2026</w:t>
      </w:r>
    </w:p>
    <w:p w14:paraId="51C4823B">
      <w:pPr>
        <w:pStyle w:val="17"/>
        <w:numPr>
          <w:ilvl w:val="0"/>
          <w:numId w:val="1"/>
        </w:numPr>
        <w:spacing w:before="60" w:after="60"/>
        <w:jc w:val="both"/>
      </w:pPr>
      <w:r>
        <w:rPr>
          <w:rFonts w:ascii="Arial" w:hAnsi="Arial" w:eastAsia="Arial" w:cs="Arial"/>
          <w:sz w:val="24"/>
          <w:szCs w:val="24"/>
        </w:rPr>
        <w:t>SAP Learning Hub — MM100: Procurement with SAP ERP</w:t>
      </w:r>
    </w:p>
    <w:p w14:paraId="053F70BF">
      <w:pPr>
        <w:pStyle w:val="17"/>
        <w:numPr>
          <w:ilvl w:val="0"/>
          <w:numId w:val="1"/>
        </w:numPr>
        <w:spacing w:before="60" w:after="60"/>
        <w:jc w:val="both"/>
      </w:pPr>
      <w:r>
        <w:rPr>
          <w:rFonts w:ascii="Arial" w:hAnsi="Arial" w:eastAsia="Arial" w:cs="Arial"/>
          <w:sz w:val="24"/>
          <w:szCs w:val="24"/>
        </w:rPr>
        <w:t>Lauterbach, T. (2012). Configuring SAP ERP Sales and Distribution. Wiley.</w:t>
      </w:r>
    </w:p>
    <w:p w14:paraId="4EFB96E9">
      <w:pPr>
        <w:pStyle w:val="17"/>
        <w:numPr>
          <w:ilvl w:val="0"/>
          <w:numId w:val="1"/>
        </w:numPr>
        <w:spacing w:before="60" w:after="60"/>
        <w:jc w:val="both"/>
      </w:pPr>
      <w:r>
        <w:rPr>
          <w:rFonts w:ascii="Arial" w:hAnsi="Arial" w:eastAsia="Arial" w:cs="Arial"/>
          <w:sz w:val="24"/>
          <w:szCs w:val="24"/>
        </w:rPr>
        <w:t>Transaction Codes Reference: ME51N, ME21N, MIGO, MIRO, F110, MM01, XK01, ME11</w:t>
      </w:r>
    </w:p>
    <w:sectPr>
      <w:headerReference r:id="rId3" w:type="default"/>
      <w:footerReference r:id="rId4" w:type="default"/>
      <w:pgSz w:w="11906" w:h="16838"/>
      <w:pgMar w:top="1440" w:right="1440" w:bottom="1440" w:left="1440" w:header="708" w:footer="708"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317F54">
    <w:pPr>
      <w:pBdr>
        <w:top w:val="single" w:color="1F4E79" w:sz="6" w:space="1"/>
      </w:pBdr>
      <w:tabs>
        <w:tab w:val="right" w:pos="9026"/>
      </w:tabs>
      <w:spacing w:before="120"/>
    </w:pPr>
    <w:r>
      <w:rPr>
        <w:sz w:val="18"/>
      </w:rPr>
      <mc:AlternateContent>
        <mc:Choice Requires="wps">
          <w:drawing>
            <wp:anchor distT="0" distB="0" distL="114300" distR="114300" simplePos="0" relativeHeight="251659264" behindDoc="0" locked="0" layoutInCell="1" allowOverlap="1">
              <wp:simplePos x="0" y="0"/>
              <wp:positionH relativeFrom="margin">
                <wp:posOffset>5636260</wp:posOffset>
              </wp:positionH>
              <wp:positionV relativeFrom="paragraph">
                <wp:posOffset>69850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39223B6">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43.8pt;margin-top:5.5pt;height:144pt;width:144p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PX0393MAgAA&#10;IwYAAA4AAAAAAAAAAQAgAAAAHwEAAGRycy9lMm9Eb2MueG1sUEsFBgAAAAAGAAYAWQEAAF0GAAAA&#10;AA==&#10;">
              <v:fill on="f" focussize="0,0"/>
              <v:stroke on="f" weight="0.5pt"/>
              <v:imagedata o:title=""/>
              <o:lock v:ext="edit" aspectratio="f"/>
              <v:textbox inset="0mm,0mm,0mm,0mm" style="mso-fit-shape-to-text:t;">
                <w:txbxContent>
                  <w:p w14:paraId="039223B6">
                    <w:pPr>
                      <w:pStyle w:val="12"/>
                    </w:pPr>
                    <w:r>
                      <w:fldChar w:fldCharType="begin"/>
                    </w:r>
                    <w:r>
                      <w:instrText xml:space="preserve"> PAGE  \* MERGEFORMAT </w:instrText>
                    </w:r>
                    <w:r>
                      <w:fldChar w:fldCharType="separate"/>
                    </w:r>
                    <w:r>
                      <w:t>1</w:t>
                    </w:r>
                    <w:r>
                      <w:fldChar w:fldCharType="end"/>
                    </w:r>
                  </w:p>
                </w:txbxContent>
              </v:textbox>
            </v:shape>
          </w:pict>
        </mc:Fallback>
      </mc:AlternateContent>
    </w:r>
    <w:r>
      <w:rPr>
        <w:rFonts w:ascii="Arial" w:hAnsi="Arial" w:eastAsia="Arial" w:cs="Arial"/>
        <w:color w:val="888888"/>
        <w:sz w:val="18"/>
        <w:szCs w:val="18"/>
      </w:rPr>
      <w:t>Confidential | Capstone Project</w:t>
    </w:r>
    <w:r>
      <w:rPr>
        <w:rFonts w:ascii="Arial" w:hAnsi="Arial" w:eastAsia="Arial" w:cs="Arial"/>
        <w:color w:val="888888"/>
        <w:sz w:val="18"/>
        <w:szCs w:val="18"/>
      </w:rPr>
      <w:tab/>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4439C">
    <w:pPr>
      <w:pBdr>
        <w:bottom w:val="single" w:color="1F4E79" w:sz="6" w:space="1"/>
      </w:pBdr>
      <w:spacing w:after="120"/>
    </w:pPr>
    <w:bookmarkStart w:id="0" w:name="_GoBack"/>
    <w:r>
      <w:rPr>
        <w:rFonts w:ascii="Arial" w:hAnsi="Arial" w:eastAsia="Arial" w:cs="Arial"/>
        <w:b/>
        <w:bCs/>
        <w:color w:val="1F4E79"/>
        <w:sz w:val="20"/>
        <w:szCs w:val="20"/>
      </w:rPr>
      <w:t>Procure-to-Pay (P2P) | SAP MM Capstone Project</w:t>
    </w:r>
    <w:r>
      <w:rPr>
        <w:rFonts w:ascii="Arial" w:hAnsi="Arial" w:eastAsia="Arial" w:cs="Arial"/>
        <w:color w:val="888888"/>
        <w:sz w:val="20"/>
        <w:szCs w:val="20"/>
      </w:rPr>
      <w:t xml:space="preserve">    KIIT</w:t>
    </w:r>
  </w:p>
  <w:bookmarkEnd w:id="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0801323"/>
    <w:rsid w:val="2C2E0BB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spacing w:before="320" w:after="160"/>
      <w:outlineLvl w:val="0"/>
    </w:pPr>
    <w:rPr>
      <w:rFonts w:ascii="Arial" w:hAnsi="Arial" w:eastAsia="Arial" w:cs="Arial"/>
      <w:b/>
      <w:bCs/>
      <w:color w:val="1F4E79"/>
      <w:sz w:val="30"/>
      <w:szCs w:val="30"/>
    </w:rPr>
  </w:style>
  <w:style w:type="paragraph" w:styleId="3">
    <w:name w:val="heading 2"/>
    <w:next w:val="1"/>
    <w:qFormat/>
    <w:uiPriority w:val="0"/>
    <w:pPr>
      <w:spacing w:before="240" w:after="120"/>
      <w:outlineLvl w:val="1"/>
    </w:pPr>
    <w:rPr>
      <w:rFonts w:ascii="Arial" w:hAnsi="Arial" w:eastAsia="Arial" w:cs="Arial"/>
      <w:b/>
      <w:bCs/>
      <w:color w:val="2E75B6"/>
      <w:sz w:val="28"/>
      <w:szCs w:val="28"/>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Arial" w:hAnsi="Arial" w:eastAsia="Arial" w:cs="Arial"/>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8"/>
    <w:semiHidden/>
    <w:unhideWhenUsed/>
    <w:qFormat/>
    <w:uiPriority w:val="99"/>
    <w:pPr>
      <w:spacing w:after="0" w:line="240" w:lineRule="auto"/>
    </w:pPr>
    <w:rPr>
      <w:rFonts w:ascii="Arial" w:hAnsi="Arial" w:eastAsia="Arial" w:cs="Arial"/>
      <w:sz w:val="20"/>
      <w:szCs w:val="20"/>
    </w:rPr>
  </w:style>
  <w:style w:type="character" w:styleId="15">
    <w:name w:val="Hyperlink"/>
    <w:unhideWhenUsed/>
    <w:uiPriority w:val="99"/>
    <w:rPr>
      <w:color w:val="0563C1"/>
      <w:u w:val="single"/>
    </w:rPr>
  </w:style>
  <w:style w:type="paragraph" w:styleId="16">
    <w:name w:val="Title"/>
    <w:qFormat/>
    <w:uiPriority w:val="0"/>
    <w:rPr>
      <w:rFonts w:ascii="Arial" w:hAnsi="Arial" w:eastAsia="Arial" w:cs="Arial"/>
      <w:sz w:val="56"/>
      <w:szCs w:val="56"/>
    </w:rPr>
  </w:style>
  <w:style w:type="paragraph" w:styleId="17">
    <w:name w:val="List Paragraph"/>
    <w:qFormat/>
    <w:uiPriority w:val="0"/>
    <w:rPr>
      <w:rFonts w:ascii="Arial" w:hAnsi="Arial" w:eastAsia="Arial" w:cs="Arial"/>
      <w:sz w:val="24"/>
      <w:szCs w:val="24"/>
    </w:rPr>
  </w:style>
  <w:style w:type="character" w:customStyle="1" w:styleId="18">
    <w:name w:val="Footnote Text Char"/>
    <w:link w:val="14"/>
    <w:semiHidden/>
    <w:unhideWhenUsed/>
    <w:qFormat/>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9</Pages>
  <TotalTime>33</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2026-04-19T06:06:00Z</dcterms:created>
  <dc:creator>Un-named</dc:creator>
  <cp:lastModifiedBy>Debasmita Chanda</cp:lastModifiedBy>
  <dcterms:modified xsi:type="dcterms:W3CDTF">2026-04-19T07:08:56Z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D2BD93225C324D2681085474122B8179_12</vt:lpwstr>
  </property>
</Properties>
</file>