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CD13B">
      <w:pPr>
        <w:spacing w:before="200" w:after="100"/>
        <w:jc w:val="center"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>SAP Procure-to-Pay (P2P)</w:t>
      </w:r>
    </w:p>
    <w:p w14:paraId="0A5240A9">
      <w:pPr>
        <w:spacing w:before="0" w:after="80"/>
        <w:jc w:val="center"/>
      </w:pPr>
      <w:r>
        <w:rPr>
          <w:rFonts w:ascii="Arial" w:hAnsi="Arial" w:eastAsia="Arial" w:cs="Arial"/>
          <w:color w:val="2E75B6"/>
          <w:sz w:val="28"/>
          <w:szCs w:val="28"/>
        </w:rPr>
        <w:t>End-to-End Process Flow Document</w:t>
      </w:r>
    </w:p>
    <w:p w14:paraId="186B8E43">
      <w:pPr>
        <w:spacing w:before="0" w:after="200"/>
        <w:jc w:val="center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KIIT | SAP Data Analytics Engineering | April 2026</w:t>
      </w:r>
    </w:p>
    <w:p w14:paraId="7DBE16C1">
      <w:pPr>
        <w:pStyle w:val="2"/>
        <w:spacing w:before="280" w:after="14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1. Process Overview</w:t>
      </w:r>
    </w:p>
    <w:p w14:paraId="5B8102C7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The Procure-to-Pay (P2P) cycle is the complete procurement process in SAP MM, starting from the identification of a material requirement and ending with vendor payment. It integrates the Materials Management (MM) and Financial Accounting (FI) modules, ensuring full automation, traceability, and compliance at every step.</w:t>
      </w:r>
    </w:p>
    <w:p w14:paraId="3767ACDC">
      <w:pPr>
        <w:spacing w:before="60" w:after="60"/>
      </w:pPr>
    </w:p>
    <w:p w14:paraId="7E42913F">
      <w:pPr>
        <w:pStyle w:val="2"/>
        <w:spacing w:before="280" w:after="14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2. Process Flow Steps</w:t>
      </w:r>
    </w:p>
    <w:p w14:paraId="08DE3FB8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1: Purchase Requisition (PR)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CF6B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12C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162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5C1F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FCA2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Transaction Code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BBD0"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2"/>
                <w:szCs w:val="22"/>
              </w:rPr>
              <w:t>ME51N — Create PR / ME52N — Change / ME53N — Display</w:t>
            </w:r>
          </w:p>
        </w:tc>
      </w:tr>
      <w:tr w14:paraId="4BABD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6AC8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858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Internal request to procure material or service</w:t>
            </w:r>
          </w:p>
        </w:tc>
      </w:tr>
      <w:tr w14:paraId="01A74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7281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Key Fields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5FB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Material, Quantity, Delivery Date, Plant, Purchasing Group</w:t>
            </w:r>
          </w:p>
        </w:tc>
      </w:tr>
      <w:tr w14:paraId="168B3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ACC6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Output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8A63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PR Number (10-digit, starts with 1xxxxxxxxx)</w:t>
            </w:r>
          </w:p>
        </w:tc>
      </w:tr>
      <w:tr w14:paraId="4503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A916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Next Step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118C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Released PR is converted to RFQ or directly to PO</w:t>
            </w:r>
          </w:p>
        </w:tc>
      </w:tr>
    </w:tbl>
    <w:p w14:paraId="48C5C559">
      <w:pPr>
        <w:spacing w:before="60" w:after="60"/>
      </w:pPr>
    </w:p>
    <w:p w14:paraId="3191D65D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2: Request for Quotation (RFQ)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DF2F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E77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D84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2A86A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D64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Transaction Code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024D"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2"/>
                <w:szCs w:val="22"/>
              </w:rPr>
              <w:t>ME41 — Create RFQ / ME47 — Maintain Quotation / ME49 — Price Comparison</w:t>
            </w:r>
          </w:p>
        </w:tc>
      </w:tr>
      <w:tr w14:paraId="4CB52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8C22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A39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Obtain competitive pricing from multiple vendors before committing to PO</w:t>
            </w:r>
          </w:p>
        </w:tc>
      </w:tr>
      <w:tr w14:paraId="193DA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9223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Key Fields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B6E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Collective Number, Quotation Deadline, Vendor List, Item Details from PR</w:t>
            </w:r>
          </w:p>
        </w:tc>
      </w:tr>
      <w:tr w14:paraId="0C6E2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C69B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Output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638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Quotation prices per vendor; Price Comparison List highlights best vendor</w:t>
            </w:r>
          </w:p>
        </w:tc>
      </w:tr>
    </w:tbl>
    <w:p w14:paraId="7AAB1748">
      <w:pPr>
        <w:spacing w:before="60" w:after="60"/>
      </w:pPr>
    </w:p>
    <w:p w14:paraId="29C2AD80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3: Purchase Order (PO)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5E8C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9BF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3EE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66BF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4CC0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Transaction Code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6D60"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2"/>
                <w:szCs w:val="22"/>
              </w:rPr>
              <w:t>ME21N — Create / ME22N — Change / ME23N — Display / ME29N — Release</w:t>
            </w:r>
          </w:p>
        </w:tc>
      </w:tr>
      <w:tr w14:paraId="1DFDB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5F28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5D1C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Legal, binding procurement document issued to the selected vendor</w:t>
            </w:r>
          </w:p>
        </w:tc>
      </w:tr>
      <w:tr w14:paraId="7FD89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4A4F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Key Fields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C57B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Vendor, PO Type (NB), Purchasing Org, Plant, Material, Qty, Price, Delivery Date</w:t>
            </w:r>
          </w:p>
        </w:tc>
      </w:tr>
      <w:tr w14:paraId="3DE08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D5C8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PO Types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B07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NB=Standard, FO=Framework Order, UB=Stock Transfer, ZNB=Custom</w:t>
            </w:r>
          </w:p>
        </w:tc>
      </w:tr>
      <w:tr w14:paraId="6B1CB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9980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Output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18FB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 Number (10-digit, starts with 45xxxxxxxx)</w:t>
            </w:r>
          </w:p>
        </w:tc>
      </w:tr>
    </w:tbl>
    <w:p w14:paraId="38BF5CF6">
      <w:pPr>
        <w:spacing w:before="60" w:after="60"/>
      </w:pPr>
    </w:p>
    <w:p w14:paraId="50CB2BF5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4: Goods Receipt (GR)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531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291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013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28F4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2750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Transaction Code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754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MIGO — Goods Receipt Against PO</w:t>
            </w:r>
          </w:p>
        </w:tc>
      </w:tr>
      <w:tr w14:paraId="6E58F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A404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Movement Type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326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101 — Goods Receipt for Purchase Order (Unrestricted Stock)</w:t>
            </w:r>
          </w:p>
        </w:tc>
      </w:tr>
      <w:tr w14:paraId="000DF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C72B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24CB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Record physical receipt of goods; update inventory and GR/IR clearing account</w:t>
            </w:r>
          </w:p>
        </w:tc>
      </w:tr>
      <w:tr w14:paraId="0AD08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F55A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Key Fields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6CA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 Reference, Quantity, Storage Location, Posting Date, Delivery Note</w:t>
            </w:r>
          </w:p>
        </w:tc>
      </w:tr>
      <w:tr w14:paraId="58DB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0160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Accounting Entry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9B3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Dr: Inventory Account / GR/IR Clearing A/C | Cr: GR/IR Clearing A/C</w:t>
            </w:r>
          </w:p>
        </w:tc>
      </w:tr>
      <w:tr w14:paraId="2F39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508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Output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39B5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Material Document (50xxxxxxxx) + FI Document posted automatically</w:t>
            </w:r>
          </w:p>
        </w:tc>
      </w:tr>
    </w:tbl>
    <w:p w14:paraId="30DCBF3B">
      <w:pPr>
        <w:spacing w:before="60" w:after="60"/>
      </w:pPr>
    </w:p>
    <w:p w14:paraId="78E11375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5: Invoice Verification (LIV — MIRO)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67B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BE6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71A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34C38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59FB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Transaction Code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332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MIRO — Enter Incoming Invoice / MIR4 — Display / MRBR — Release Blocked</w:t>
            </w:r>
          </w:p>
        </w:tc>
      </w:tr>
      <w:tr w14:paraId="27DE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E3EB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4DCB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Match vendor invoice against PO and GR (3-way match) before payment</w:t>
            </w:r>
          </w:p>
        </w:tc>
      </w:tr>
      <w:tr w14:paraId="042C0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983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3-Way Match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B8E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 Quantity &amp; Price = GR Quantity = Invoice Quantity &amp; Price (±5% tolerance)</w:t>
            </w:r>
          </w:p>
        </w:tc>
      </w:tr>
      <w:tr w14:paraId="5BF9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274F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Block Reasons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88B3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Price variance &gt; tolerance, Quantity mismatch, GR not yet posted</w:t>
            </w:r>
          </w:p>
        </w:tc>
      </w:tr>
      <w:tr w14:paraId="555E2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2F54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Accounting Entry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88C9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Dr: GR/IR Clearing A/C | Cr: Vendor Payable (AP)</w:t>
            </w:r>
          </w:p>
        </w:tc>
      </w:tr>
      <w:tr w14:paraId="09B91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FB25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Output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2E5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Invoice Document (51xxxxxxxx) + Vendor Payable created in FI</w:t>
            </w:r>
          </w:p>
        </w:tc>
      </w:tr>
    </w:tbl>
    <w:p w14:paraId="746EE0D9">
      <w:pPr>
        <w:spacing w:before="60" w:after="60"/>
      </w:pPr>
    </w:p>
    <w:p w14:paraId="5EE2898B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Step 6: Payment Processing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D74C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A04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C37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34E4F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143B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Transaction Code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A8DB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F110 — Automatic Payment Run / F-53 — Manual Payment</w:t>
            </w:r>
          </w:p>
        </w:tc>
      </w:tr>
      <w:tr w14:paraId="75690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E76A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6363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Clear the vendor open item (payable) by transferring funds to vendor bank</w:t>
            </w:r>
            <w:bookmarkStart w:id="0" w:name="_GoBack"/>
            <w:bookmarkEnd w:id="0"/>
          </w:p>
        </w:tc>
      </w:tr>
      <w:tr w14:paraId="22C8F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8FD6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Key Fields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01B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Paying Company Code, Payment Method, Bank Account, Due Date</w:t>
            </w:r>
          </w:p>
        </w:tc>
      </w:tr>
      <w:tr w14:paraId="04A5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40EB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Payment Terms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F2C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NT30 (Net 30 days), NT45, NT60 — configured on Vendor Master</w:t>
            </w:r>
          </w:p>
        </w:tc>
      </w:tr>
      <w:tr w14:paraId="6C1B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0362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Accounting Entry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18E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Dr: Vendor Payable | Cr: Bank Account</w:t>
            </w:r>
          </w:p>
        </w:tc>
      </w:tr>
      <w:tr w14:paraId="1419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EBED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Output</w:t>
            </w:r>
          </w:p>
        </w:tc>
        <w:tc>
          <w:tcPr>
            <w:tcW w:w="7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D61C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Payment Document + Bank Transfer initiated</w:t>
            </w:r>
          </w:p>
        </w:tc>
      </w:tr>
    </w:tbl>
    <w:p w14:paraId="25036ABA">
      <w:pPr>
        <w:spacing w:before="60" w:after="60"/>
      </w:pPr>
    </w:p>
    <w:p w14:paraId="7389352F">
      <w:pPr>
        <w:pStyle w:val="2"/>
        <w:spacing w:before="280" w:after="14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3. SAP Document Number Ranges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000"/>
        <w:gridCol w:w="3560"/>
      </w:tblGrid>
      <w:tr w14:paraId="678F9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28B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Document Type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161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Number Range</w:t>
            </w:r>
          </w:p>
        </w:tc>
        <w:tc>
          <w:tcPr>
            <w:tcW w:w="3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61C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14:paraId="5650D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F132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Purchase Requisition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419D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10xxxxxxxx</w:t>
            </w:r>
          </w:p>
        </w:tc>
        <w:tc>
          <w:tcPr>
            <w:tcW w:w="3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BDD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1000000123</w:t>
            </w:r>
          </w:p>
        </w:tc>
      </w:tr>
      <w:tr w14:paraId="0342E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A832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Purchase Order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C1B0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45xxxxxxxx</w:t>
            </w:r>
          </w:p>
        </w:tc>
        <w:tc>
          <w:tcPr>
            <w:tcW w:w="3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A099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4500000456</w:t>
            </w:r>
          </w:p>
        </w:tc>
      </w:tr>
      <w:tr w14:paraId="66EF2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F2DA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Material Document (GR)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D5D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50xxxxxxxx</w:t>
            </w:r>
          </w:p>
        </w:tc>
        <w:tc>
          <w:tcPr>
            <w:tcW w:w="3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2CC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5000000789</w:t>
            </w:r>
          </w:p>
        </w:tc>
      </w:tr>
      <w:tr w14:paraId="3C162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923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Invoice Document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C77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51xxxxxxxx</w:t>
            </w:r>
          </w:p>
        </w:tc>
        <w:tc>
          <w:tcPr>
            <w:tcW w:w="3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FB7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5105000321</w:t>
            </w:r>
          </w:p>
        </w:tc>
      </w:tr>
      <w:tr w14:paraId="41838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1EDB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FI Accounting Doc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D00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10xxxxxxxx (FI)</w:t>
            </w:r>
          </w:p>
        </w:tc>
        <w:tc>
          <w:tcPr>
            <w:tcW w:w="3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3E30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1000000999</w:t>
            </w:r>
          </w:p>
        </w:tc>
      </w:tr>
    </w:tbl>
    <w:p w14:paraId="4CF1748D">
      <w:pPr>
        <w:spacing w:before="60" w:after="60"/>
      </w:pPr>
    </w:p>
    <w:p w14:paraId="29F99EF2">
      <w:pPr>
        <w:pStyle w:val="2"/>
        <w:spacing w:before="280" w:after="14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4. Integration Points</w:t>
      </w:r>
    </w:p>
    <w:p w14:paraId="27D3D25A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4"/>
          <w:szCs w:val="24"/>
        </w:rPr>
        <w:t>MM → FI: GR posting automatically creates FI document (GR/IR clearing)</w:t>
      </w:r>
    </w:p>
    <w:p w14:paraId="13C5FA5A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4"/>
          <w:szCs w:val="24"/>
        </w:rPr>
        <w:t>MM → FI: MIRO posting creates vendor payable in AP (Accounts Payable)</w:t>
      </w:r>
    </w:p>
    <w:p w14:paraId="522F2E9F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4"/>
          <w:szCs w:val="24"/>
        </w:rPr>
        <w:t>MM → WM: GR can trigger warehouse management transfer orders (if WM active)</w:t>
      </w:r>
    </w:p>
    <w:p w14:paraId="52C4BBF7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4"/>
          <w:szCs w:val="24"/>
        </w:rPr>
        <w:t>MM → QM: GR can route stock to Quality Inspection (QI) before unrestricted use</w:t>
      </w:r>
    </w:p>
    <w:p w14:paraId="6F568742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4"/>
          <w:szCs w:val="24"/>
        </w:rPr>
        <w:t>MM → CO: PO commitments visible in Controlling for budget monitoring</w:t>
      </w:r>
    </w:p>
    <w:p w14:paraId="2936B495">
      <w:pPr>
        <w:spacing w:before="60" w:after="60"/>
      </w:pPr>
    </w:p>
    <w:p w14:paraId="539DF5D4">
      <w:pPr>
        <w:pStyle w:val="2"/>
        <w:spacing w:before="280" w:after="14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5. Key Reports &amp; Monitor T-Codes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551B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C76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T-Code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A58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6E9F8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39D3">
            <w:r>
              <w:rPr>
                <w:rFonts w:ascii="Courier New" w:hAnsi="Courier New" w:eastAsia="Courier New" w:cs="Courier New"/>
                <w:b/>
                <w:bCs/>
                <w:color w:val="000000"/>
                <w:sz w:val="22"/>
                <w:szCs w:val="22"/>
              </w:rPr>
              <w:t>ME2M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BC76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Purchase Orders by Material — track all POs for a material</w:t>
            </w:r>
          </w:p>
        </w:tc>
      </w:tr>
      <w:tr w14:paraId="1AD95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6567">
            <w:r>
              <w:rPr>
                <w:rFonts w:ascii="Courier New" w:hAnsi="Courier New" w:eastAsia="Courier New" w:cs="Courier New"/>
                <w:b/>
                <w:bCs/>
                <w:color w:val="000000"/>
                <w:sz w:val="22"/>
                <w:szCs w:val="22"/>
              </w:rPr>
              <w:t>ME2N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85E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Purchase Orders by PO Number — overview of all POs</w:t>
            </w:r>
          </w:p>
        </w:tc>
      </w:tr>
      <w:tr w14:paraId="084ED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75F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MB51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589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Material Document List — all GR/GI movements</w:t>
            </w:r>
          </w:p>
        </w:tc>
      </w:tr>
      <w:tr w14:paraId="4DF4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D370">
            <w:r>
              <w:rPr>
                <w:rFonts w:ascii="Courier New" w:hAnsi="Courier New" w:eastAsia="Courier New" w:cs="Courier New"/>
                <w:b/>
                <w:bCs/>
                <w:color w:val="000000"/>
                <w:sz w:val="22"/>
                <w:szCs w:val="22"/>
              </w:rPr>
              <w:t>MMBE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7A5D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Stock Overview — current stock by plant/SLoc</w:t>
            </w:r>
          </w:p>
        </w:tc>
      </w:tr>
      <w:tr w14:paraId="4F60E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C6E0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MR11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C616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Maintain GR/IR Clearing Account — clear uncleared items</w:t>
            </w:r>
          </w:p>
        </w:tc>
      </w:tr>
      <w:tr w14:paraId="30B4F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1321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FBL1N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110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Vendor Line Items — all open/cleared invoice items</w:t>
            </w:r>
          </w:p>
        </w:tc>
      </w:tr>
      <w:tr w14:paraId="05793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D8DF">
            <w:r>
              <w:rPr>
                <w:rFonts w:ascii="Courier New" w:hAnsi="Courier New" w:eastAsia="Courier New" w:cs="Courier New"/>
                <w:b/>
                <w:bCs/>
                <w:color w:val="000000"/>
                <w:sz w:val="22"/>
                <w:szCs w:val="22"/>
              </w:rPr>
              <w:t>ME23N</w:t>
            </w:r>
          </w:p>
        </w:tc>
        <w:tc>
          <w:tcPr>
            <w:tcW w:w="7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285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Display PO — view document flow from PR to Payment</w:t>
            </w:r>
          </w:p>
        </w:tc>
      </w:tr>
    </w:tbl>
    <w:p w14:paraId="53B082ED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42121">
    <w:pPr>
      <w:pBdr>
        <w:top w:val="single" w:color="1F4E79" w:sz="4" w:space="1"/>
      </w:pBdr>
      <w:tabs>
        <w:tab w:val="right" w:pos="9026"/>
      </w:tabs>
      <w:spacing w:before="100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5674360</wp:posOffset>
              </wp:positionH>
              <wp:positionV relativeFrom="paragraph">
                <wp:posOffset>25400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10D702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46.8pt;margin-top:2pt;height:144pt;width:144pt;mso-position-horizontal-relative:margin;mso-wrap-style:none;z-index:251659264;mso-width-relative:page;mso-height-relative:page;" filled="f" stroked="f" coordsize="21600,21600" o:gfxdata="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D6c8BPX&#10;AAAACgEAAA8AAAAAAAAAAQAgAAAAIgAAAGRycy9kb3ducmV2LnhtbFBLAQIUABQAAAAIAIdO4kDR&#10;MNf0zAIAACMGAAAOAAAAAAAAAAEAIAAAACYBAABkcnMvZTJvRG9jLnhtbFBLBQYAAAAABgAGAFkB&#10;AABk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10D702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Arial" w:cs="Arial"/>
        <w:color w:val="888888"/>
        <w:sz w:val="16"/>
        <w:szCs w:val="16"/>
      </w:rPr>
      <w:t>KIIT | SAP P2P Capstone Project 2026</w:t>
    </w:r>
    <w:r>
      <w:rPr>
        <w:rFonts w:ascii="Arial" w:hAnsi="Arial" w:eastAsia="Arial" w:cs="Arial"/>
        <w:color w:val="888888"/>
        <w:sz w:val="16"/>
        <w:szCs w:val="16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6E6BE">
    <w:pPr>
      <w:pBdr>
        <w:bottom w:val="single" w:color="1F4E79" w:sz="6" w:space="1"/>
      </w:pBdr>
      <w:spacing w:after="100"/>
    </w:pPr>
    <w:r>
      <w:rPr>
        <w:rFonts w:ascii="Arial" w:hAnsi="Arial" w:eastAsia="Arial" w:cs="Arial"/>
        <w:b/>
        <w:bCs/>
        <w:color w:val="1F4E79"/>
        <w:sz w:val="18"/>
        <w:szCs w:val="18"/>
      </w:rPr>
      <w:t>SAP P2P Process Flow Document — KIIT Capstone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A6B53"/>
    <w:multiLevelType w:val="singleLevel"/>
    <w:tmpl w:val="DCBA6B53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0367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80" w:after="14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2026-04-19T06:37:00Z</dcterms:created>
  <dc:creator>Un-named</dc:creator>
  <cp:lastModifiedBy>Debasmita Chanda</cp:lastModifiedBy>
  <dcterms:modified xsi:type="dcterms:W3CDTF">2026-04-20T11:58:19Z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B57DDA0DE52D47E99C46E0D8C998F809_12</vt:lpwstr>
  </property>
</Properties>
</file>