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AF7B69" w14:textId="77777777" w:rsidR="0058604C" w:rsidRPr="00CB265B" w:rsidRDefault="0058604C" w:rsidP="00CB265B">
      <w:pPr>
        <w:widowControl/>
        <w:outlineLvl w:val="0"/>
        <w:rPr>
          <w:color w:val="000000" w:themeColor="text1"/>
        </w:rPr>
      </w:pPr>
      <w:bookmarkStart w:id="0" w:name="_GoBack"/>
      <w:r w:rsidRPr="00CB265B">
        <w:rPr>
          <w:color w:val="000000" w:themeColor="text1"/>
        </w:rPr>
        <w:t xml:space="preserve">1. Perm, do the counterplan:  </w:t>
      </w:r>
      <w:r w:rsidRPr="00CB265B">
        <w:rPr>
          <w:b/>
          <w:color w:val="000000" w:themeColor="text1"/>
        </w:rPr>
        <w:t>Merriam-Webster</w:t>
      </w:r>
      <w:r w:rsidRPr="00CB265B">
        <w:rPr>
          <w:rStyle w:val="FootnoteReference"/>
          <w:color w:val="000000" w:themeColor="text1"/>
        </w:rPr>
        <w:footnoteReference w:id="1"/>
      </w:r>
      <w:r w:rsidRPr="00CB265B">
        <w:rPr>
          <w:color w:val="000000" w:themeColor="text1"/>
        </w:rPr>
        <w:t xml:space="preserve"> defines “pay” as is to </w:t>
      </w:r>
      <w:r w:rsidRPr="00CB265B">
        <w:rPr>
          <w:rStyle w:val="LinedDown"/>
          <w:color w:val="000000" w:themeColor="text1"/>
        </w:rPr>
        <w:t xml:space="preserve">[with obj.] </w:t>
      </w:r>
      <w:r w:rsidRPr="00CB265B">
        <w:rPr>
          <w:rStyle w:val="Carded"/>
          <w:color w:val="000000" w:themeColor="text1"/>
        </w:rPr>
        <w:t xml:space="preserve">give (someone) money </w:t>
      </w:r>
      <w:r w:rsidRPr="00CB265B">
        <w:rPr>
          <w:rStyle w:val="LinedDown"/>
          <w:color w:val="000000" w:themeColor="text1"/>
        </w:rPr>
        <w:t xml:space="preserve">that is </w:t>
      </w:r>
      <w:r w:rsidRPr="00CB265B">
        <w:rPr>
          <w:rStyle w:val="Carded"/>
          <w:color w:val="000000" w:themeColor="text1"/>
        </w:rPr>
        <w:t>due for work done</w:t>
      </w:r>
      <w:r w:rsidRPr="00CB265B">
        <w:rPr>
          <w:rStyle w:val="LinedDown"/>
          <w:color w:val="000000" w:themeColor="text1"/>
        </w:rPr>
        <w:t>, goods received, or a debt incurred</w:t>
      </w:r>
      <w:r w:rsidRPr="00CB265B">
        <w:rPr>
          <w:color w:val="000000" w:themeColor="text1"/>
        </w:rPr>
        <w:t xml:space="preserve">  </w:t>
      </w:r>
    </w:p>
    <w:p w14:paraId="5B1E2896" w14:textId="77777777" w:rsidR="0058604C" w:rsidRPr="00CB265B" w:rsidRDefault="0058604C" w:rsidP="0058604C">
      <w:pPr>
        <w:widowControl/>
        <w:rPr>
          <w:color w:val="000000" w:themeColor="text1"/>
        </w:rPr>
      </w:pPr>
      <w:r w:rsidRPr="00CB265B">
        <w:rPr>
          <w:color w:val="000000" w:themeColor="text1"/>
        </w:rPr>
        <w:t>The CP gives some of the money to corporations, but still requires them to pay a living wage. That’s why a corporation couldn’t just take the money and reinvest it in the business.</w:t>
      </w:r>
    </w:p>
    <w:p w14:paraId="2F07DA3C" w14:textId="77777777" w:rsidR="0058604C" w:rsidRPr="00CB265B" w:rsidRDefault="0058604C" w:rsidP="0058604C">
      <w:pPr>
        <w:widowControl/>
        <w:rPr>
          <w:color w:val="000000" w:themeColor="text1"/>
        </w:rPr>
      </w:pPr>
      <w:r w:rsidRPr="00CB265B">
        <w:rPr>
          <w:color w:val="000000" w:themeColor="text1"/>
        </w:rPr>
        <w:t>You clarify an implementation mechanism for the aff, which is legitimate perm ground – otherwise every neg could just specify something that wasn’t explicitly in the plan text as a counteradvocacy. It’s not a real opportunity cost to the aff, since it’s a way of doing it, so competition is illogical and it means the neg could just coopt aff offense with more spec no matter what which makes it impossible to be aff.</w:t>
      </w:r>
    </w:p>
    <w:p w14:paraId="5B4BFE2C" w14:textId="77777777" w:rsidR="0058604C" w:rsidRPr="00CB265B" w:rsidRDefault="0058604C" w:rsidP="0058604C">
      <w:pPr>
        <w:widowControl/>
        <w:rPr>
          <w:color w:val="000000" w:themeColor="text1"/>
        </w:rPr>
      </w:pPr>
    </w:p>
    <w:p w14:paraId="0D62B7AD" w14:textId="77777777" w:rsidR="0058604C" w:rsidRPr="00CB265B" w:rsidRDefault="0058604C" w:rsidP="00CB265B">
      <w:pPr>
        <w:widowControl/>
        <w:outlineLvl w:val="0"/>
        <w:rPr>
          <w:color w:val="000000" w:themeColor="text1"/>
        </w:rPr>
      </w:pPr>
      <w:r w:rsidRPr="00CB265B">
        <w:rPr>
          <w:color w:val="000000" w:themeColor="text1"/>
        </w:rPr>
        <w:t xml:space="preserve">2. Err aff on solvency – there’s never been a large-scale implementation of a wage subsidy, there are major implementation questions that mean it probably gets exploited. </w:t>
      </w:r>
      <w:r w:rsidRPr="00CB265B">
        <w:rPr>
          <w:b/>
          <w:color w:val="000000" w:themeColor="text1"/>
        </w:rPr>
        <w:t>Drum ‘13</w:t>
      </w:r>
      <w:r w:rsidRPr="00CB265B">
        <w:rPr>
          <w:rStyle w:val="FootnoteReference"/>
          <w:b/>
          <w:color w:val="000000" w:themeColor="text1"/>
        </w:rPr>
        <w:footnoteReference w:id="2"/>
      </w:r>
    </w:p>
    <w:p w14:paraId="1F2D2B96" w14:textId="77777777" w:rsidR="0058604C" w:rsidRPr="00CB265B" w:rsidRDefault="0058604C" w:rsidP="0058604C">
      <w:pPr>
        <w:rPr>
          <w:color w:val="000000" w:themeColor="text1"/>
        </w:rPr>
      </w:pPr>
    </w:p>
    <w:p w14:paraId="22EDD4C3" w14:textId="77777777" w:rsidR="0058604C" w:rsidRPr="00CB265B" w:rsidRDefault="0058604C" w:rsidP="0058604C">
      <w:pPr>
        <w:rPr>
          <w:color w:val="000000" w:themeColor="text1"/>
        </w:rPr>
      </w:pPr>
      <w:r w:rsidRPr="00CB265B">
        <w:rPr>
          <w:color w:val="000000" w:themeColor="text1"/>
          <w:sz w:val="12"/>
          <w:szCs w:val="12"/>
        </w:rPr>
        <w:t>Third,</w:t>
      </w:r>
      <w:r w:rsidRPr="00CB265B">
        <w:rPr>
          <w:color w:val="000000" w:themeColor="text1"/>
        </w:rPr>
        <w:t xml:space="preserve"> </w:t>
      </w:r>
      <w:r w:rsidRPr="00CB265B">
        <w:rPr>
          <w:b/>
          <w:color w:val="000000" w:themeColor="text1"/>
          <w:u w:val="single"/>
        </w:rPr>
        <w:t>wage subsidies can be trick</w:t>
      </w:r>
      <w:r w:rsidRPr="00CB265B">
        <w:rPr>
          <w:rStyle w:val="LinedDown"/>
          <w:color w:val="000000" w:themeColor="text1"/>
        </w:rPr>
        <w:t xml:space="preserve">y to implement. Are they </w:t>
      </w:r>
      <w:r w:rsidRPr="00CB265B">
        <w:rPr>
          <w:b/>
          <w:color w:val="000000" w:themeColor="text1"/>
          <w:u w:val="single"/>
        </w:rPr>
        <w:t>temporary or permanent? Targeted or universal?</w:t>
      </w:r>
      <w:r w:rsidRPr="00CB265B">
        <w:rPr>
          <w:color w:val="000000" w:themeColor="text1"/>
        </w:rPr>
        <w:t xml:space="preserve"> </w:t>
      </w:r>
      <w:r w:rsidRPr="00CB265B">
        <w:rPr>
          <w:color w:val="000000" w:themeColor="text1"/>
          <w:sz w:val="12"/>
          <w:szCs w:val="12"/>
        </w:rPr>
        <w:t>Are they in addition to the EITC or a replacement?</w:t>
      </w:r>
      <w:r w:rsidRPr="00CB265B">
        <w:rPr>
          <w:color w:val="000000" w:themeColor="text1"/>
        </w:rPr>
        <w:t xml:space="preserve"> </w:t>
      </w:r>
      <w:r w:rsidRPr="00CB265B">
        <w:rPr>
          <w:b/>
          <w:color w:val="000000" w:themeColor="text1"/>
          <w:u w:val="single"/>
        </w:rPr>
        <w:t>How do you prevent employers from gaming the system and reducing wages because</w:t>
      </w:r>
      <w:r w:rsidRPr="00CB265B">
        <w:rPr>
          <w:rStyle w:val="LinedDown"/>
          <w:color w:val="000000" w:themeColor="text1"/>
        </w:rPr>
        <w:t xml:space="preserve"> they know </w:t>
      </w:r>
      <w:r w:rsidRPr="00CB265B">
        <w:rPr>
          <w:rStyle w:val="Carded"/>
          <w:color w:val="000000" w:themeColor="text1"/>
        </w:rPr>
        <w:t>the</w:t>
      </w:r>
      <w:r w:rsidRPr="00CB265B">
        <w:rPr>
          <w:rStyle w:val="LinedDown"/>
          <w:color w:val="000000" w:themeColor="text1"/>
        </w:rPr>
        <w:t xml:space="preserve"> wage </w:t>
      </w:r>
      <w:r w:rsidRPr="00CB265B">
        <w:rPr>
          <w:b/>
          <w:color w:val="000000" w:themeColor="text1"/>
          <w:u w:val="single"/>
        </w:rPr>
        <w:t>subsidy will make up the difference?</w:t>
      </w:r>
      <w:r w:rsidRPr="00CB265B">
        <w:rPr>
          <w:color w:val="000000" w:themeColor="text1"/>
        </w:rPr>
        <w:t xml:space="preserve"> </w:t>
      </w:r>
      <w:r w:rsidRPr="00CB265B">
        <w:rPr>
          <w:color w:val="000000" w:themeColor="text1"/>
          <w:sz w:val="12"/>
          <w:szCs w:val="12"/>
        </w:rPr>
        <w:t xml:space="preserve">There may be answers to these questions, but they aren't trivial. Finally, wage </w:t>
      </w:r>
      <w:r w:rsidRPr="00CB265B">
        <w:rPr>
          <w:b/>
          <w:color w:val="000000" w:themeColor="text1"/>
          <w:u w:val="single"/>
        </w:rPr>
        <w:t>subsidies haven't been widely adopted</w:t>
      </w:r>
      <w:r w:rsidRPr="00CB265B">
        <w:rPr>
          <w:rStyle w:val="LinedDown"/>
          <w:color w:val="000000" w:themeColor="text1"/>
        </w:rPr>
        <w:t xml:space="preserve"> elsewhere, </w:t>
      </w:r>
      <w:r w:rsidRPr="00CB265B">
        <w:rPr>
          <w:b/>
          <w:color w:val="000000" w:themeColor="text1"/>
          <w:u w:val="single"/>
        </w:rPr>
        <w:t>which means there isn't</w:t>
      </w:r>
      <w:r w:rsidRPr="00CB265B">
        <w:rPr>
          <w:color w:val="000000" w:themeColor="text1"/>
        </w:rPr>
        <w:t xml:space="preserve"> </w:t>
      </w:r>
      <w:r w:rsidRPr="00CB265B">
        <w:rPr>
          <w:color w:val="000000" w:themeColor="text1"/>
          <w:sz w:val="12"/>
          <w:szCs w:val="12"/>
        </w:rPr>
        <w:t>a lot of</w:t>
      </w:r>
      <w:r w:rsidRPr="00CB265B">
        <w:rPr>
          <w:color w:val="000000" w:themeColor="text1"/>
        </w:rPr>
        <w:t xml:space="preserve"> </w:t>
      </w:r>
      <w:r w:rsidRPr="00CB265B">
        <w:rPr>
          <w:b/>
          <w:color w:val="000000" w:themeColor="text1"/>
          <w:u w:val="single"/>
        </w:rPr>
        <w:t>compelling research to show how well they'd work.</w:t>
      </w:r>
      <w:r w:rsidRPr="00CB265B">
        <w:rPr>
          <w:rStyle w:val="LinedDown"/>
          <w:color w:val="000000" w:themeColor="text1"/>
        </w:rPr>
        <w:t xml:space="preserve"> There are good reasons to be op</w:t>
      </w:r>
      <w:r w:rsidRPr="00CB265B">
        <w:rPr>
          <w:color w:val="000000" w:themeColor="text1"/>
          <w:sz w:val="12"/>
          <w:szCs w:val="12"/>
        </w:rPr>
        <w:t>timistic about wage subsidies, but as far as I know, they're still fairly untested.</w:t>
      </w:r>
    </w:p>
    <w:p w14:paraId="19080A52" w14:textId="77777777" w:rsidR="00646F73" w:rsidRPr="00CB265B" w:rsidRDefault="00646F73" w:rsidP="00A83E2D">
      <w:pPr>
        <w:rPr>
          <w:color w:val="000000" w:themeColor="text1"/>
        </w:rPr>
      </w:pPr>
    </w:p>
    <w:p w14:paraId="64809838" w14:textId="77777777" w:rsidR="00852312" w:rsidRPr="00CB265B" w:rsidRDefault="00852312" w:rsidP="00CB265B">
      <w:pPr>
        <w:outlineLvl w:val="0"/>
        <w:rPr>
          <w:color w:val="000000" w:themeColor="text1"/>
        </w:rPr>
      </w:pPr>
      <w:r w:rsidRPr="00CB265B">
        <w:rPr>
          <w:color w:val="000000" w:themeColor="text1"/>
        </w:rPr>
        <w:t xml:space="preserve">3. Having to </w:t>
      </w:r>
      <w:r w:rsidRPr="00CB265B">
        <w:rPr>
          <w:color w:val="000000" w:themeColor="text1"/>
          <w:u w:val="single"/>
        </w:rPr>
        <w:t>pay</w:t>
      </w:r>
      <w:r w:rsidRPr="00CB265B">
        <w:rPr>
          <w:color w:val="000000" w:themeColor="text1"/>
        </w:rPr>
        <w:t xml:space="preserve"> the higher wages is a crucial basis for worker respect since the payment is implicitly a value judgment – otherwise workers will be treated really poorly. </w:t>
      </w:r>
      <w:r w:rsidRPr="00CB265B">
        <w:rPr>
          <w:b/>
          <w:color w:val="000000" w:themeColor="text1"/>
        </w:rPr>
        <w:t>Rogers ‘14</w:t>
      </w:r>
      <w:r w:rsidRPr="00CB265B">
        <w:rPr>
          <w:rStyle w:val="FootnoteReference"/>
          <w:b/>
          <w:color w:val="000000" w:themeColor="text1"/>
        </w:rPr>
        <w:footnoteReference w:id="3"/>
      </w:r>
    </w:p>
    <w:p w14:paraId="345C9188" w14:textId="77777777" w:rsidR="00852312" w:rsidRPr="00CB265B" w:rsidRDefault="00852312" w:rsidP="00852312">
      <w:pPr>
        <w:rPr>
          <w:color w:val="000000" w:themeColor="text1"/>
        </w:rPr>
      </w:pPr>
    </w:p>
    <w:p w14:paraId="5E47EB8A" w14:textId="77777777" w:rsidR="00852312" w:rsidRPr="00CB265B" w:rsidRDefault="00852312" w:rsidP="00852312">
      <w:pPr>
        <w:rPr>
          <w:rStyle w:val="LinedDown"/>
          <w:color w:val="000000" w:themeColor="text1"/>
        </w:rPr>
      </w:pPr>
      <w:r w:rsidRPr="00CB265B">
        <w:rPr>
          <w:rStyle w:val="LinedDown"/>
          <w:color w:val="000000" w:themeColor="text1"/>
        </w:rPr>
        <w:t xml:space="preserve">Ultimately, </w:t>
      </w:r>
      <w:r w:rsidRPr="00CB265B">
        <w:rPr>
          <w:rStyle w:val="Carded"/>
          <w:color w:val="000000" w:themeColor="text1"/>
        </w:rPr>
        <w:t>transfers</w:t>
      </w:r>
      <w:r w:rsidRPr="00CB265B">
        <w:rPr>
          <w:rStyle w:val="LinedDown"/>
          <w:color w:val="000000" w:themeColor="text1"/>
        </w:rPr>
        <w:t xml:space="preserve"> that are </w:t>
      </w:r>
      <w:r w:rsidRPr="00CB265B">
        <w:rPr>
          <w:rStyle w:val="Carded"/>
          <w:color w:val="000000" w:themeColor="text1"/>
        </w:rPr>
        <w:t>not accompanied by wage regulations can substantially undermine social equality</w:t>
      </w:r>
      <w:r w:rsidRPr="00CB265B">
        <w:rPr>
          <w:rStyle w:val="LinedDown"/>
          <w:color w:val="000000" w:themeColor="text1"/>
        </w:rPr>
        <w:t xml:space="preserve"> even as they create employment opportunities. For example, consider the effects on low-wage labor markets if the minimum wage were repealed altogether and replaced with the EITC or a general wage subsidy. At a certain market wage—say, $2 an hour— even middle-class families would have lives of luxury. Food would be cheap. Few such families would mow their own lawn or clean their own house anymore. Many could even hire a butler, or a chef, or perhaps a chauffeur to make long commutes more tolerable. Notably, </w:t>
      </w:r>
      <w:r w:rsidRPr="00CB265B">
        <w:rPr>
          <w:rStyle w:val="Carded"/>
          <w:color w:val="000000" w:themeColor="text1"/>
        </w:rPr>
        <w:t>those workers might</w:t>
      </w:r>
      <w:r w:rsidRPr="00CB265B">
        <w:rPr>
          <w:rStyle w:val="LinedDown"/>
          <w:color w:val="000000" w:themeColor="text1"/>
        </w:rPr>
        <w:t xml:space="preserve"> even </w:t>
      </w:r>
      <w:r w:rsidRPr="00CB265B">
        <w:rPr>
          <w:rStyle w:val="Carded"/>
          <w:color w:val="000000" w:themeColor="text1"/>
        </w:rPr>
        <w:t>have a decent standard of living</w:t>
      </w:r>
      <w:r w:rsidRPr="00CB265B">
        <w:rPr>
          <w:rStyle w:val="LinedDown"/>
          <w:color w:val="000000" w:themeColor="text1"/>
        </w:rPr>
        <w:t xml:space="preserve"> if the EITC or wage subsidy were high enough. </w:t>
      </w:r>
      <w:r w:rsidRPr="00CB265B">
        <w:rPr>
          <w:rStyle w:val="Carded"/>
          <w:color w:val="000000" w:themeColor="text1"/>
        </w:rPr>
        <w:t>But history strongly suggests that many would treat</w:t>
      </w:r>
      <w:r w:rsidRPr="00CB265B">
        <w:rPr>
          <w:rStyle w:val="LinedDown"/>
          <w:color w:val="000000" w:themeColor="text1"/>
        </w:rPr>
        <w:t xml:space="preserve"> all </w:t>
      </w:r>
      <w:r w:rsidRPr="00CB265B">
        <w:rPr>
          <w:rStyle w:val="Carded"/>
          <w:color w:val="000000" w:themeColor="text1"/>
        </w:rPr>
        <w:t>those</w:t>
      </w:r>
      <w:r w:rsidRPr="00CB265B">
        <w:rPr>
          <w:rStyle w:val="LinedDown"/>
          <w:color w:val="000000" w:themeColor="text1"/>
        </w:rPr>
        <w:t xml:space="preserve"> $2-an-hour </w:t>
      </w:r>
      <w:r w:rsidRPr="00CB265B">
        <w:rPr>
          <w:rStyle w:val="Carded"/>
          <w:color w:val="000000" w:themeColor="text1"/>
        </w:rPr>
        <w:t>servants poorly, reasoning</w:t>
      </w:r>
      <w:r w:rsidRPr="00CB265B">
        <w:rPr>
          <w:rStyle w:val="LinedDown"/>
          <w:color w:val="000000" w:themeColor="text1"/>
        </w:rPr>
        <w:t xml:space="preserve"> that </w:t>
      </w:r>
      <w:r w:rsidRPr="00CB265B">
        <w:rPr>
          <w:rStyle w:val="Carded"/>
          <w:color w:val="000000" w:themeColor="text1"/>
        </w:rPr>
        <w:t>their low wages must be due to</w:t>
      </w:r>
      <w:r w:rsidRPr="00CB265B">
        <w:rPr>
          <w:rStyle w:val="LinedDown"/>
          <w:color w:val="000000" w:themeColor="text1"/>
        </w:rPr>
        <w:t xml:space="preserve"> some </w:t>
      </w:r>
      <w:r w:rsidRPr="00CB265B">
        <w:rPr>
          <w:rStyle w:val="Carded"/>
          <w:color w:val="000000" w:themeColor="text1"/>
        </w:rPr>
        <w:t>moral failing</w:t>
      </w:r>
      <w:r w:rsidRPr="00CB265B">
        <w:rPr>
          <w:rStyle w:val="LinedDown"/>
          <w:color w:val="000000" w:themeColor="text1"/>
        </w:rPr>
        <w:t xml:space="preserve"> and consum ers’ lives of leisure due to some moral virtue</w:t>
      </w:r>
    </w:p>
    <w:p w14:paraId="68DB9C87" w14:textId="793BE3BF" w:rsidR="00852312" w:rsidRPr="00CB265B" w:rsidRDefault="00C6251E" w:rsidP="00CB265B">
      <w:pPr>
        <w:rPr>
          <w:color w:val="000000" w:themeColor="text1"/>
        </w:rPr>
      </w:pPr>
      <w:r w:rsidRPr="00CB265B">
        <w:rPr>
          <w:rStyle w:val="LinedDown"/>
          <w:color w:val="000000" w:themeColor="text1"/>
        </w:rPr>
        <w:br/>
      </w:r>
      <w:r w:rsidR="00CB265B" w:rsidRPr="00CB265B">
        <w:rPr>
          <w:color w:val="000000" w:themeColor="text1"/>
        </w:rPr>
        <w:t>4</w:t>
      </w:r>
      <w:r w:rsidR="00852312" w:rsidRPr="00CB265B">
        <w:rPr>
          <w:color w:val="000000" w:themeColor="text1"/>
        </w:rPr>
        <w:t xml:space="preserve">. Plan is key to give workers the power to fight for future gains. It enables them to resist domination in other aspects of their work. </w:t>
      </w:r>
      <w:r w:rsidR="00852312" w:rsidRPr="00CB265B">
        <w:rPr>
          <w:b/>
          <w:color w:val="000000" w:themeColor="text1"/>
        </w:rPr>
        <w:t>Rogers</w:t>
      </w:r>
      <w:r w:rsidR="00852312" w:rsidRPr="00CB265B">
        <w:rPr>
          <w:rStyle w:val="FootnoteReference"/>
          <w:b/>
          <w:color w:val="000000" w:themeColor="text1"/>
        </w:rPr>
        <w:footnoteReference w:id="4"/>
      </w:r>
    </w:p>
    <w:p w14:paraId="4C10C5C0" w14:textId="77777777" w:rsidR="00852312" w:rsidRPr="00CB265B" w:rsidRDefault="00852312" w:rsidP="00852312">
      <w:pPr>
        <w:rPr>
          <w:color w:val="000000" w:themeColor="text1"/>
        </w:rPr>
      </w:pPr>
    </w:p>
    <w:p w14:paraId="3A7F475E" w14:textId="77777777" w:rsidR="00852312" w:rsidRPr="00CB265B" w:rsidRDefault="00852312" w:rsidP="00852312">
      <w:pPr>
        <w:rPr>
          <w:b/>
          <w:bCs/>
          <w:color w:val="000000" w:themeColor="text1"/>
          <w:u w:val="single"/>
        </w:rPr>
      </w:pPr>
      <w:r w:rsidRPr="00CB265B">
        <w:rPr>
          <w:rStyle w:val="LinedDown"/>
          <w:color w:val="000000" w:themeColor="text1"/>
        </w:rPr>
        <w:t>2. Formal Legal Entitlements and Self-Respect.—</w:t>
      </w:r>
      <w:r w:rsidRPr="00CB265B">
        <w:rPr>
          <w:rStyle w:val="Carded"/>
          <w:color w:val="000000" w:themeColor="text1"/>
        </w:rPr>
        <w:t>Minimum wage laws</w:t>
      </w:r>
      <w:r w:rsidRPr="00CB265B">
        <w:rPr>
          <w:rStyle w:val="LinedDown"/>
          <w:color w:val="000000" w:themeColor="text1"/>
        </w:rPr>
        <w:t xml:space="preserve"> also </w:t>
      </w:r>
      <w:r w:rsidRPr="00CB265B">
        <w:rPr>
          <w:rStyle w:val="Carded"/>
          <w:color w:val="000000" w:themeColor="text1"/>
        </w:rPr>
        <w:t>enhance workers’ self-respect by granting</w:t>
      </w:r>
      <w:r w:rsidRPr="00CB265B">
        <w:rPr>
          <w:rStyle w:val="LinedDown"/>
          <w:color w:val="000000" w:themeColor="text1"/>
        </w:rPr>
        <w:t xml:space="preserve"> them </w:t>
      </w:r>
      <w:r w:rsidRPr="00CB265B">
        <w:rPr>
          <w:rStyle w:val="Carded"/>
          <w:color w:val="000000" w:themeColor="text1"/>
        </w:rPr>
        <w:t>formal</w:t>
      </w:r>
      <w:r w:rsidRPr="00CB265B">
        <w:rPr>
          <w:rStyle w:val="LinedDown"/>
          <w:color w:val="000000" w:themeColor="text1"/>
        </w:rPr>
        <w:t xml:space="preserve"> legal </w:t>
      </w:r>
      <w:r w:rsidRPr="00CB265B">
        <w:rPr>
          <w:rStyle w:val="Carded"/>
          <w:color w:val="000000" w:themeColor="text1"/>
        </w:rPr>
        <w:t>entitlements vis-à-vis employers.</w:t>
      </w:r>
      <w:r w:rsidRPr="00CB265B">
        <w:rPr>
          <w:rStyle w:val="LinedDown"/>
          <w:color w:val="000000" w:themeColor="text1"/>
        </w:rPr>
        <w:t xml:space="preserve"> This is in part an expressive effect of </w:t>
      </w:r>
      <w:r w:rsidRPr="00CB265B">
        <w:rPr>
          <w:rStyle w:val="Carded"/>
          <w:color w:val="000000" w:themeColor="text1"/>
        </w:rPr>
        <w:t>minimum wage laws</w:t>
      </w:r>
      <w:r w:rsidRPr="00CB265B">
        <w:rPr>
          <w:rStyle w:val="LinedDown"/>
          <w:color w:val="000000" w:themeColor="text1"/>
        </w:rPr>
        <w:t xml:space="preserve">, which </w:t>
      </w:r>
      <w:r w:rsidRPr="00CB265B">
        <w:rPr>
          <w:rStyle w:val="Carded"/>
          <w:color w:val="000000" w:themeColor="text1"/>
        </w:rPr>
        <w:t>are an easily grasped policy “that symbolize</w:t>
      </w:r>
      <w:r w:rsidRPr="00CB265B">
        <w:rPr>
          <w:rStyle w:val="LinedDown"/>
          <w:color w:val="000000" w:themeColor="text1"/>
        </w:rPr>
        <w:t>s</w:t>
      </w:r>
      <w:r w:rsidRPr="00CB265B">
        <w:rPr>
          <w:rStyle w:val="Carded"/>
          <w:color w:val="000000" w:themeColor="text1"/>
        </w:rPr>
        <w:t xml:space="preserve"> the political system’s commitment to working people</w:t>
      </w:r>
      <w:r w:rsidRPr="00CB265B">
        <w:rPr>
          <w:rStyle w:val="LinedDown"/>
          <w:color w:val="000000" w:themeColor="text1"/>
        </w:rPr>
        <w:t xml:space="preserve">.”165 Such laws signal </w:t>
      </w:r>
      <w:r w:rsidRPr="00CB265B">
        <w:rPr>
          <w:rStyle w:val="Carded"/>
          <w:color w:val="000000" w:themeColor="text1"/>
        </w:rPr>
        <w:t>that the state and</w:t>
      </w:r>
      <w:r w:rsidRPr="00CB265B">
        <w:rPr>
          <w:rStyle w:val="LinedDown"/>
          <w:color w:val="000000" w:themeColor="text1"/>
        </w:rPr>
        <w:t xml:space="preserve"> broader </w:t>
      </w:r>
      <w:r w:rsidRPr="00CB265B">
        <w:rPr>
          <w:rStyle w:val="Carded"/>
          <w:color w:val="000000" w:themeColor="text1"/>
        </w:rPr>
        <w:t>society view workers as worthy of</w:t>
      </w:r>
      <w:r w:rsidRPr="00CB265B">
        <w:rPr>
          <w:rStyle w:val="LinedDown"/>
          <w:color w:val="000000" w:themeColor="text1"/>
        </w:rPr>
        <w:t xml:space="preserve"> legal </w:t>
      </w:r>
      <w:r w:rsidRPr="00CB265B">
        <w:rPr>
          <w:rStyle w:val="Carded"/>
          <w:color w:val="000000" w:themeColor="text1"/>
        </w:rPr>
        <w:t>protection, even when doing so imposes costs upon more powerful social groups,</w:t>
      </w:r>
      <w:r w:rsidRPr="00CB265B">
        <w:rPr>
          <w:rStyle w:val="LinedDown"/>
          <w:color w:val="000000" w:themeColor="text1"/>
        </w:rPr>
        <w:t xml:space="preserve"> as captured well in the textile worker quote in this Article’s introduction. But the legal entitlements provided by minimum wage laws are not merely symbolic. Under such laws, workers can hale employers into court to prevent enforcement of labor contracts that pay less than the minimum, employers owe workers correlative duties, and state agencies stand ready to intervene on behalf of workers. The relationship between formal rights and self-respect is an enormous topic, but a few notes on that relationship within political and social theory should suffice to develop this point. Within liberalism, this idea seems to have animated Rawls’s argument that in a just society “</w:t>
      </w:r>
      <w:r w:rsidRPr="00CB265B">
        <w:rPr>
          <w:rStyle w:val="Carded"/>
          <w:color w:val="000000" w:themeColor="text1"/>
        </w:rPr>
        <w:t>self-respect is secured by</w:t>
      </w:r>
      <w:r w:rsidRPr="00CB265B">
        <w:rPr>
          <w:rStyle w:val="LinedDown"/>
          <w:color w:val="000000" w:themeColor="text1"/>
        </w:rPr>
        <w:t xml:space="preserve"> the </w:t>
      </w:r>
      <w:r w:rsidRPr="00CB265B">
        <w:rPr>
          <w:rStyle w:val="Carded"/>
          <w:color w:val="000000" w:themeColor="text1"/>
        </w:rPr>
        <w:t>public affirmation of</w:t>
      </w:r>
      <w:r w:rsidRPr="00CB265B">
        <w:rPr>
          <w:rStyle w:val="LinedDown"/>
          <w:color w:val="000000" w:themeColor="text1"/>
        </w:rPr>
        <w:t xml:space="preserve"> the status of </w:t>
      </w:r>
      <w:r w:rsidRPr="00CB265B">
        <w:rPr>
          <w:rStyle w:val="Carded"/>
          <w:color w:val="000000" w:themeColor="text1"/>
        </w:rPr>
        <w:t>equal citizenship</w:t>
      </w:r>
      <w:r w:rsidRPr="00CB265B">
        <w:rPr>
          <w:rStyle w:val="LinedDown"/>
          <w:color w:val="000000" w:themeColor="text1"/>
        </w:rPr>
        <w:t xml:space="preserve"> for all” through protection of equal liberties,166 as well as through the fact that “everyone endorses the difference principle, itself a form of reciprocity.”167 Public affirmation of such rights helps demonstrate that rights-bearing individuals are moral equals of other citizens. </w:t>
      </w:r>
      <w:r w:rsidRPr="00CB265B">
        <w:rPr>
          <w:rStyle w:val="Carded"/>
          <w:color w:val="000000" w:themeColor="text1"/>
        </w:rPr>
        <w:t>Once that</w:t>
      </w:r>
      <w:r w:rsidRPr="00CB265B">
        <w:rPr>
          <w:rStyle w:val="LinedDown"/>
          <w:color w:val="000000" w:themeColor="text1"/>
        </w:rPr>
        <w:t xml:space="preserve"> moral equality </w:t>
      </w:r>
      <w:r w:rsidRPr="00CB265B">
        <w:rPr>
          <w:rStyle w:val="Carded"/>
          <w:color w:val="000000" w:themeColor="text1"/>
        </w:rPr>
        <w:t>is clear, employers will not as readily subject such workers to abuses, and workers will</w:t>
      </w:r>
      <w:r w:rsidRPr="00CB265B">
        <w:rPr>
          <w:rStyle w:val="LinedDown"/>
          <w:color w:val="000000" w:themeColor="text1"/>
        </w:rPr>
        <w:t xml:space="preserve"> more readily </w:t>
      </w:r>
      <w:r w:rsidRPr="00CB265B">
        <w:rPr>
          <w:rStyle w:val="Carded"/>
          <w:color w:val="000000" w:themeColor="text1"/>
        </w:rPr>
        <w:t xml:space="preserve">contest unfair treatment by employers and other private actors. </w:t>
      </w:r>
    </w:p>
    <w:p w14:paraId="3FE1BB36" w14:textId="77777777" w:rsidR="00852312" w:rsidRPr="00CB265B" w:rsidRDefault="00852312" w:rsidP="00852312">
      <w:pPr>
        <w:rPr>
          <w:color w:val="000000" w:themeColor="text1"/>
        </w:rPr>
      </w:pPr>
    </w:p>
    <w:p w14:paraId="51D7ED31" w14:textId="77777777" w:rsidR="00852312" w:rsidRPr="00CB265B" w:rsidRDefault="00852312" w:rsidP="00A83E2D">
      <w:pPr>
        <w:rPr>
          <w:color w:val="000000" w:themeColor="text1"/>
        </w:rPr>
      </w:pPr>
      <w:r w:rsidRPr="00CB265B">
        <w:rPr>
          <w:color w:val="000000" w:themeColor="text1"/>
        </w:rPr>
        <w:t>Outweighs on scope – you can solve the present instance of harm, but this enables employees enables them to fight future employer mistreatment. I create a structural force for future change.</w:t>
      </w:r>
    </w:p>
    <w:p w14:paraId="099CFFD1" w14:textId="77777777" w:rsidR="00CB265B" w:rsidRPr="00CB265B" w:rsidRDefault="00CB265B" w:rsidP="00A83E2D">
      <w:pPr>
        <w:rPr>
          <w:color w:val="000000" w:themeColor="text1"/>
        </w:rPr>
      </w:pPr>
    </w:p>
    <w:p w14:paraId="35E6E58B" w14:textId="70C30852" w:rsidR="00CB265B" w:rsidRPr="00CB265B" w:rsidRDefault="00CB265B" w:rsidP="00CB265B">
      <w:pPr>
        <w:rPr>
          <w:color w:val="000000" w:themeColor="text1"/>
        </w:rPr>
      </w:pPr>
      <w:r w:rsidRPr="00CB265B">
        <w:rPr>
          <w:color w:val="000000" w:themeColor="text1"/>
        </w:rPr>
        <w:t>5</w:t>
      </w:r>
      <w:r w:rsidRPr="00CB265B">
        <w:rPr>
          <w:color w:val="000000" w:themeColor="text1"/>
        </w:rPr>
        <w:t>. Feelings of consideration and investment from the employer are a key driver of employee’s productivity.</w:t>
      </w:r>
    </w:p>
    <w:p w14:paraId="7600D0CC" w14:textId="77777777" w:rsidR="00CB265B" w:rsidRPr="00CB265B" w:rsidRDefault="00CB265B" w:rsidP="00CB265B">
      <w:pPr>
        <w:outlineLvl w:val="0"/>
        <w:rPr>
          <w:color w:val="000000" w:themeColor="text1"/>
        </w:rPr>
      </w:pPr>
      <w:r w:rsidRPr="00CB265B">
        <w:rPr>
          <w:b/>
          <w:color w:val="000000" w:themeColor="text1"/>
        </w:rPr>
        <w:lastRenderedPageBreak/>
        <w:t>Iverson and Zatwick</w:t>
      </w:r>
      <w:r w:rsidRPr="00CB265B">
        <w:rPr>
          <w:color w:val="000000" w:themeColor="text1"/>
        </w:rPr>
        <w:t xml:space="preserve"> write:</w:t>
      </w:r>
    </w:p>
    <w:p w14:paraId="18571102" w14:textId="77777777" w:rsidR="00CB265B" w:rsidRPr="00CB265B" w:rsidRDefault="00CB265B" w:rsidP="00CB265B">
      <w:pPr>
        <w:rPr>
          <w:color w:val="000000" w:themeColor="text1"/>
          <w:sz w:val="16"/>
          <w:szCs w:val="16"/>
        </w:rPr>
      </w:pPr>
      <w:r w:rsidRPr="00CB265B">
        <w:rPr>
          <w:color w:val="000000" w:themeColor="text1"/>
          <w:sz w:val="16"/>
          <w:szCs w:val="16"/>
        </w:rPr>
        <w:t>Roderick Iverson [Professor Emeritus @  UIowa] and Christopher Zatzick [Oraflea College of Business at Cal Poly]. THE EFFECTS OF DOWNSIZING ON LABOR PRODUCTIVITY: THE VALUE OF SHOWING CONSIDERATION FOR EMPLOYEES’ MORALE AND WELFARE IN HIGH-PERFORMANCE WORK SYSTEMS. Human Resource Management, January–February 2011, Vol. 50, No. 1, Pp. 29 – 44</w:t>
      </w:r>
    </w:p>
    <w:p w14:paraId="5F34269B" w14:textId="77777777" w:rsidR="00CB265B" w:rsidRPr="00CB265B" w:rsidRDefault="00CB265B" w:rsidP="00CB265B">
      <w:pPr>
        <w:rPr>
          <w:rStyle w:val="LinedDown"/>
          <w:color w:val="000000" w:themeColor="text1"/>
        </w:rPr>
      </w:pPr>
      <w:r w:rsidRPr="00CB265B">
        <w:rPr>
          <w:rStyle w:val="LinedDown"/>
          <w:color w:val="000000" w:themeColor="text1"/>
        </w:rPr>
        <w:t xml:space="preserve">The finding that showing consideration for employees’ morale and welfare during down-sizing is more important in HPWS extends prior research in several ways. First, </w:t>
      </w:r>
      <w:r w:rsidRPr="00CB265B">
        <w:rPr>
          <w:rStyle w:val="Carded"/>
          <w:color w:val="000000" w:themeColor="text1"/>
        </w:rPr>
        <w:t>our cur-rent results suggest that consideration is linked to labor productivity, an important relationship that builds on the original work of Chadwick</w:t>
      </w:r>
      <w:r w:rsidRPr="00CB265B">
        <w:rPr>
          <w:rStyle w:val="LinedDown"/>
          <w:color w:val="000000" w:themeColor="text1"/>
        </w:rPr>
        <w:t xml:space="preserve"> et al. (2004). </w:t>
      </w:r>
      <w:r w:rsidRPr="00CB265B">
        <w:rPr>
          <w:rStyle w:val="Carded"/>
          <w:color w:val="000000" w:themeColor="text1"/>
        </w:rPr>
        <w:t>Additionally, our findings indicate that demonstrating consid-eration for employees is essential in organiza-tions with more extensive HPWS. Showing consideration requires considerable invest-ments in terms of increased communication, training, and openness</w:t>
      </w:r>
      <w:r w:rsidRPr="00CB265B">
        <w:rPr>
          <w:rStyle w:val="LinedDown"/>
          <w:color w:val="000000" w:themeColor="text1"/>
        </w:rPr>
        <w:t>, where organizations need to make decisions about what is plausi-ble given the constraints of a downsizing environment.</w:t>
      </w:r>
    </w:p>
    <w:p w14:paraId="670E97EA" w14:textId="77777777" w:rsidR="00CB265B" w:rsidRPr="00CB265B" w:rsidRDefault="00CB265B" w:rsidP="00A83E2D">
      <w:pPr>
        <w:rPr>
          <w:color w:val="000000" w:themeColor="text1"/>
        </w:rPr>
      </w:pPr>
    </w:p>
    <w:bookmarkEnd w:id="0"/>
    <w:sectPr w:rsidR="00CB265B" w:rsidRPr="00CB265B" w:rsidSect="0058604C">
      <w:headerReference w:type="even" r:id="rId9"/>
      <w:headerReference w:type="default" r:id="rId10"/>
      <w:footerReference w:type="even" r:id="rId11"/>
      <w:footerReference w:type="default" r:id="rId12"/>
      <w:pgSz w:w="12240" w:h="15840"/>
      <w:pgMar w:top="720" w:right="720" w:bottom="720" w:left="72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1831">
      <wne:fci wne:fciName="ClearFormatting" wne:swArg="0000"/>
    </wne:keymap>
    <wne:keymap wne:kcmPrimary="1833">
      <wne:acd wne:acdName="acd0"/>
    </wne:keymap>
    <wne:keymap wne:kcmPrimary="1834">
      <wne:acd wne:acdName="acd1"/>
    </wne:keymap>
  </wne:keymaps>
  <wne:toolbars>
    <wne:acdManifest>
      <wne:acdEntry wne:acdName="acd0"/>
      <wne:acdEntry wne:acdName="acd1"/>
    </wne:acdManifest>
  </wne:toolbars>
  <wne:acds>
    <wne:acd wne:argValue="AgBDAGEAcgBkAGUAZAA=" wne:acdName="acd0" wne:fciIndexBasedOn="0065"/>
    <wne:acd wne:argValue="AgBMAGkAbgBlAGQAIABEAG8AdwBuAA==" wne:acdName="acd1"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E6C95B" w14:textId="77777777" w:rsidR="00B3462A" w:rsidRDefault="00B3462A" w:rsidP="0046729B">
      <w:r>
        <w:separator/>
      </w:r>
    </w:p>
  </w:endnote>
  <w:endnote w:type="continuationSeparator" w:id="0">
    <w:p w14:paraId="78592004" w14:textId="77777777" w:rsidR="00B3462A" w:rsidRDefault="00B3462A" w:rsidP="00467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Rockwell">
    <w:panose1 w:val="020606030202050204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C77FF" w14:textId="77777777" w:rsidR="00D27D11" w:rsidRDefault="00D27D11" w:rsidP="00EF13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34531E" w14:textId="77777777" w:rsidR="00D27D11" w:rsidRDefault="00D27D11" w:rsidP="00EF138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11282" w14:textId="77777777" w:rsidR="00D27D11" w:rsidRPr="00EF138F" w:rsidRDefault="00D27D11" w:rsidP="00EF138F">
    <w:pPr>
      <w:pStyle w:val="Footer"/>
      <w:framePr w:wrap="around" w:vAnchor="text" w:hAnchor="margin" w:xAlign="right" w:y="1"/>
      <w:rPr>
        <w:rStyle w:val="PageNumber"/>
        <w:b/>
        <w:sz w:val="28"/>
        <w:szCs w:val="28"/>
      </w:rPr>
    </w:pPr>
    <w:r w:rsidRPr="00EF138F">
      <w:rPr>
        <w:rStyle w:val="PageNumber"/>
        <w:b/>
        <w:sz w:val="28"/>
        <w:szCs w:val="28"/>
      </w:rPr>
      <w:fldChar w:fldCharType="begin"/>
    </w:r>
    <w:r w:rsidRPr="00EF138F">
      <w:rPr>
        <w:rStyle w:val="PageNumber"/>
        <w:b/>
        <w:sz w:val="28"/>
        <w:szCs w:val="28"/>
      </w:rPr>
      <w:instrText xml:space="preserve">PAGE  </w:instrText>
    </w:r>
    <w:r w:rsidRPr="00EF138F">
      <w:rPr>
        <w:rStyle w:val="PageNumber"/>
        <w:b/>
        <w:sz w:val="28"/>
        <w:szCs w:val="28"/>
      </w:rPr>
      <w:fldChar w:fldCharType="separate"/>
    </w:r>
    <w:r w:rsidR="00B3462A">
      <w:rPr>
        <w:rStyle w:val="PageNumber"/>
        <w:b/>
        <w:noProof/>
        <w:sz w:val="28"/>
        <w:szCs w:val="28"/>
      </w:rPr>
      <w:t>1</w:t>
    </w:r>
    <w:r w:rsidRPr="00EF138F">
      <w:rPr>
        <w:rStyle w:val="PageNumber"/>
        <w:b/>
        <w:sz w:val="28"/>
        <w:szCs w:val="28"/>
      </w:rPr>
      <w:fldChar w:fldCharType="end"/>
    </w:r>
  </w:p>
  <w:p w14:paraId="1B1FF9AB" w14:textId="77777777" w:rsidR="00D27D11" w:rsidRDefault="00D27D11" w:rsidP="00EF138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9DC01D" w14:textId="77777777" w:rsidR="00B3462A" w:rsidRDefault="00B3462A" w:rsidP="0046729B">
      <w:r>
        <w:separator/>
      </w:r>
    </w:p>
  </w:footnote>
  <w:footnote w:type="continuationSeparator" w:id="0">
    <w:p w14:paraId="70D6A0F6" w14:textId="77777777" w:rsidR="00B3462A" w:rsidRDefault="00B3462A" w:rsidP="0046729B">
      <w:r>
        <w:continuationSeparator/>
      </w:r>
    </w:p>
  </w:footnote>
  <w:footnote w:id="1">
    <w:p w14:paraId="1E2D5849" w14:textId="77777777" w:rsidR="0058604C" w:rsidRPr="00C6251E" w:rsidRDefault="0058604C" w:rsidP="0058604C">
      <w:pPr>
        <w:pStyle w:val="FootnoteText"/>
        <w:rPr>
          <w:sz w:val="16"/>
        </w:rPr>
      </w:pPr>
      <w:r w:rsidRPr="00C6251E">
        <w:rPr>
          <w:rStyle w:val="FootnoteReference"/>
          <w:sz w:val="16"/>
          <w:szCs w:val="16"/>
        </w:rPr>
        <w:footnoteRef/>
      </w:r>
      <w:r w:rsidRPr="00C6251E">
        <w:rPr>
          <w:sz w:val="16"/>
        </w:rPr>
        <w:t xml:space="preserve"> Merriam-Webster</w:t>
      </w:r>
    </w:p>
  </w:footnote>
  <w:footnote w:id="2">
    <w:p w14:paraId="4CA0B0C0" w14:textId="77777777" w:rsidR="0058604C" w:rsidRPr="00C6251E" w:rsidRDefault="0058604C" w:rsidP="0058604C">
      <w:pPr>
        <w:pStyle w:val="FootnoteText"/>
        <w:rPr>
          <w:sz w:val="16"/>
        </w:rPr>
      </w:pPr>
      <w:r w:rsidRPr="00C6251E">
        <w:rPr>
          <w:rStyle w:val="FootnoteReference"/>
          <w:sz w:val="16"/>
          <w:szCs w:val="16"/>
        </w:rPr>
        <w:footnoteRef/>
      </w:r>
      <w:r w:rsidRPr="00C6251E">
        <w:rPr>
          <w:sz w:val="16"/>
        </w:rPr>
        <w:t xml:space="preserve"> (Kevin Drum [Political blogger/writer for Mother Jones.], “Wage Subsidies Might Be a Good Idea, But Republicans Will Never Support It”, December 2013)</w:t>
      </w:r>
    </w:p>
  </w:footnote>
  <w:footnote w:id="3">
    <w:p w14:paraId="4BA9937C" w14:textId="77777777" w:rsidR="00852312" w:rsidRPr="00C6251E" w:rsidRDefault="00852312" w:rsidP="00852312">
      <w:pPr>
        <w:pStyle w:val="FootnoteText"/>
        <w:rPr>
          <w:sz w:val="16"/>
        </w:rPr>
      </w:pPr>
      <w:r w:rsidRPr="00C6251E">
        <w:rPr>
          <w:rStyle w:val="FootnoteReference"/>
          <w:sz w:val="16"/>
          <w:szCs w:val="16"/>
        </w:rPr>
        <w:footnoteRef/>
      </w:r>
      <w:r w:rsidRPr="00C6251E">
        <w:rPr>
          <w:sz w:val="16"/>
        </w:rPr>
        <w:t xml:space="preserve"> Rogers, Brishen [Assistant Professor of Law, Temple University James E. Beasley School of Law]. "Justice at Work: Minimum Wage Laws and Social Equality." Texas Law Review 92 (2013): 1543. Brackets in original</w:t>
      </w:r>
    </w:p>
  </w:footnote>
  <w:footnote w:id="4">
    <w:p w14:paraId="438BDECD" w14:textId="77777777" w:rsidR="00852312" w:rsidRPr="0093258A" w:rsidRDefault="00852312" w:rsidP="00852312">
      <w:pPr>
        <w:pStyle w:val="FootnoteText"/>
        <w:rPr>
          <w:szCs w:val="20"/>
        </w:rPr>
      </w:pPr>
      <w:r w:rsidRPr="0093258A">
        <w:rPr>
          <w:rStyle w:val="FootnoteReference"/>
        </w:rPr>
        <w:footnoteRef/>
      </w:r>
      <w:r w:rsidRPr="0093258A">
        <w:rPr>
          <w:szCs w:val="20"/>
        </w:rPr>
        <w:t xml:space="preserve"> Rogers, Brishen [Assistant Professor of Law, Temple University James E. Beasley School of Law]. "Justice at Work: Minimum Wage Laws and Social Equality." Texas Law Review 92 (2013): 1543. Brackets in original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E6057" w14:textId="77777777" w:rsidR="00D27D11" w:rsidRDefault="00D27D11" w:rsidP="00511106">
    <w:pPr>
      <w:pStyle w:val="Header"/>
      <w:tabs>
        <w:tab w:val="clear" w:pos="4320"/>
        <w:tab w:val="clear" w:pos="8640"/>
        <w:tab w:val="center" w:pos="5040"/>
        <w:tab w:val="right" w:pos="10080"/>
      </w:tabs>
    </w:pPr>
    <w:r>
      <w:t>[Type text]</w:t>
    </w:r>
    <w:r>
      <w:tab/>
      <w:t>[Type text]</w:t>
    </w:r>
    <w:r>
      <w:tab/>
      <w:t>[Type text]</w:t>
    </w:r>
  </w:p>
  <w:p w14:paraId="4DF2C218" w14:textId="77777777" w:rsidR="00D27D11" w:rsidRDefault="00D27D11" w:rsidP="0046729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5B95A" w14:textId="77777777" w:rsidR="00D27D11" w:rsidRPr="00731909" w:rsidRDefault="00F34F99" w:rsidP="00A343DC">
    <w:pPr>
      <w:pStyle w:val="Header"/>
      <w:tabs>
        <w:tab w:val="clear" w:pos="4320"/>
        <w:tab w:val="clear" w:pos="8640"/>
        <w:tab w:val="left" w:pos="0"/>
        <w:tab w:val="center" w:pos="5400"/>
        <w:tab w:val="right" w:pos="10800"/>
      </w:tabs>
      <w:spacing w:line="240" w:lineRule="auto"/>
      <w:jc w:val="left"/>
    </w:pPr>
    <w:r>
      <w:t>Rahul Gosain</w:t>
    </w:r>
    <w:r w:rsidR="00D27D11">
      <w:tab/>
    </w:r>
    <w:r w:rsidR="0058604C">
      <w:rPr>
        <w:rFonts w:ascii="Rockwell" w:hAnsi="Rockwell"/>
        <w:b/>
        <w:i/>
        <w:sz w:val="30"/>
        <w:szCs w:val="30"/>
      </w:rPr>
      <w:t>AT CP Wage Subsidies</w:t>
    </w:r>
    <w:r w:rsidR="00D27D11">
      <w:tab/>
      <w:t>Scarsdale Debate ’1</w:t>
    </w:r>
    <w:r w:rsidR="007E0366">
      <w:t>4</w:t>
    </w:r>
    <w:r w:rsidR="00D27D11">
      <w:t>-‘1</w:t>
    </w:r>
    <w:r w:rsidR="007E0366">
      <w:t>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19E23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56AD074"/>
    <w:lvl w:ilvl="0">
      <w:start w:val="1"/>
      <w:numFmt w:val="decimal"/>
      <w:lvlText w:val="%1."/>
      <w:lvlJc w:val="left"/>
      <w:pPr>
        <w:tabs>
          <w:tab w:val="num" w:pos="1800"/>
        </w:tabs>
        <w:ind w:left="1800" w:hanging="360"/>
      </w:pPr>
    </w:lvl>
  </w:abstractNum>
  <w:abstractNum w:abstractNumId="2">
    <w:nsid w:val="FFFFFF7D"/>
    <w:multiLevelType w:val="singleLevel"/>
    <w:tmpl w:val="1958ADFE"/>
    <w:lvl w:ilvl="0">
      <w:start w:val="1"/>
      <w:numFmt w:val="decimal"/>
      <w:lvlText w:val="%1."/>
      <w:lvlJc w:val="left"/>
      <w:pPr>
        <w:tabs>
          <w:tab w:val="num" w:pos="1440"/>
        </w:tabs>
        <w:ind w:left="1440" w:hanging="360"/>
      </w:pPr>
    </w:lvl>
  </w:abstractNum>
  <w:abstractNum w:abstractNumId="3">
    <w:nsid w:val="FFFFFF7E"/>
    <w:multiLevelType w:val="singleLevel"/>
    <w:tmpl w:val="10D65C36"/>
    <w:lvl w:ilvl="0">
      <w:start w:val="1"/>
      <w:numFmt w:val="decimal"/>
      <w:lvlText w:val="%1."/>
      <w:lvlJc w:val="left"/>
      <w:pPr>
        <w:tabs>
          <w:tab w:val="num" w:pos="1080"/>
        </w:tabs>
        <w:ind w:left="1080" w:hanging="360"/>
      </w:pPr>
    </w:lvl>
  </w:abstractNum>
  <w:abstractNum w:abstractNumId="4">
    <w:nsid w:val="FFFFFF7F"/>
    <w:multiLevelType w:val="singleLevel"/>
    <w:tmpl w:val="B94C3B00"/>
    <w:lvl w:ilvl="0">
      <w:start w:val="1"/>
      <w:numFmt w:val="decimal"/>
      <w:lvlText w:val="%1."/>
      <w:lvlJc w:val="left"/>
      <w:pPr>
        <w:tabs>
          <w:tab w:val="num" w:pos="720"/>
        </w:tabs>
        <w:ind w:left="720" w:hanging="360"/>
      </w:pPr>
    </w:lvl>
  </w:abstractNum>
  <w:abstractNum w:abstractNumId="5">
    <w:nsid w:val="FFFFFF80"/>
    <w:multiLevelType w:val="singleLevel"/>
    <w:tmpl w:val="E26E471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5FE24D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DCCD0F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FC4FF6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7501F6C"/>
    <w:lvl w:ilvl="0">
      <w:start w:val="1"/>
      <w:numFmt w:val="decimal"/>
      <w:lvlText w:val="%1."/>
      <w:lvlJc w:val="left"/>
      <w:pPr>
        <w:tabs>
          <w:tab w:val="num" w:pos="360"/>
        </w:tabs>
        <w:ind w:left="360" w:hanging="360"/>
      </w:pPr>
    </w:lvl>
  </w:abstractNum>
  <w:abstractNum w:abstractNumId="10">
    <w:nsid w:val="FFFFFF89"/>
    <w:multiLevelType w:val="singleLevel"/>
    <w:tmpl w:val="7EAE4D86"/>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04C"/>
    <w:rsid w:val="00067303"/>
    <w:rsid w:val="000739B3"/>
    <w:rsid w:val="000B2057"/>
    <w:rsid w:val="000D1D42"/>
    <w:rsid w:val="00120258"/>
    <w:rsid w:val="00145B0F"/>
    <w:rsid w:val="00161892"/>
    <w:rsid w:val="001730C8"/>
    <w:rsid w:val="00177B98"/>
    <w:rsid w:val="001A4C3A"/>
    <w:rsid w:val="001D2857"/>
    <w:rsid w:val="001D33C1"/>
    <w:rsid w:val="001E219A"/>
    <w:rsid w:val="001E288B"/>
    <w:rsid w:val="001E7410"/>
    <w:rsid w:val="00200E0B"/>
    <w:rsid w:val="00207253"/>
    <w:rsid w:val="002466FD"/>
    <w:rsid w:val="00267D45"/>
    <w:rsid w:val="002932EB"/>
    <w:rsid w:val="002957BC"/>
    <w:rsid w:val="002A52BE"/>
    <w:rsid w:val="002B29FC"/>
    <w:rsid w:val="002C7DAA"/>
    <w:rsid w:val="00302B49"/>
    <w:rsid w:val="003238CC"/>
    <w:rsid w:val="003A205C"/>
    <w:rsid w:val="003A26E1"/>
    <w:rsid w:val="003B4B56"/>
    <w:rsid w:val="003E15A0"/>
    <w:rsid w:val="00404B76"/>
    <w:rsid w:val="00416801"/>
    <w:rsid w:val="00433998"/>
    <w:rsid w:val="00435AF6"/>
    <w:rsid w:val="004546CD"/>
    <w:rsid w:val="0045694A"/>
    <w:rsid w:val="0046729B"/>
    <w:rsid w:val="00482BDE"/>
    <w:rsid w:val="004A1A0A"/>
    <w:rsid w:val="00511106"/>
    <w:rsid w:val="005206CE"/>
    <w:rsid w:val="00541F83"/>
    <w:rsid w:val="0056262D"/>
    <w:rsid w:val="0058604C"/>
    <w:rsid w:val="0059293C"/>
    <w:rsid w:val="005A254A"/>
    <w:rsid w:val="005E4311"/>
    <w:rsid w:val="005F46BB"/>
    <w:rsid w:val="00601B54"/>
    <w:rsid w:val="00611371"/>
    <w:rsid w:val="006322F9"/>
    <w:rsid w:val="0063298F"/>
    <w:rsid w:val="00646F73"/>
    <w:rsid w:val="006753B6"/>
    <w:rsid w:val="00683328"/>
    <w:rsid w:val="006C0F93"/>
    <w:rsid w:val="006E07CB"/>
    <w:rsid w:val="00711315"/>
    <w:rsid w:val="00731909"/>
    <w:rsid w:val="00735A3D"/>
    <w:rsid w:val="00742A0F"/>
    <w:rsid w:val="007541B3"/>
    <w:rsid w:val="00776759"/>
    <w:rsid w:val="007B7DAC"/>
    <w:rsid w:val="007E0366"/>
    <w:rsid w:val="007F0E0C"/>
    <w:rsid w:val="00800C89"/>
    <w:rsid w:val="00805FD4"/>
    <w:rsid w:val="00813C84"/>
    <w:rsid w:val="00852312"/>
    <w:rsid w:val="00873CDE"/>
    <w:rsid w:val="008B396C"/>
    <w:rsid w:val="008C5495"/>
    <w:rsid w:val="008E7578"/>
    <w:rsid w:val="008F11FD"/>
    <w:rsid w:val="008F58A1"/>
    <w:rsid w:val="00933EFA"/>
    <w:rsid w:val="009378A4"/>
    <w:rsid w:val="00946809"/>
    <w:rsid w:val="00957A92"/>
    <w:rsid w:val="009719B4"/>
    <w:rsid w:val="009E7284"/>
    <w:rsid w:val="009F1042"/>
    <w:rsid w:val="00A343DC"/>
    <w:rsid w:val="00A46016"/>
    <w:rsid w:val="00A60DF5"/>
    <w:rsid w:val="00A83E2D"/>
    <w:rsid w:val="00AE441F"/>
    <w:rsid w:val="00AF7C55"/>
    <w:rsid w:val="00B24D42"/>
    <w:rsid w:val="00B30F29"/>
    <w:rsid w:val="00B3462A"/>
    <w:rsid w:val="00B80EF9"/>
    <w:rsid w:val="00BA0A99"/>
    <w:rsid w:val="00BA72C5"/>
    <w:rsid w:val="00BD5D22"/>
    <w:rsid w:val="00BE0CD9"/>
    <w:rsid w:val="00C01388"/>
    <w:rsid w:val="00C6251E"/>
    <w:rsid w:val="00C8652A"/>
    <w:rsid w:val="00CB265B"/>
    <w:rsid w:val="00D20EF4"/>
    <w:rsid w:val="00D27D11"/>
    <w:rsid w:val="00D70786"/>
    <w:rsid w:val="00D77F9C"/>
    <w:rsid w:val="00DA32E8"/>
    <w:rsid w:val="00DC7E83"/>
    <w:rsid w:val="00E06C0A"/>
    <w:rsid w:val="00E826A6"/>
    <w:rsid w:val="00EA6E1E"/>
    <w:rsid w:val="00EE6BF9"/>
    <w:rsid w:val="00EF138F"/>
    <w:rsid w:val="00EF2E92"/>
    <w:rsid w:val="00F00AE9"/>
    <w:rsid w:val="00F00BB1"/>
    <w:rsid w:val="00F12850"/>
    <w:rsid w:val="00F34F99"/>
    <w:rsid w:val="00F411CA"/>
    <w:rsid w:val="00F628AF"/>
    <w:rsid w:val="00F63103"/>
    <w:rsid w:val="00F7729E"/>
    <w:rsid w:val="00F93169"/>
    <w:rsid w:val="00FB6E20"/>
    <w:rsid w:val="00FD0015"/>
    <w:rsid w:val="00FE45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94092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ＭＳ 明朝" w:hAnsi="Cambria"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04C"/>
    <w:pPr>
      <w:widowControl w:val="0"/>
      <w:jc w:val="both"/>
    </w:pPr>
    <w:rPr>
      <w:rFonts w:ascii="Times New Roman" w:eastAsia="MS Mincho" w:hAnsi="Times New Roman"/>
      <w:sz w:val="24"/>
      <w:szCs w:val="24"/>
    </w:rPr>
  </w:style>
  <w:style w:type="paragraph" w:styleId="Heading1">
    <w:name w:val="heading 1"/>
    <w:basedOn w:val="Normal"/>
    <w:next w:val="Normal"/>
    <w:link w:val="Heading1Char"/>
    <w:uiPriority w:val="9"/>
    <w:qFormat/>
    <w:rsid w:val="00D70786"/>
    <w:pPr>
      <w:keepNext/>
      <w:keepLines/>
      <w:pageBreakBefore/>
      <w:spacing w:line="276" w:lineRule="auto"/>
      <w:jc w:val="center"/>
      <w:outlineLvl w:val="0"/>
    </w:pPr>
    <w:rPr>
      <w:rFonts w:eastAsia="ＭＳ ゴシック"/>
      <w:b/>
      <w:bCs/>
      <w:caps/>
      <w:sz w:val="28"/>
      <w:szCs w:val="28"/>
    </w:rPr>
  </w:style>
  <w:style w:type="paragraph" w:styleId="Heading2">
    <w:name w:val="heading 2"/>
    <w:basedOn w:val="Normal"/>
    <w:next w:val="Normal"/>
    <w:link w:val="Heading2Char"/>
    <w:uiPriority w:val="9"/>
    <w:unhideWhenUsed/>
    <w:qFormat/>
    <w:rsid w:val="00D70786"/>
    <w:pPr>
      <w:keepNext/>
      <w:keepLines/>
      <w:spacing w:line="276" w:lineRule="auto"/>
      <w:jc w:val="center"/>
      <w:outlineLvl w:val="1"/>
    </w:pPr>
    <w:rPr>
      <w:rFonts w:eastAsia="ＭＳ ゴシック"/>
      <w:b/>
      <w:bCs/>
      <w:color w:val="000000"/>
      <w:sz w:val="26"/>
      <w:szCs w:val="26"/>
      <w:u w:val="single"/>
    </w:rPr>
  </w:style>
  <w:style w:type="paragraph" w:styleId="Heading3">
    <w:name w:val="heading 3"/>
    <w:basedOn w:val="Normal"/>
    <w:next w:val="Normal"/>
    <w:link w:val="Heading3Char"/>
    <w:uiPriority w:val="9"/>
    <w:unhideWhenUsed/>
    <w:rsid w:val="002932EB"/>
    <w:pPr>
      <w:spacing w:line="276" w:lineRule="auto"/>
      <w:outlineLvl w:val="2"/>
    </w:pPr>
    <w:rPr>
      <w:rFonts w:eastAsia="ＭＳ 明朝"/>
      <w:color w:val="000000" w:themeColor="text1"/>
      <w:u w:val="single"/>
    </w:rPr>
  </w:style>
  <w:style w:type="paragraph" w:styleId="Heading4">
    <w:name w:val="heading 4"/>
    <w:basedOn w:val="Normal"/>
    <w:next w:val="Normal"/>
    <w:link w:val="Heading4Char"/>
    <w:uiPriority w:val="9"/>
    <w:unhideWhenUsed/>
    <w:rsid w:val="00F00BB1"/>
    <w:pPr>
      <w:keepNext/>
      <w:keepLines/>
      <w:spacing w:before="200" w:line="276" w:lineRule="auto"/>
      <w:outlineLvl w:val="3"/>
    </w:pPr>
    <w:rPr>
      <w:rFonts w:eastAsia="ＭＳ ゴシック"/>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2932EB"/>
    <w:rPr>
      <w:rFonts w:ascii="Times New Roman" w:hAnsi="Times New Roman"/>
      <w:color w:val="000000" w:themeColor="text1"/>
      <w:sz w:val="24"/>
      <w:szCs w:val="24"/>
      <w:u w:val="single"/>
    </w:rPr>
  </w:style>
  <w:style w:type="paragraph" w:styleId="TOC1">
    <w:name w:val="toc 1"/>
    <w:basedOn w:val="Normal"/>
    <w:next w:val="Normal"/>
    <w:autoRedefine/>
    <w:uiPriority w:val="39"/>
    <w:unhideWhenUsed/>
    <w:rsid w:val="00404B76"/>
    <w:pPr>
      <w:jc w:val="left"/>
    </w:pPr>
    <w:rPr>
      <w:rFonts w:eastAsia="ＭＳ 明朝"/>
      <w:b/>
      <w:bCs/>
      <w:caps/>
      <w:noProof/>
    </w:rPr>
  </w:style>
  <w:style w:type="paragraph" w:styleId="TOC3">
    <w:name w:val="toc 3"/>
    <w:basedOn w:val="Normal"/>
    <w:next w:val="Normal"/>
    <w:autoRedefine/>
    <w:uiPriority w:val="39"/>
    <w:unhideWhenUsed/>
    <w:rsid w:val="00F411CA"/>
    <w:pPr>
      <w:ind w:left="480"/>
      <w:jc w:val="left"/>
    </w:pPr>
    <w:rPr>
      <w:rFonts w:eastAsia="ＭＳ 明朝"/>
      <w:noProof/>
      <w:sz w:val="22"/>
      <w:szCs w:val="22"/>
    </w:rPr>
  </w:style>
  <w:style w:type="paragraph" w:styleId="Header">
    <w:name w:val="header"/>
    <w:basedOn w:val="Normal"/>
    <w:link w:val="HeaderChar"/>
    <w:uiPriority w:val="99"/>
    <w:unhideWhenUsed/>
    <w:rsid w:val="0046729B"/>
    <w:pPr>
      <w:tabs>
        <w:tab w:val="center" w:pos="4320"/>
        <w:tab w:val="right" w:pos="8640"/>
      </w:tabs>
      <w:spacing w:line="276" w:lineRule="auto"/>
    </w:pPr>
    <w:rPr>
      <w:rFonts w:eastAsia="ＭＳ 明朝"/>
    </w:rPr>
  </w:style>
  <w:style w:type="character" w:customStyle="1" w:styleId="HeaderChar">
    <w:name w:val="Header Char"/>
    <w:basedOn w:val="DefaultParagraphFont"/>
    <w:link w:val="Header"/>
    <w:uiPriority w:val="99"/>
    <w:rsid w:val="0046729B"/>
  </w:style>
  <w:style w:type="paragraph" w:styleId="Footer">
    <w:name w:val="footer"/>
    <w:basedOn w:val="Normal"/>
    <w:link w:val="FooterChar"/>
    <w:uiPriority w:val="99"/>
    <w:unhideWhenUsed/>
    <w:rsid w:val="0046729B"/>
    <w:pPr>
      <w:tabs>
        <w:tab w:val="center" w:pos="4320"/>
        <w:tab w:val="right" w:pos="8640"/>
      </w:tabs>
      <w:spacing w:line="276" w:lineRule="auto"/>
    </w:pPr>
    <w:rPr>
      <w:rFonts w:eastAsia="ＭＳ 明朝"/>
    </w:rPr>
  </w:style>
  <w:style w:type="character" w:customStyle="1" w:styleId="FooterChar">
    <w:name w:val="Footer Char"/>
    <w:basedOn w:val="DefaultParagraphFont"/>
    <w:link w:val="Footer"/>
    <w:uiPriority w:val="99"/>
    <w:rsid w:val="0046729B"/>
  </w:style>
  <w:style w:type="paragraph" w:styleId="NoSpacing">
    <w:name w:val="No Spacing"/>
    <w:uiPriority w:val="1"/>
    <w:rsid w:val="00120258"/>
    <w:pPr>
      <w:jc w:val="both"/>
    </w:pPr>
    <w:rPr>
      <w:rFonts w:ascii="Times New Roman" w:hAnsi="Times New Roman"/>
      <w:sz w:val="24"/>
      <w:szCs w:val="24"/>
    </w:rPr>
  </w:style>
  <w:style w:type="character" w:customStyle="1" w:styleId="Heading1Char">
    <w:name w:val="Heading 1 Char"/>
    <w:link w:val="Heading1"/>
    <w:uiPriority w:val="9"/>
    <w:rsid w:val="00D70786"/>
    <w:rPr>
      <w:rFonts w:ascii="Times New Roman" w:eastAsia="ＭＳ ゴシック" w:hAnsi="Times New Roman"/>
      <w:b/>
      <w:bCs/>
      <w:caps/>
      <w:sz w:val="28"/>
      <w:szCs w:val="28"/>
    </w:rPr>
  </w:style>
  <w:style w:type="character" w:customStyle="1" w:styleId="Heading2Char">
    <w:name w:val="Heading 2 Char"/>
    <w:link w:val="Heading2"/>
    <w:uiPriority w:val="9"/>
    <w:rsid w:val="00D70786"/>
    <w:rPr>
      <w:rFonts w:ascii="Times New Roman" w:eastAsia="ＭＳ ゴシック" w:hAnsi="Times New Roman"/>
      <w:b/>
      <w:bCs/>
      <w:color w:val="000000"/>
      <w:sz w:val="26"/>
      <w:szCs w:val="26"/>
      <w:u w:val="single"/>
    </w:rPr>
  </w:style>
  <w:style w:type="paragraph" w:styleId="ListParagraph">
    <w:name w:val="List Paragraph"/>
    <w:basedOn w:val="Normal"/>
    <w:uiPriority w:val="34"/>
    <w:rsid w:val="0046729B"/>
    <w:pPr>
      <w:spacing w:line="276" w:lineRule="auto"/>
      <w:ind w:left="720"/>
      <w:contextualSpacing/>
    </w:pPr>
    <w:rPr>
      <w:rFonts w:eastAsia="ＭＳ 明朝"/>
    </w:rPr>
  </w:style>
  <w:style w:type="paragraph" w:styleId="TOC2">
    <w:name w:val="toc 2"/>
    <w:basedOn w:val="Normal"/>
    <w:next w:val="Normal"/>
    <w:autoRedefine/>
    <w:uiPriority w:val="39"/>
    <w:unhideWhenUsed/>
    <w:rsid w:val="00F411CA"/>
    <w:pPr>
      <w:ind w:left="240"/>
      <w:jc w:val="left"/>
    </w:pPr>
    <w:rPr>
      <w:rFonts w:eastAsia="ＭＳ 明朝"/>
      <w:b/>
      <w:noProof/>
      <w:sz w:val="22"/>
      <w:szCs w:val="22"/>
    </w:rPr>
  </w:style>
  <w:style w:type="paragraph" w:styleId="TOC4">
    <w:name w:val="toc 4"/>
    <w:basedOn w:val="Normal"/>
    <w:next w:val="Normal"/>
    <w:autoRedefine/>
    <w:uiPriority w:val="39"/>
    <w:unhideWhenUsed/>
    <w:rsid w:val="0046729B"/>
    <w:pPr>
      <w:spacing w:line="276" w:lineRule="auto"/>
      <w:ind w:left="720"/>
      <w:jc w:val="left"/>
    </w:pPr>
    <w:rPr>
      <w:rFonts w:eastAsia="ＭＳ 明朝"/>
      <w:sz w:val="20"/>
      <w:szCs w:val="20"/>
    </w:rPr>
  </w:style>
  <w:style w:type="paragraph" w:styleId="TOC5">
    <w:name w:val="toc 5"/>
    <w:basedOn w:val="Normal"/>
    <w:next w:val="Normal"/>
    <w:autoRedefine/>
    <w:uiPriority w:val="39"/>
    <w:unhideWhenUsed/>
    <w:rsid w:val="0046729B"/>
    <w:pPr>
      <w:spacing w:line="276" w:lineRule="auto"/>
      <w:ind w:left="960"/>
      <w:jc w:val="left"/>
    </w:pPr>
    <w:rPr>
      <w:rFonts w:eastAsia="ＭＳ 明朝"/>
      <w:sz w:val="20"/>
      <w:szCs w:val="20"/>
    </w:rPr>
  </w:style>
  <w:style w:type="paragraph" w:styleId="TOC6">
    <w:name w:val="toc 6"/>
    <w:basedOn w:val="Normal"/>
    <w:next w:val="Normal"/>
    <w:autoRedefine/>
    <w:uiPriority w:val="39"/>
    <w:unhideWhenUsed/>
    <w:rsid w:val="0046729B"/>
    <w:pPr>
      <w:spacing w:line="276" w:lineRule="auto"/>
      <w:ind w:left="1200"/>
      <w:jc w:val="left"/>
    </w:pPr>
    <w:rPr>
      <w:rFonts w:eastAsia="ＭＳ 明朝"/>
      <w:sz w:val="20"/>
      <w:szCs w:val="20"/>
    </w:rPr>
  </w:style>
  <w:style w:type="paragraph" w:styleId="TOC7">
    <w:name w:val="toc 7"/>
    <w:basedOn w:val="Normal"/>
    <w:next w:val="Normal"/>
    <w:autoRedefine/>
    <w:uiPriority w:val="39"/>
    <w:unhideWhenUsed/>
    <w:rsid w:val="0046729B"/>
    <w:pPr>
      <w:spacing w:line="276" w:lineRule="auto"/>
      <w:ind w:left="1440"/>
      <w:jc w:val="left"/>
    </w:pPr>
    <w:rPr>
      <w:rFonts w:eastAsia="ＭＳ 明朝"/>
      <w:sz w:val="20"/>
      <w:szCs w:val="20"/>
    </w:rPr>
  </w:style>
  <w:style w:type="paragraph" w:styleId="TOC8">
    <w:name w:val="toc 8"/>
    <w:basedOn w:val="Normal"/>
    <w:next w:val="Normal"/>
    <w:autoRedefine/>
    <w:uiPriority w:val="39"/>
    <w:unhideWhenUsed/>
    <w:rsid w:val="0046729B"/>
    <w:pPr>
      <w:spacing w:line="276" w:lineRule="auto"/>
      <w:ind w:left="1680"/>
      <w:jc w:val="left"/>
    </w:pPr>
    <w:rPr>
      <w:rFonts w:eastAsia="ＭＳ 明朝"/>
      <w:sz w:val="20"/>
      <w:szCs w:val="20"/>
    </w:rPr>
  </w:style>
  <w:style w:type="paragraph" w:styleId="TOC9">
    <w:name w:val="toc 9"/>
    <w:basedOn w:val="Normal"/>
    <w:next w:val="Normal"/>
    <w:autoRedefine/>
    <w:uiPriority w:val="39"/>
    <w:unhideWhenUsed/>
    <w:rsid w:val="0046729B"/>
    <w:pPr>
      <w:spacing w:line="276" w:lineRule="auto"/>
      <w:ind w:left="1920"/>
      <w:jc w:val="left"/>
    </w:pPr>
    <w:rPr>
      <w:rFonts w:eastAsia="ＭＳ 明朝"/>
      <w:sz w:val="20"/>
      <w:szCs w:val="20"/>
    </w:rPr>
  </w:style>
  <w:style w:type="paragraph" w:styleId="TOCHeading">
    <w:name w:val="TOC Heading"/>
    <w:basedOn w:val="Normal"/>
    <w:next w:val="Normal"/>
    <w:autoRedefine/>
    <w:uiPriority w:val="39"/>
    <w:unhideWhenUsed/>
    <w:rsid w:val="00F411CA"/>
    <w:pPr>
      <w:pBdr>
        <w:top w:val="single" w:sz="18" w:space="1" w:color="auto"/>
        <w:left w:val="single" w:sz="18" w:space="4" w:color="auto"/>
        <w:bottom w:val="single" w:sz="18" w:space="1" w:color="auto"/>
        <w:right w:val="single" w:sz="18" w:space="4" w:color="auto"/>
      </w:pBdr>
      <w:jc w:val="center"/>
    </w:pPr>
    <w:rPr>
      <w:rFonts w:eastAsia="ＭＳ ゴシック"/>
      <w:b/>
      <w:bCs/>
      <w:caps/>
      <w:sz w:val="28"/>
      <w:szCs w:val="28"/>
    </w:rPr>
  </w:style>
  <w:style w:type="paragraph" w:styleId="BalloonText">
    <w:name w:val="Balloon Text"/>
    <w:basedOn w:val="Normal"/>
    <w:link w:val="BalloonTextChar"/>
    <w:uiPriority w:val="99"/>
    <w:semiHidden/>
    <w:unhideWhenUsed/>
    <w:rsid w:val="0046729B"/>
    <w:pPr>
      <w:spacing w:line="276" w:lineRule="auto"/>
    </w:pPr>
    <w:rPr>
      <w:rFonts w:ascii="Lucida Grande" w:eastAsia="ＭＳ 明朝" w:hAnsi="Lucida Grande" w:cs="Lucida Grande"/>
      <w:sz w:val="18"/>
      <w:szCs w:val="18"/>
    </w:rPr>
  </w:style>
  <w:style w:type="character" w:customStyle="1" w:styleId="BalloonTextChar">
    <w:name w:val="Balloon Text Char"/>
    <w:link w:val="BalloonText"/>
    <w:uiPriority w:val="99"/>
    <w:semiHidden/>
    <w:rsid w:val="0046729B"/>
    <w:rPr>
      <w:rFonts w:ascii="Lucida Grande" w:hAnsi="Lucida Grande" w:cs="Lucida Grande"/>
      <w:sz w:val="18"/>
      <w:szCs w:val="18"/>
    </w:rPr>
  </w:style>
  <w:style w:type="character" w:styleId="PageNumber">
    <w:name w:val="page number"/>
    <w:basedOn w:val="DefaultParagraphFont"/>
    <w:uiPriority w:val="99"/>
    <w:semiHidden/>
    <w:unhideWhenUsed/>
    <w:rsid w:val="00EF138F"/>
  </w:style>
  <w:style w:type="character" w:customStyle="1" w:styleId="Heading4Char">
    <w:name w:val="Heading 4 Char"/>
    <w:link w:val="Heading4"/>
    <w:uiPriority w:val="9"/>
    <w:rsid w:val="00F00BB1"/>
    <w:rPr>
      <w:rFonts w:ascii="Times New Roman" w:eastAsia="ＭＳ ゴシック" w:hAnsi="Times New Roman"/>
      <w:b/>
      <w:bCs/>
      <w:i/>
      <w:iCs/>
      <w:color w:val="4F81BD"/>
      <w:sz w:val="24"/>
      <w:szCs w:val="24"/>
    </w:rPr>
  </w:style>
  <w:style w:type="character" w:customStyle="1" w:styleId="LinedDown">
    <w:name w:val="Lined Down"/>
    <w:uiPriority w:val="1"/>
    <w:qFormat/>
    <w:rsid w:val="00D70786"/>
    <w:rPr>
      <w:rFonts w:cs="Times New Roman"/>
      <w:b w:val="0"/>
      <w:bCs w:val="0"/>
      <w:i w:val="0"/>
      <w:iCs w:val="0"/>
      <w:color w:val="000000"/>
      <w:sz w:val="12"/>
      <w:szCs w:val="12"/>
      <w:u w:val="none"/>
    </w:rPr>
  </w:style>
  <w:style w:type="character" w:customStyle="1" w:styleId="Carded">
    <w:name w:val="Carded"/>
    <w:qFormat/>
    <w:rsid w:val="00D70786"/>
    <w:rPr>
      <w:rFonts w:cs="Times New Roman"/>
      <w:b/>
      <w:bCs/>
      <w:color w:val="000000"/>
      <w:sz w:val="24"/>
      <w:szCs w:val="24"/>
      <w:u w:val="single"/>
    </w:rPr>
  </w:style>
  <w:style w:type="character" w:styleId="FootnoteReference">
    <w:name w:val="footnote reference"/>
    <w:aliases w:val="FN Ref,footnote reference"/>
    <w:qFormat/>
    <w:rsid w:val="00D70786"/>
    <w:rPr>
      <w:rFonts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D70786"/>
    <w:pPr>
      <w:widowControl/>
    </w:pPr>
    <w:rPr>
      <w:rFonts w:eastAsia="ＭＳ 明朝"/>
      <w:sz w:val="20"/>
      <w:szCs w:val="16"/>
    </w:rPr>
  </w:style>
  <w:style w:type="character" w:customStyle="1" w:styleId="FootnoteTextChar">
    <w:name w:val="Footnote Text Char"/>
    <w:link w:val="FootnoteText"/>
    <w:uiPriority w:val="99"/>
    <w:rsid w:val="00D70786"/>
    <w:rPr>
      <w:rFonts w:ascii="Times New Roman" w:hAnsi="Times New Roman"/>
      <w:szCs w:val="16"/>
    </w:rPr>
  </w:style>
  <w:style w:type="character" w:customStyle="1" w:styleId="apple-converted-space">
    <w:name w:val="apple-converted-space"/>
    <w:basedOn w:val="DefaultParagraphFont"/>
    <w:rsid w:val="00C6251E"/>
  </w:style>
  <w:style w:type="paragraph" w:styleId="DocumentMap">
    <w:name w:val="Document Map"/>
    <w:basedOn w:val="Normal"/>
    <w:link w:val="DocumentMapChar"/>
    <w:uiPriority w:val="99"/>
    <w:semiHidden/>
    <w:unhideWhenUsed/>
    <w:rsid w:val="00CB265B"/>
    <w:rPr>
      <w:rFonts w:ascii="Helvetica" w:hAnsi="Helvetica"/>
    </w:rPr>
  </w:style>
  <w:style w:type="character" w:customStyle="1" w:styleId="DocumentMapChar">
    <w:name w:val="Document Map Char"/>
    <w:basedOn w:val="DefaultParagraphFont"/>
    <w:link w:val="DocumentMap"/>
    <w:uiPriority w:val="99"/>
    <w:semiHidden/>
    <w:rsid w:val="00CB265B"/>
    <w:rPr>
      <w:rFonts w:ascii="Helvetica" w:eastAsia="MS Mincho" w:hAnsi="Helvetic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264689">
      <w:bodyDiv w:val="1"/>
      <w:marLeft w:val="0"/>
      <w:marRight w:val="0"/>
      <w:marTop w:val="0"/>
      <w:marBottom w:val="0"/>
      <w:divBdr>
        <w:top w:val="none" w:sz="0" w:space="0" w:color="auto"/>
        <w:left w:val="none" w:sz="0" w:space="0" w:color="auto"/>
        <w:bottom w:val="none" w:sz="0" w:space="0" w:color="auto"/>
        <w:right w:val="none" w:sz="0" w:space="0" w:color="auto"/>
      </w:divBdr>
    </w:div>
    <w:div w:id="1181235207">
      <w:bodyDiv w:val="1"/>
      <w:marLeft w:val="0"/>
      <w:marRight w:val="0"/>
      <w:marTop w:val="0"/>
      <w:marBottom w:val="0"/>
      <w:divBdr>
        <w:top w:val="none" w:sz="0" w:space="0" w:color="auto"/>
        <w:left w:val="none" w:sz="0" w:space="0" w:color="auto"/>
        <w:bottom w:val="none" w:sz="0" w:space="0" w:color="auto"/>
        <w:right w:val="none" w:sz="0" w:space="0" w:color="auto"/>
      </w:divBdr>
    </w:div>
    <w:div w:id="1401831504">
      <w:bodyDiv w:val="1"/>
      <w:marLeft w:val="0"/>
      <w:marRight w:val="0"/>
      <w:marTop w:val="0"/>
      <w:marBottom w:val="0"/>
      <w:divBdr>
        <w:top w:val="none" w:sz="0" w:space="0" w:color="auto"/>
        <w:left w:val="none" w:sz="0" w:space="0" w:color="auto"/>
        <w:bottom w:val="none" w:sz="0" w:space="0" w:color="auto"/>
        <w:right w:val="none" w:sz="0" w:space="0" w:color="auto"/>
      </w:divBdr>
    </w:div>
    <w:div w:id="1446734219">
      <w:bodyDiv w:val="1"/>
      <w:marLeft w:val="0"/>
      <w:marRight w:val="0"/>
      <w:marTop w:val="0"/>
      <w:marBottom w:val="0"/>
      <w:divBdr>
        <w:top w:val="none" w:sz="0" w:space="0" w:color="auto"/>
        <w:left w:val="none" w:sz="0" w:space="0" w:color="auto"/>
        <w:bottom w:val="none" w:sz="0" w:space="0" w:color="auto"/>
        <w:right w:val="none" w:sz="0" w:space="0" w:color="auto"/>
      </w:divBdr>
      <w:divsChild>
        <w:div w:id="262611078">
          <w:marLeft w:val="0"/>
          <w:marRight w:val="0"/>
          <w:marTop w:val="300"/>
          <w:marBottom w:val="3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ahulgosain:Dropbox:Microsoft%20User%20Data:User%20Templates:My%20Templates:Debat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E73C28A-10C9-DA4E-9C2F-4330D833F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HD:Users:rahulgosain:Dropbox:Microsoft User Data:User Templates:My Templates:Debate Template.dotx</Template>
  <TotalTime>2</TotalTime>
  <Pages>2</Pages>
  <Words>888</Words>
  <Characters>5068</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Gosain</dc:creator>
  <cp:keywords/>
  <dc:description/>
  <cp:lastModifiedBy>Microsoft Office User</cp:lastModifiedBy>
  <cp:revision>2</cp:revision>
  <dcterms:created xsi:type="dcterms:W3CDTF">2015-05-03T15:11:00Z</dcterms:created>
  <dcterms:modified xsi:type="dcterms:W3CDTF">2015-05-03T15:11:00Z</dcterms:modified>
</cp:coreProperties>
</file>