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095" w:rsidRPr="006E2C39" w:rsidRDefault="00212095" w:rsidP="006E2C39">
      <w:pPr>
        <w:spacing w:after="0" w:line="240" w:lineRule="auto"/>
        <w:rPr>
          <w:rFonts w:ascii="Times New Roman" w:hAnsi="Times New Roman"/>
          <w:sz w:val="24"/>
        </w:rPr>
      </w:pPr>
      <w:r w:rsidRPr="006E2C39">
        <w:rPr>
          <w:rFonts w:ascii="Times New Roman" w:hAnsi="Times New Roman"/>
          <w:sz w:val="24"/>
        </w:rPr>
        <w:t xml:space="preserve">I negate. </w:t>
      </w:r>
    </w:p>
    <w:p w:rsidR="006E2C39" w:rsidRDefault="006E2C39" w:rsidP="006E2C39">
      <w:pPr>
        <w:spacing w:after="0" w:line="240" w:lineRule="auto"/>
        <w:rPr>
          <w:rFonts w:ascii="Times New Roman" w:hAnsi="Times New Roman"/>
          <w:sz w:val="24"/>
        </w:rPr>
      </w:pPr>
    </w:p>
    <w:p w:rsidR="006E2C39" w:rsidRDefault="00212095" w:rsidP="006E2C39">
      <w:pPr>
        <w:spacing w:after="0" w:line="240" w:lineRule="auto"/>
        <w:rPr>
          <w:rFonts w:ascii="Times New Roman" w:hAnsi="Times New Roman"/>
          <w:sz w:val="24"/>
        </w:rPr>
      </w:pPr>
      <w:r w:rsidRPr="006E2C39">
        <w:rPr>
          <w:rFonts w:ascii="Times New Roman" w:hAnsi="Times New Roman"/>
          <w:sz w:val="24"/>
        </w:rPr>
        <w:t>Abstract conceptions</w:t>
      </w:r>
      <w:r w:rsidR="006E2C39">
        <w:rPr>
          <w:rFonts w:ascii="Times New Roman" w:hAnsi="Times New Roman"/>
          <w:sz w:val="24"/>
        </w:rPr>
        <w:t xml:space="preserve"> of due or justice are nonsensical</w:t>
      </w:r>
      <w:r w:rsidRPr="006E2C39">
        <w:rPr>
          <w:rFonts w:ascii="Times New Roman" w:hAnsi="Times New Roman"/>
          <w:sz w:val="24"/>
        </w:rPr>
        <w:t xml:space="preserve"> because legal accountability </w:t>
      </w:r>
      <w:r w:rsidR="006E2C39">
        <w:rPr>
          <w:rFonts w:ascii="Times New Roman" w:hAnsi="Times New Roman"/>
          <w:sz w:val="24"/>
        </w:rPr>
        <w:t>is</w:t>
      </w:r>
      <w:r w:rsidRPr="006E2C39">
        <w:rPr>
          <w:rFonts w:ascii="Times New Roman" w:hAnsi="Times New Roman"/>
          <w:sz w:val="24"/>
        </w:rPr>
        <w:t xml:space="preserve"> contextualized within the confines of legal rules. We can’t appeal to abstract moral principles because</w:t>
      </w:r>
      <w:r w:rsidR="006E2C39">
        <w:rPr>
          <w:rFonts w:ascii="Times New Roman" w:hAnsi="Times New Roman"/>
          <w:sz w:val="24"/>
        </w:rPr>
        <w:t>,</w:t>
      </w:r>
      <w:r w:rsidRPr="006E2C39">
        <w:rPr>
          <w:rFonts w:ascii="Times New Roman" w:hAnsi="Times New Roman"/>
          <w:sz w:val="24"/>
        </w:rPr>
        <w:t xml:space="preserve"> even </w:t>
      </w:r>
      <w:r w:rsidR="006E2C39">
        <w:rPr>
          <w:rFonts w:ascii="Times New Roman" w:hAnsi="Times New Roman"/>
          <w:sz w:val="24"/>
        </w:rPr>
        <w:t>if we can justify a particular concept of due in-round</w:t>
      </w:r>
      <w:r w:rsidRPr="006E2C39">
        <w:rPr>
          <w:rFonts w:ascii="Times New Roman" w:hAnsi="Times New Roman"/>
          <w:sz w:val="24"/>
        </w:rPr>
        <w:t xml:space="preserve">, the members of the legal system not trained in ethics </w:t>
      </w:r>
      <w:r w:rsidR="006E2C39">
        <w:rPr>
          <w:rFonts w:ascii="Times New Roman" w:hAnsi="Times New Roman"/>
          <w:sz w:val="24"/>
        </w:rPr>
        <w:t>will be unable to effectively i</w:t>
      </w:r>
      <w:r w:rsidRPr="006E2C39">
        <w:rPr>
          <w:rFonts w:ascii="Times New Roman" w:hAnsi="Times New Roman"/>
          <w:sz w:val="24"/>
        </w:rPr>
        <w:t>dentify due in that way. The only way to construct or be consistent with state obligations is</w:t>
      </w:r>
      <w:r w:rsidR="006E2C39">
        <w:rPr>
          <w:rFonts w:ascii="Times New Roman" w:hAnsi="Times New Roman"/>
          <w:sz w:val="24"/>
        </w:rPr>
        <w:t>,</w:t>
      </w:r>
      <w:r w:rsidRPr="006E2C39">
        <w:rPr>
          <w:rFonts w:ascii="Times New Roman" w:hAnsi="Times New Roman"/>
          <w:sz w:val="24"/>
        </w:rPr>
        <w:t xml:space="preserve"> thus</w:t>
      </w:r>
      <w:r w:rsidR="006E2C39">
        <w:rPr>
          <w:rFonts w:ascii="Times New Roman" w:hAnsi="Times New Roman"/>
          <w:sz w:val="24"/>
        </w:rPr>
        <w:t>, to accurately apply in-</w:t>
      </w:r>
      <w:r w:rsidRPr="006E2C39">
        <w:rPr>
          <w:rFonts w:ascii="Times New Roman" w:hAnsi="Times New Roman"/>
          <w:sz w:val="24"/>
        </w:rPr>
        <w:t>court decision</w:t>
      </w:r>
      <w:r w:rsidR="006E2C39">
        <w:rPr>
          <w:rFonts w:ascii="Times New Roman" w:hAnsi="Times New Roman"/>
          <w:sz w:val="24"/>
        </w:rPr>
        <w:t xml:space="preserve"> and proceeding</w:t>
      </w:r>
      <w:r w:rsidRPr="006E2C39">
        <w:rPr>
          <w:rFonts w:ascii="Times New Roman" w:hAnsi="Times New Roman"/>
          <w:sz w:val="24"/>
        </w:rPr>
        <w:t xml:space="preserve"> convictions and punishments. </w:t>
      </w:r>
    </w:p>
    <w:p w:rsidR="00762F4A" w:rsidRPr="006E2C39" w:rsidRDefault="00762F4A" w:rsidP="006E2C39">
      <w:pPr>
        <w:spacing w:after="0" w:line="240" w:lineRule="auto"/>
        <w:rPr>
          <w:rFonts w:ascii="Times New Roman" w:hAnsi="Times New Roman"/>
          <w:sz w:val="24"/>
        </w:rPr>
      </w:pPr>
    </w:p>
    <w:p w:rsidR="006E2C39" w:rsidRDefault="00212095" w:rsidP="006E2C39">
      <w:pPr>
        <w:spacing w:after="0" w:line="240" w:lineRule="auto"/>
        <w:rPr>
          <w:rFonts w:ascii="Times New Roman" w:hAnsi="Times New Roman"/>
          <w:sz w:val="24"/>
        </w:rPr>
      </w:pPr>
      <w:r w:rsidRPr="006E2C39">
        <w:rPr>
          <w:rFonts w:ascii="Times New Roman" w:hAnsi="Times New Roman"/>
          <w:sz w:val="24"/>
        </w:rPr>
        <w:t>Thus</w:t>
      </w:r>
      <w:r w:rsidR="006E2C39">
        <w:rPr>
          <w:rFonts w:ascii="Times New Roman" w:hAnsi="Times New Roman"/>
          <w:sz w:val="24"/>
        </w:rPr>
        <w:t>,</w:t>
      </w:r>
      <w:r w:rsidRPr="006E2C39">
        <w:rPr>
          <w:rFonts w:ascii="Times New Roman" w:hAnsi="Times New Roman"/>
          <w:sz w:val="24"/>
        </w:rPr>
        <w:t xml:space="preserve"> the standard is consistent application of state law. </w:t>
      </w:r>
    </w:p>
    <w:p w:rsidR="00212095" w:rsidRPr="006E2C39" w:rsidRDefault="00212095" w:rsidP="006E2C39">
      <w:pPr>
        <w:spacing w:after="0" w:line="240" w:lineRule="auto"/>
        <w:rPr>
          <w:rFonts w:ascii="Times New Roman" w:hAnsi="Times New Roman"/>
          <w:sz w:val="24"/>
        </w:rPr>
      </w:pPr>
    </w:p>
    <w:p w:rsidR="00212095" w:rsidRPr="006E2C39" w:rsidRDefault="006E2C39" w:rsidP="006E2C39">
      <w:pPr>
        <w:spacing w:after="0" w:line="240" w:lineRule="auto"/>
        <w:rPr>
          <w:rFonts w:ascii="Times New Roman" w:hAnsi="Times New Roman"/>
          <w:sz w:val="24"/>
        </w:rPr>
      </w:pPr>
      <w:r>
        <w:rPr>
          <w:rFonts w:ascii="Times New Roman" w:hAnsi="Times New Roman"/>
          <w:sz w:val="24"/>
        </w:rPr>
        <w:t>Additionally,</w:t>
      </w:r>
      <w:r w:rsidR="00212095" w:rsidRPr="006E2C39">
        <w:rPr>
          <w:rFonts w:ascii="Times New Roman" w:hAnsi="Times New Roman"/>
          <w:sz w:val="24"/>
        </w:rPr>
        <w:t xml:space="preserve"> </w:t>
      </w:r>
      <w:r>
        <w:rPr>
          <w:rFonts w:ascii="Times New Roman" w:hAnsi="Times New Roman"/>
          <w:sz w:val="24"/>
        </w:rPr>
        <w:t xml:space="preserve">when </w:t>
      </w:r>
      <w:r w:rsidR="00212095" w:rsidRPr="006E2C39">
        <w:rPr>
          <w:rFonts w:ascii="Times New Roman" w:hAnsi="Times New Roman"/>
          <w:sz w:val="24"/>
        </w:rPr>
        <w:t>people break the law or enter into a society</w:t>
      </w:r>
      <w:r>
        <w:rPr>
          <w:rFonts w:ascii="Times New Roman" w:hAnsi="Times New Roman"/>
          <w:sz w:val="24"/>
        </w:rPr>
        <w:t>,</w:t>
      </w:r>
      <w:r w:rsidR="00212095" w:rsidRPr="006E2C39">
        <w:rPr>
          <w:rFonts w:ascii="Times New Roman" w:hAnsi="Times New Roman"/>
          <w:sz w:val="24"/>
        </w:rPr>
        <w:t xml:space="preserve"> they do so with regards to the legal system. Thus</w:t>
      </w:r>
      <w:r>
        <w:rPr>
          <w:rFonts w:ascii="Times New Roman" w:hAnsi="Times New Roman"/>
          <w:sz w:val="24"/>
        </w:rPr>
        <w:t>,</w:t>
      </w:r>
      <w:r w:rsidR="00212095" w:rsidRPr="006E2C39">
        <w:rPr>
          <w:rFonts w:ascii="Times New Roman" w:hAnsi="Times New Roman"/>
          <w:sz w:val="24"/>
        </w:rPr>
        <w:t xml:space="preserve"> it’s immoral for </w:t>
      </w:r>
      <w:r>
        <w:rPr>
          <w:rFonts w:ascii="Times New Roman" w:hAnsi="Times New Roman"/>
          <w:sz w:val="24"/>
        </w:rPr>
        <w:t>the</w:t>
      </w:r>
      <w:r w:rsidR="00212095" w:rsidRPr="006E2C39">
        <w:rPr>
          <w:rFonts w:ascii="Times New Roman" w:hAnsi="Times New Roman"/>
          <w:sz w:val="24"/>
        </w:rPr>
        <w:t xml:space="preserve"> state to change the rules on individuals during the trial proceedings</w:t>
      </w:r>
      <w:r>
        <w:rPr>
          <w:rFonts w:ascii="Times New Roman" w:hAnsi="Times New Roman"/>
          <w:sz w:val="24"/>
        </w:rPr>
        <w:t>,</w:t>
      </w:r>
      <w:r w:rsidR="00212095" w:rsidRPr="006E2C39">
        <w:rPr>
          <w:rFonts w:ascii="Times New Roman" w:hAnsi="Times New Roman"/>
          <w:sz w:val="24"/>
        </w:rPr>
        <w:t xml:space="preserve"> as it removes any legitimacy from the trial </w:t>
      </w:r>
      <w:r>
        <w:rPr>
          <w:rFonts w:ascii="Times New Roman" w:hAnsi="Times New Roman"/>
          <w:sz w:val="24"/>
        </w:rPr>
        <w:t>proceedings since</w:t>
      </w:r>
      <w:r w:rsidR="00212095" w:rsidRPr="006E2C39">
        <w:rPr>
          <w:rFonts w:ascii="Times New Roman" w:hAnsi="Times New Roman"/>
          <w:sz w:val="24"/>
        </w:rPr>
        <w:t xml:space="preserve"> the state no longer acts as the same entity that original</w:t>
      </w:r>
      <w:r>
        <w:rPr>
          <w:rFonts w:ascii="Times New Roman" w:hAnsi="Times New Roman"/>
          <w:sz w:val="24"/>
        </w:rPr>
        <w:t>ly</w:t>
      </w:r>
      <w:r w:rsidR="00212095" w:rsidRPr="006E2C39">
        <w:rPr>
          <w:rFonts w:ascii="Times New Roman" w:hAnsi="Times New Roman"/>
          <w:sz w:val="24"/>
        </w:rPr>
        <w:t xml:space="preserve"> garnered</w:t>
      </w:r>
      <w:r>
        <w:rPr>
          <w:rFonts w:ascii="Times New Roman" w:hAnsi="Times New Roman"/>
          <w:sz w:val="24"/>
        </w:rPr>
        <w:t xml:space="preserve"> legitimate</w:t>
      </w:r>
      <w:r w:rsidR="00212095" w:rsidRPr="006E2C39">
        <w:rPr>
          <w:rFonts w:ascii="Times New Roman" w:hAnsi="Times New Roman"/>
          <w:sz w:val="24"/>
        </w:rPr>
        <w:t xml:space="preserve"> authority. </w:t>
      </w:r>
    </w:p>
    <w:p w:rsidR="006E2C39" w:rsidRDefault="006E2C39" w:rsidP="006E2C39">
      <w:pPr>
        <w:spacing w:after="0" w:line="240" w:lineRule="auto"/>
        <w:rPr>
          <w:rFonts w:ascii="Times New Roman" w:hAnsi="Times New Roman"/>
          <w:sz w:val="24"/>
        </w:rPr>
      </w:pPr>
    </w:p>
    <w:p w:rsidR="00212095" w:rsidRPr="006E2C39" w:rsidRDefault="006E2C39" w:rsidP="006E2C39">
      <w:pPr>
        <w:spacing w:after="0" w:line="240" w:lineRule="auto"/>
        <w:rPr>
          <w:rFonts w:ascii="Times New Roman" w:hAnsi="Times New Roman"/>
          <w:sz w:val="24"/>
        </w:rPr>
      </w:pPr>
      <w:r>
        <w:rPr>
          <w:rFonts w:ascii="Times New Roman" w:hAnsi="Times New Roman"/>
          <w:sz w:val="24"/>
        </w:rPr>
        <w:t>I contend that a jury-</w:t>
      </w:r>
      <w:r w:rsidR="00212095" w:rsidRPr="006E2C39">
        <w:rPr>
          <w:rFonts w:ascii="Times New Roman" w:hAnsi="Times New Roman"/>
          <w:sz w:val="24"/>
        </w:rPr>
        <w:t>based system is incapable of apply</w:t>
      </w:r>
      <w:r>
        <w:rPr>
          <w:rFonts w:ascii="Times New Roman" w:hAnsi="Times New Roman"/>
          <w:sz w:val="24"/>
        </w:rPr>
        <w:t>ing</w:t>
      </w:r>
      <w:r w:rsidR="00212095" w:rsidRPr="006E2C39">
        <w:rPr>
          <w:rFonts w:ascii="Times New Roman" w:hAnsi="Times New Roman"/>
          <w:sz w:val="24"/>
        </w:rPr>
        <w:t xml:space="preserve"> the law. </w:t>
      </w:r>
    </w:p>
    <w:p w:rsidR="006E2C39" w:rsidRDefault="006E2C39" w:rsidP="006E2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sz w:val="24"/>
        </w:rPr>
      </w:pPr>
    </w:p>
    <w:p w:rsidR="006E2C39" w:rsidRDefault="00212095" w:rsidP="006E2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Helvetica"/>
          <w:sz w:val="24"/>
        </w:rPr>
      </w:pPr>
      <w:r w:rsidRPr="006E2C39">
        <w:rPr>
          <w:rFonts w:ascii="Times New Roman" w:hAnsi="Times New Roman"/>
          <w:sz w:val="24"/>
        </w:rPr>
        <w:t>First</w:t>
      </w:r>
      <w:r w:rsidR="006E2C39">
        <w:rPr>
          <w:rFonts w:ascii="Times New Roman" w:hAnsi="Times New Roman"/>
          <w:sz w:val="24"/>
        </w:rPr>
        <w:t>,</w:t>
      </w:r>
      <w:r w:rsidRPr="006E2C39">
        <w:rPr>
          <w:rFonts w:ascii="Times New Roman" w:hAnsi="Times New Roman"/>
          <w:sz w:val="24"/>
        </w:rPr>
        <w:t xml:space="preserve"> </w:t>
      </w:r>
      <w:r w:rsidRPr="006E2C39">
        <w:rPr>
          <w:rFonts w:ascii="Times New Roman" w:hAnsi="Times New Roman" w:cs="Helvetica"/>
          <w:sz w:val="24"/>
        </w:rPr>
        <w:t xml:space="preserve">juries are not capable of making the decisions we want them to make. Albert </w:t>
      </w:r>
      <w:proofErr w:type="spellStart"/>
      <w:r w:rsidRPr="006E2C39">
        <w:rPr>
          <w:rFonts w:ascii="Times New Roman" w:hAnsi="Times New Roman" w:cs="Helvetica"/>
          <w:sz w:val="24"/>
        </w:rPr>
        <w:t>Alschuler</w:t>
      </w:r>
      <w:proofErr w:type="spellEnd"/>
      <w:r w:rsidRPr="006E2C39">
        <w:rPr>
          <w:rStyle w:val="FootnoteReference"/>
          <w:rFonts w:ascii="Times New Roman" w:hAnsi="Times New Roman" w:cs="Helvetica"/>
          <w:sz w:val="24"/>
        </w:rPr>
        <w:footnoteReference w:id="1"/>
      </w:r>
      <w:r w:rsidR="006E2C39">
        <w:rPr>
          <w:rFonts w:ascii="Times New Roman" w:hAnsi="Times New Roman" w:cs="Helvetica"/>
          <w:sz w:val="24"/>
        </w:rPr>
        <w:t xml:space="preserve"> writes:</w:t>
      </w:r>
    </w:p>
    <w:p w:rsidR="00212095" w:rsidRPr="006E2C39" w:rsidRDefault="00212095" w:rsidP="006E2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Helvetica"/>
          <w:sz w:val="24"/>
        </w:rPr>
      </w:pPr>
    </w:p>
    <w:p w:rsidR="00212095" w:rsidRPr="006E2C39" w:rsidRDefault="00212095" w:rsidP="00212095">
      <w:pPr>
        <w:ind w:left="720"/>
        <w:rPr>
          <w:rFonts w:ascii="Times New Roman" w:hAnsi="Times New Roman"/>
          <w:sz w:val="24"/>
        </w:rPr>
      </w:pPr>
      <w:r w:rsidRPr="006E2C39">
        <w:rPr>
          <w:rFonts w:ascii="Times New Roman" w:hAnsi="Times New Roman" w:cs="Times"/>
          <w:bCs/>
          <w:sz w:val="16"/>
        </w:rPr>
        <w:t>The decision in Turner manifests a pattern of condescension toward jurors that appears in many of our practices and procedures.</w:t>
      </w:r>
      <w:r w:rsidRPr="006E2C39">
        <w:rPr>
          <w:rFonts w:ascii="Times New Roman" w:hAnsi="Times New Roman" w:cs="Times"/>
          <w:b/>
          <w:bCs/>
          <w:u w:val="single"/>
        </w:rPr>
        <w:t xml:space="preserve"> </w:t>
      </w:r>
      <w:r w:rsidRPr="006E2C39">
        <w:rPr>
          <w:rFonts w:ascii="Times New Roman" w:hAnsi="Times New Roman" w:cs="Times"/>
          <w:b/>
          <w:bCs/>
          <w:sz w:val="24"/>
          <w:u w:val="single"/>
        </w:rPr>
        <w:t>Although we invest jurors with important responsibilities</w:t>
      </w:r>
      <w:r w:rsidRPr="006E2C39">
        <w:rPr>
          <w:rFonts w:ascii="Times New Roman" w:hAnsi="Times New Roman" w:cs="Times"/>
          <w:bCs/>
          <w:sz w:val="16"/>
        </w:rPr>
        <w:t xml:space="preserve">, we seat them at the side of the courtroom in an area vaguely resembling the Peanut Gallery on the Howdy </w:t>
      </w:r>
      <w:proofErr w:type="spellStart"/>
      <w:r w:rsidRPr="006E2C39">
        <w:rPr>
          <w:rFonts w:ascii="Times New Roman" w:hAnsi="Times New Roman" w:cs="Times"/>
          <w:bCs/>
          <w:sz w:val="16"/>
        </w:rPr>
        <w:t>Doody</w:t>
      </w:r>
      <w:proofErr w:type="spellEnd"/>
      <w:r w:rsidRPr="006E2C39">
        <w:rPr>
          <w:rFonts w:ascii="Times New Roman" w:hAnsi="Times New Roman" w:cs="Times"/>
          <w:bCs/>
          <w:sz w:val="16"/>
        </w:rPr>
        <w:t xml:space="preserve"> Show.35</w:t>
      </w:r>
      <w:r w:rsidRPr="006E2C39">
        <w:rPr>
          <w:rFonts w:ascii="Times New Roman" w:hAnsi="Times New Roman" w:cs="Times"/>
          <w:b/>
          <w:bCs/>
          <w:u w:val="single"/>
        </w:rPr>
        <w:t xml:space="preserve"> </w:t>
      </w:r>
      <w:r w:rsidRPr="006E2C39">
        <w:rPr>
          <w:rFonts w:ascii="Times New Roman" w:hAnsi="Times New Roman" w:cs="Times"/>
          <w:b/>
          <w:bCs/>
          <w:sz w:val="24"/>
          <w:u w:val="single"/>
        </w:rPr>
        <w:t>We usually do not permit jurors to ask questions</w:t>
      </w:r>
      <w:proofErr w:type="gramStart"/>
      <w:r w:rsidRPr="006E2C39">
        <w:rPr>
          <w:rFonts w:ascii="Times New Roman" w:hAnsi="Times New Roman" w:cs="Times"/>
          <w:b/>
          <w:bCs/>
          <w:sz w:val="24"/>
          <w:u w:val="single"/>
        </w:rPr>
        <w:t>,</w:t>
      </w:r>
      <w:r w:rsidRPr="006E2C39">
        <w:rPr>
          <w:rFonts w:ascii="Times New Roman" w:hAnsi="Times New Roman" w:cs="Times"/>
          <w:bCs/>
          <w:sz w:val="16"/>
        </w:rPr>
        <w:t>36</w:t>
      </w:r>
      <w:proofErr w:type="gramEnd"/>
      <w:r w:rsidRPr="006E2C39">
        <w:rPr>
          <w:rFonts w:ascii="Times New Roman" w:hAnsi="Times New Roman" w:cs="Times"/>
          <w:b/>
          <w:bCs/>
          <w:u w:val="single"/>
        </w:rPr>
        <w:t xml:space="preserve"> </w:t>
      </w:r>
      <w:r w:rsidRPr="006E2C39">
        <w:rPr>
          <w:rFonts w:ascii="Times New Roman" w:hAnsi="Times New Roman" w:cs="Times"/>
          <w:b/>
          <w:bCs/>
          <w:sz w:val="24"/>
          <w:u w:val="single"/>
        </w:rPr>
        <w:t>and we do not permit them to explain their rulings.</w:t>
      </w:r>
      <w:r w:rsidRPr="006E2C39">
        <w:rPr>
          <w:rFonts w:ascii="Times New Roman" w:hAnsi="Times New Roman" w:cs="Times"/>
          <w:b/>
          <w:bCs/>
          <w:u w:val="single"/>
        </w:rPr>
        <w:t xml:space="preserve"> </w:t>
      </w:r>
      <w:r w:rsidRPr="006E2C39">
        <w:rPr>
          <w:rFonts w:ascii="Times New Roman" w:hAnsi="Times New Roman" w:cs="Times"/>
          <w:bCs/>
          <w:sz w:val="16"/>
        </w:rPr>
        <w:t>Like good children, good jurors are to be seen and not heard.</w:t>
      </w:r>
      <w:r w:rsidRPr="006E2C39">
        <w:rPr>
          <w:rFonts w:ascii="Times New Roman" w:hAnsi="Times New Roman" w:cs="Times"/>
          <w:b/>
          <w:bCs/>
          <w:u w:val="single"/>
        </w:rPr>
        <w:t xml:space="preserve"> </w:t>
      </w:r>
      <w:r w:rsidRPr="006E2C39">
        <w:rPr>
          <w:rFonts w:ascii="Times New Roman" w:hAnsi="Times New Roman" w:cs="Times"/>
          <w:b/>
          <w:bCs/>
          <w:sz w:val="24"/>
          <w:u w:val="single"/>
        </w:rPr>
        <w:t xml:space="preserve">Even in </w:t>
      </w:r>
      <w:proofErr w:type="gramStart"/>
      <w:r w:rsidRPr="006E2C39">
        <w:rPr>
          <w:rFonts w:ascii="Times New Roman" w:hAnsi="Times New Roman" w:cs="Times"/>
          <w:b/>
          <w:bCs/>
          <w:sz w:val="24"/>
          <w:u w:val="single"/>
        </w:rPr>
        <w:t>white collar</w:t>
      </w:r>
      <w:proofErr w:type="gramEnd"/>
      <w:r w:rsidRPr="006E2C39">
        <w:rPr>
          <w:rFonts w:ascii="Times New Roman" w:hAnsi="Times New Roman" w:cs="Times"/>
          <w:b/>
          <w:bCs/>
          <w:sz w:val="24"/>
          <w:u w:val="single"/>
        </w:rPr>
        <w:t xml:space="preserve"> crime prosecutions so complex that lawyers bring computers to the courtroom to keep track of their evidence, jurors often are not permitted to take notes.</w:t>
      </w:r>
      <w:r w:rsidRPr="006E2C39">
        <w:rPr>
          <w:rFonts w:ascii="Times New Roman" w:hAnsi="Times New Roman" w:cs="Times"/>
          <w:bCs/>
          <w:sz w:val="16"/>
        </w:rPr>
        <w:t>37</w:t>
      </w:r>
      <w:r w:rsidRPr="006E2C39">
        <w:rPr>
          <w:rFonts w:ascii="Times New Roman" w:hAnsi="Times New Roman" w:cs="Times"/>
          <w:b/>
          <w:bCs/>
          <w:u w:val="single"/>
        </w:rPr>
        <w:t xml:space="preserve"> </w:t>
      </w:r>
      <w:r w:rsidRPr="006E2C39">
        <w:rPr>
          <w:rFonts w:ascii="Times New Roman" w:hAnsi="Times New Roman" w:cs="Times"/>
          <w:b/>
          <w:bCs/>
          <w:sz w:val="24"/>
          <w:u w:val="single"/>
        </w:rPr>
        <w:t>A verdict apparently must be the product of atmospheric folk wisdom rather than careful study and reflection.</w:t>
      </w:r>
      <w:r w:rsidRPr="006E2C39">
        <w:rPr>
          <w:rFonts w:ascii="Times New Roman" w:hAnsi="Times New Roman" w:cs="Times"/>
          <w:b/>
          <w:bCs/>
          <w:u w:val="single"/>
        </w:rPr>
        <w:t xml:space="preserve"> </w:t>
      </w:r>
      <w:r w:rsidRPr="006E2C39">
        <w:rPr>
          <w:rFonts w:ascii="Times New Roman" w:hAnsi="Times New Roman" w:cs="Times"/>
          <w:bCs/>
          <w:sz w:val="16"/>
        </w:rPr>
        <w:t xml:space="preserve">Much of our law of evidence (including its central rules regarding hearsay and character evidence) rests on the proposition that the prejudicial impact of relevant information may outweigh its probative value-in other words, that although judges and </w:t>
      </w:r>
      <w:proofErr w:type="spellStart"/>
      <w:r w:rsidRPr="006E2C39">
        <w:rPr>
          <w:rFonts w:ascii="Times New Roman" w:hAnsi="Times New Roman" w:cs="Times"/>
          <w:bCs/>
          <w:sz w:val="16"/>
        </w:rPr>
        <w:t>rulemakers</w:t>
      </w:r>
      <w:proofErr w:type="spellEnd"/>
      <w:r w:rsidRPr="006E2C39">
        <w:rPr>
          <w:rFonts w:ascii="Times New Roman" w:hAnsi="Times New Roman" w:cs="Times"/>
          <w:bCs/>
          <w:sz w:val="16"/>
        </w:rPr>
        <w:t xml:space="preserve"> can understand the</w:t>
      </w:r>
      <w:r w:rsidRPr="006E2C39">
        <w:rPr>
          <w:rFonts w:ascii="Times New Roman" w:hAnsi="Times New Roman" w:cs="Times"/>
          <w:b/>
          <w:bCs/>
          <w:u w:val="single"/>
        </w:rPr>
        <w:t xml:space="preserve"> </w:t>
      </w:r>
      <w:r w:rsidRPr="006E2C39">
        <w:rPr>
          <w:rFonts w:ascii="Times New Roman" w:hAnsi="Times New Roman" w:cs="Times"/>
          <w:bCs/>
          <w:sz w:val="16"/>
        </w:rPr>
        <w:t>limited worth of this evidence, jurors who evaluate similarly fallible evidence in</w:t>
      </w:r>
      <w:r w:rsidRPr="006E2C39">
        <w:rPr>
          <w:rFonts w:ascii="Times New Roman" w:hAnsi="Times New Roman" w:cs="Times"/>
          <w:b/>
          <w:bCs/>
          <w:u w:val="single"/>
        </w:rPr>
        <w:t xml:space="preserve"> </w:t>
      </w:r>
      <w:r w:rsidRPr="006E2C39">
        <w:rPr>
          <w:rFonts w:ascii="Times New Roman" w:hAnsi="Times New Roman" w:cs="Times"/>
          <w:bCs/>
          <w:sz w:val="16"/>
        </w:rPr>
        <w:t>their everyday lives cannot. In accordance with the attitude toward jurors that our procedures commonly express, questions that would seem rude in other social contexts suddenly may appear unobjectionable when asked of prospective jurors. To be sure, we do not always treat jurors as children.</w:t>
      </w:r>
      <w:r w:rsidRPr="006E2C39">
        <w:rPr>
          <w:rFonts w:ascii="Times New Roman" w:hAnsi="Times New Roman" w:cs="Times"/>
          <w:b/>
          <w:bCs/>
          <w:u w:val="single"/>
        </w:rPr>
        <w:t xml:space="preserve">  </w:t>
      </w:r>
      <w:r w:rsidRPr="006E2C39">
        <w:rPr>
          <w:rFonts w:ascii="Times New Roman" w:hAnsi="Times New Roman" w:cs="Times"/>
          <w:b/>
          <w:bCs/>
          <w:sz w:val="24"/>
          <w:u w:val="single"/>
        </w:rPr>
        <w:t>At the conclusion of the trial, we ask them to master legal concepts that,</w:t>
      </w:r>
      <w:r w:rsidRPr="006E2C39">
        <w:rPr>
          <w:rFonts w:ascii="Times New Roman" w:hAnsi="Times New Roman" w:cs="Times"/>
          <w:b/>
          <w:bCs/>
          <w:u w:val="single"/>
        </w:rPr>
        <w:t xml:space="preserve"> </w:t>
      </w:r>
      <w:r w:rsidRPr="006E2C39">
        <w:rPr>
          <w:rFonts w:ascii="Times New Roman" w:hAnsi="Times New Roman" w:cs="Times"/>
          <w:bCs/>
          <w:sz w:val="16"/>
        </w:rPr>
        <w:t>despite my best efforts,</w:t>
      </w:r>
      <w:r w:rsidRPr="006E2C39">
        <w:rPr>
          <w:rFonts w:ascii="Times New Roman" w:hAnsi="Times New Roman" w:cs="Times"/>
          <w:b/>
          <w:bCs/>
          <w:u w:val="single"/>
        </w:rPr>
        <w:t xml:space="preserve"> </w:t>
      </w:r>
      <w:r w:rsidRPr="006E2C39">
        <w:rPr>
          <w:rFonts w:ascii="Times New Roman" w:hAnsi="Times New Roman" w:cs="Times"/>
          <w:b/>
          <w:bCs/>
          <w:sz w:val="24"/>
          <w:u w:val="single"/>
        </w:rPr>
        <w:t>some</w:t>
      </w:r>
      <w:r w:rsidRPr="006E2C39">
        <w:rPr>
          <w:rFonts w:ascii="Times New Roman" w:hAnsi="Times New Roman" w:cs="Times"/>
          <w:b/>
          <w:bCs/>
          <w:u w:val="single"/>
        </w:rPr>
        <w:t xml:space="preserve"> </w:t>
      </w:r>
      <w:r w:rsidRPr="006E2C39">
        <w:rPr>
          <w:rFonts w:ascii="Times New Roman" w:hAnsi="Times New Roman" w:cs="Times"/>
          <w:bCs/>
          <w:sz w:val="16"/>
        </w:rPr>
        <w:t>of my</w:t>
      </w:r>
      <w:r w:rsidRPr="006E2C39">
        <w:rPr>
          <w:rFonts w:ascii="Times New Roman" w:hAnsi="Times New Roman" w:cs="Times"/>
          <w:b/>
          <w:bCs/>
          <w:u w:val="single"/>
        </w:rPr>
        <w:t xml:space="preserve"> </w:t>
      </w:r>
      <w:r w:rsidRPr="006E2C39">
        <w:rPr>
          <w:rFonts w:ascii="Times New Roman" w:hAnsi="Times New Roman" w:cs="Times"/>
          <w:b/>
          <w:bCs/>
          <w:sz w:val="24"/>
          <w:u w:val="single"/>
        </w:rPr>
        <w:t>students fail to grasp at the end of a lengthy course on criminal law.</w:t>
      </w:r>
    </w:p>
    <w:p w:rsidR="00212095" w:rsidRPr="006E2C39" w:rsidRDefault="00212095">
      <w:pPr>
        <w:rPr>
          <w:rFonts w:ascii="Times New Roman" w:hAnsi="Times New Roman"/>
        </w:rPr>
      </w:pPr>
    </w:p>
    <w:p w:rsidR="006E2C39" w:rsidRDefault="00212095" w:rsidP="006E2C39">
      <w:pPr>
        <w:spacing w:after="0" w:line="240" w:lineRule="auto"/>
        <w:rPr>
          <w:rFonts w:ascii="Times New Roman" w:hAnsi="Times New Roman"/>
          <w:sz w:val="24"/>
        </w:rPr>
      </w:pPr>
      <w:r w:rsidRPr="006E2C39">
        <w:rPr>
          <w:rFonts w:ascii="Times New Roman" w:hAnsi="Times New Roman"/>
          <w:sz w:val="24"/>
        </w:rPr>
        <w:t>Second</w:t>
      </w:r>
      <w:r w:rsidR="006E2C39" w:rsidRPr="006E2C39">
        <w:rPr>
          <w:rFonts w:ascii="Times New Roman" w:hAnsi="Times New Roman"/>
          <w:sz w:val="24"/>
        </w:rPr>
        <w:t>,</w:t>
      </w:r>
      <w:r w:rsidRPr="006E2C39">
        <w:rPr>
          <w:rFonts w:ascii="Times New Roman" w:hAnsi="Times New Roman"/>
          <w:sz w:val="24"/>
        </w:rPr>
        <w:t xml:space="preserve"> juries are not capable of apply</w:t>
      </w:r>
      <w:r w:rsidR="006E2C39">
        <w:rPr>
          <w:rFonts w:ascii="Times New Roman" w:hAnsi="Times New Roman"/>
          <w:sz w:val="24"/>
        </w:rPr>
        <w:t>ing</w:t>
      </w:r>
      <w:r w:rsidRPr="006E2C39">
        <w:rPr>
          <w:rFonts w:ascii="Times New Roman" w:hAnsi="Times New Roman"/>
          <w:sz w:val="24"/>
        </w:rPr>
        <w:t xml:space="preserve"> the legal system</w:t>
      </w:r>
      <w:r w:rsidR="006E2C39">
        <w:rPr>
          <w:rFonts w:ascii="Times New Roman" w:hAnsi="Times New Roman"/>
          <w:sz w:val="24"/>
        </w:rPr>
        <w:t>’s require</w:t>
      </w:r>
      <w:r w:rsidRPr="006E2C39">
        <w:rPr>
          <w:rFonts w:ascii="Times New Roman" w:hAnsi="Times New Roman"/>
          <w:sz w:val="24"/>
        </w:rPr>
        <w:t xml:space="preserve">ments. </w:t>
      </w:r>
      <w:r w:rsidR="006E2C39">
        <w:rPr>
          <w:rFonts w:ascii="Times New Roman" w:hAnsi="Times New Roman"/>
          <w:sz w:val="24"/>
        </w:rPr>
        <w:t>J</w:t>
      </w:r>
      <w:r w:rsidRPr="006E2C39">
        <w:rPr>
          <w:rFonts w:ascii="Times New Roman" w:hAnsi="Times New Roman"/>
          <w:sz w:val="24"/>
        </w:rPr>
        <w:t>ury misunderstanding of instructions prevents a fair trial and is</w:t>
      </w:r>
      <w:r w:rsidR="006E2C39">
        <w:rPr>
          <w:rFonts w:ascii="Times New Roman" w:hAnsi="Times New Roman"/>
          <w:sz w:val="24"/>
        </w:rPr>
        <w:t xml:space="preserve"> systematically</w:t>
      </w:r>
      <w:r w:rsidRPr="006E2C39">
        <w:rPr>
          <w:rFonts w:ascii="Times New Roman" w:hAnsi="Times New Roman"/>
          <w:sz w:val="24"/>
        </w:rPr>
        <w:t xml:space="preserve"> ignored by the courts. Walter Steele and Elizabeth Thornburg</w:t>
      </w:r>
      <w:r w:rsidRPr="006E2C39">
        <w:rPr>
          <w:rStyle w:val="FootnoteReference"/>
          <w:rFonts w:ascii="Times New Roman" w:hAnsi="Times New Roman"/>
          <w:sz w:val="24"/>
        </w:rPr>
        <w:footnoteReference w:id="2"/>
      </w:r>
      <w:r w:rsidRPr="006E2C39">
        <w:rPr>
          <w:rFonts w:ascii="Times New Roman" w:hAnsi="Times New Roman"/>
          <w:sz w:val="24"/>
        </w:rPr>
        <w:t xml:space="preserve"> write:</w:t>
      </w:r>
    </w:p>
    <w:p w:rsidR="00212095" w:rsidRPr="006E2C39" w:rsidRDefault="00212095" w:rsidP="006E2C39">
      <w:pPr>
        <w:spacing w:after="0" w:line="240" w:lineRule="auto"/>
        <w:rPr>
          <w:rFonts w:ascii="Times New Roman" w:hAnsi="Times New Roman"/>
          <w:sz w:val="24"/>
        </w:rPr>
      </w:pPr>
    </w:p>
    <w:p w:rsidR="00212095" w:rsidRPr="006E2C39" w:rsidRDefault="00212095" w:rsidP="006E2C39">
      <w:pPr>
        <w:ind w:left="720"/>
        <w:rPr>
          <w:rFonts w:ascii="Times New Roman" w:hAnsi="Times New Roman"/>
          <w:sz w:val="24"/>
        </w:rPr>
      </w:pPr>
      <w:r w:rsidRPr="006E2C39">
        <w:rPr>
          <w:rFonts w:ascii="Times New Roman" w:hAnsi="Times New Roman"/>
          <w:b/>
          <w:sz w:val="24"/>
          <w:u w:val="single"/>
        </w:rPr>
        <w:t>Jury confusion</w:t>
      </w:r>
      <w:r w:rsidRPr="006E2C39">
        <w:rPr>
          <w:rFonts w:ascii="Times New Roman" w:hAnsi="Times New Roman"/>
        </w:rPr>
        <w:t xml:space="preserve"> </w:t>
      </w:r>
      <w:r w:rsidRPr="006E2C39">
        <w:rPr>
          <w:rFonts w:ascii="Times New Roman" w:hAnsi="Times New Roman"/>
          <w:sz w:val="16"/>
        </w:rPr>
        <w:t>also</w:t>
      </w:r>
      <w:r w:rsidRPr="006E2C39">
        <w:rPr>
          <w:rFonts w:ascii="Times New Roman" w:hAnsi="Times New Roman"/>
        </w:rPr>
        <w:t xml:space="preserve"> </w:t>
      </w:r>
      <w:r w:rsidRPr="006E2C39">
        <w:rPr>
          <w:rFonts w:ascii="Times New Roman" w:hAnsi="Times New Roman"/>
          <w:b/>
          <w:sz w:val="24"/>
          <w:u w:val="single"/>
        </w:rPr>
        <w:t>arises from</w:t>
      </w:r>
      <w:r w:rsidRPr="006E2C39">
        <w:rPr>
          <w:rFonts w:ascii="Times New Roman" w:hAnsi="Times New Roman"/>
        </w:rPr>
        <w:t xml:space="preserve"> </w:t>
      </w:r>
      <w:r w:rsidRPr="006E2C39">
        <w:rPr>
          <w:rFonts w:ascii="Times New Roman" w:hAnsi="Times New Roman"/>
          <w:sz w:val="16"/>
        </w:rPr>
        <w:t>the</w:t>
      </w:r>
      <w:r w:rsidRPr="006E2C39">
        <w:rPr>
          <w:rFonts w:ascii="Times New Roman" w:hAnsi="Times New Roman"/>
        </w:rPr>
        <w:t xml:space="preserve"> </w:t>
      </w:r>
      <w:r w:rsidRPr="006E2C39">
        <w:rPr>
          <w:rFonts w:ascii="Times New Roman" w:hAnsi="Times New Roman"/>
          <w:b/>
          <w:sz w:val="24"/>
          <w:u w:val="single"/>
        </w:rPr>
        <w:t>definitions</w:t>
      </w:r>
      <w:r w:rsidRPr="006E2C39">
        <w:rPr>
          <w:rFonts w:ascii="Times New Roman" w:hAnsi="Times New Roman"/>
        </w:rPr>
        <w:t xml:space="preserve"> </w:t>
      </w:r>
      <w:r w:rsidRPr="006E2C39">
        <w:rPr>
          <w:rFonts w:ascii="Times New Roman" w:hAnsi="Times New Roman"/>
          <w:sz w:val="16"/>
        </w:rPr>
        <w:t>that</w:t>
      </w:r>
      <w:r w:rsidRPr="006E2C39">
        <w:rPr>
          <w:rFonts w:ascii="Times New Roman" w:hAnsi="Times New Roman"/>
        </w:rPr>
        <w:t xml:space="preserve"> </w:t>
      </w:r>
      <w:r w:rsidRPr="006E2C39">
        <w:rPr>
          <w:rFonts w:ascii="Times New Roman" w:hAnsi="Times New Roman"/>
          <w:b/>
          <w:sz w:val="24"/>
          <w:u w:val="single"/>
        </w:rPr>
        <w:t>the court provides</w:t>
      </w:r>
      <w:r w:rsidRPr="006E2C39">
        <w:rPr>
          <w:rFonts w:ascii="Times New Roman" w:hAnsi="Times New Roman"/>
        </w:rPr>
        <w:t xml:space="preserve"> </w:t>
      </w:r>
      <w:r w:rsidRPr="006E2C39">
        <w:rPr>
          <w:rFonts w:ascii="Times New Roman" w:hAnsi="Times New Roman"/>
          <w:sz w:val="16"/>
        </w:rPr>
        <w:t>to jurors.</w:t>
      </w:r>
      <w:r w:rsidRPr="006E2C39">
        <w:rPr>
          <w:rFonts w:ascii="Times New Roman" w:hAnsi="Times New Roman"/>
        </w:rPr>
        <w:t xml:space="preserve"> </w:t>
      </w:r>
      <w:r w:rsidRPr="006E2C39">
        <w:rPr>
          <w:rFonts w:ascii="Times New Roman" w:hAnsi="Times New Roman"/>
          <w:b/>
          <w:sz w:val="24"/>
          <w:u w:val="single"/>
        </w:rPr>
        <w:t>Case law shows juror misunderstanding of</w:t>
      </w:r>
      <w:r w:rsidRPr="006E2C39">
        <w:rPr>
          <w:rFonts w:ascii="Times New Roman" w:hAnsi="Times New Roman"/>
        </w:rPr>
        <w:t xml:space="preserve"> </w:t>
      </w:r>
      <w:r w:rsidRPr="006E2C39">
        <w:rPr>
          <w:rFonts w:ascii="Times New Roman" w:hAnsi="Times New Roman"/>
          <w:sz w:val="16"/>
        </w:rPr>
        <w:t>definitions of</w:t>
      </w:r>
      <w:r w:rsidRPr="006E2C39">
        <w:rPr>
          <w:rFonts w:ascii="Times New Roman" w:hAnsi="Times New Roman"/>
        </w:rPr>
        <w:t xml:space="preserve"> </w:t>
      </w:r>
      <w:r w:rsidRPr="006E2C39">
        <w:rPr>
          <w:rFonts w:ascii="Times New Roman" w:hAnsi="Times New Roman"/>
          <w:b/>
          <w:sz w:val="24"/>
          <w:u w:val="single"/>
        </w:rPr>
        <w:t>“actual notice,” “undue influence,” “pledge,” “homestead,” and “consent.” Mistaken notions about the definitions of such operative words lead to mistaken verdicts, but courts</w:t>
      </w:r>
      <w:r w:rsidRPr="006E2C39">
        <w:rPr>
          <w:rFonts w:ascii="Times New Roman" w:hAnsi="Times New Roman"/>
        </w:rPr>
        <w:t xml:space="preserve"> </w:t>
      </w:r>
      <w:r w:rsidRPr="006E2C39">
        <w:rPr>
          <w:rFonts w:ascii="Times New Roman" w:hAnsi="Times New Roman"/>
          <w:sz w:val="16"/>
        </w:rPr>
        <w:t>again</w:t>
      </w:r>
      <w:r w:rsidRPr="006E2C39">
        <w:rPr>
          <w:rFonts w:ascii="Times New Roman" w:hAnsi="Times New Roman"/>
        </w:rPr>
        <w:t xml:space="preserve"> </w:t>
      </w:r>
      <w:r w:rsidRPr="006E2C39">
        <w:rPr>
          <w:rFonts w:ascii="Times New Roman" w:hAnsi="Times New Roman"/>
          <w:b/>
          <w:sz w:val="24"/>
          <w:u w:val="single"/>
        </w:rPr>
        <w:t>refuse to grant new trials based on misunderstood definitions [because]</w:t>
      </w:r>
      <w:r w:rsidRPr="006E2C39">
        <w:rPr>
          <w:rFonts w:ascii="Times New Roman" w:hAnsi="Times New Roman"/>
          <w:sz w:val="16"/>
        </w:rPr>
        <w:t>. A Texas court explained,</w:t>
      </w:r>
      <w:r w:rsidRPr="006E2C39">
        <w:rPr>
          <w:rFonts w:ascii="Times New Roman" w:hAnsi="Times New Roman"/>
        </w:rPr>
        <w:t xml:space="preserve"> </w:t>
      </w:r>
      <w:r w:rsidRPr="006E2C39">
        <w:rPr>
          <w:rFonts w:ascii="Times New Roman" w:hAnsi="Times New Roman"/>
          <w:b/>
          <w:sz w:val="24"/>
          <w:u w:val="single"/>
        </w:rPr>
        <w:t>“It is not misconduct for jurors to misunderstand or misinterpret a portion of the court’s charge and to argue an erroneous interpretation to the other jurors where facts and law outside the record are not brought to the jury’s attention.”</w:t>
      </w:r>
      <w:r w:rsidRPr="006E2C39">
        <w:rPr>
          <w:rFonts w:ascii="Times New Roman" w:hAnsi="Times New Roman"/>
        </w:rPr>
        <w:t xml:space="preserve"> </w:t>
      </w:r>
      <w:r w:rsidRPr="006E2C39">
        <w:rPr>
          <w:rFonts w:ascii="Times New Roman" w:hAnsi="Times New Roman"/>
          <w:sz w:val="16"/>
        </w:rPr>
        <w:t>Assuming jury misconduct is the only ground for concern,</w:t>
      </w:r>
      <w:r w:rsidRPr="006E2C39">
        <w:rPr>
          <w:rFonts w:ascii="Times New Roman" w:hAnsi="Times New Roman"/>
        </w:rPr>
        <w:t xml:space="preserve"> </w:t>
      </w:r>
      <w:r w:rsidRPr="006E2C39">
        <w:rPr>
          <w:rFonts w:ascii="Times New Roman" w:hAnsi="Times New Roman"/>
          <w:b/>
          <w:sz w:val="24"/>
          <w:u w:val="single"/>
        </w:rPr>
        <w:t>the court</w:t>
      </w:r>
      <w:r w:rsidRPr="006E2C39">
        <w:rPr>
          <w:rFonts w:ascii="Times New Roman" w:hAnsi="Times New Roman"/>
        </w:rPr>
        <w:t xml:space="preserve"> </w:t>
      </w:r>
      <w:r w:rsidRPr="006E2C39">
        <w:rPr>
          <w:rFonts w:ascii="Times New Roman" w:hAnsi="Times New Roman"/>
          <w:sz w:val="16"/>
        </w:rPr>
        <w:t>again</w:t>
      </w:r>
      <w:r w:rsidRPr="006E2C39">
        <w:rPr>
          <w:rFonts w:ascii="Times New Roman" w:hAnsi="Times New Roman"/>
        </w:rPr>
        <w:t xml:space="preserve"> </w:t>
      </w:r>
      <w:r w:rsidRPr="006E2C39">
        <w:rPr>
          <w:rFonts w:ascii="Times New Roman" w:hAnsi="Times New Roman"/>
          <w:b/>
          <w:sz w:val="24"/>
          <w:u w:val="single"/>
        </w:rPr>
        <w:t xml:space="preserve">defines jury misunderstanding of instructions as a </w:t>
      </w:r>
      <w:proofErr w:type="spellStart"/>
      <w:r w:rsidRPr="006E2C39">
        <w:rPr>
          <w:rFonts w:ascii="Times New Roman" w:hAnsi="Times New Roman"/>
          <w:b/>
          <w:sz w:val="24"/>
          <w:u w:val="single"/>
        </w:rPr>
        <w:t>nonproblem</w:t>
      </w:r>
      <w:proofErr w:type="spellEnd"/>
      <w:r w:rsidRPr="006E2C39">
        <w:rPr>
          <w:rFonts w:ascii="Times New Roman" w:hAnsi="Times New Roman"/>
          <w:b/>
          <w:sz w:val="24"/>
          <w:u w:val="single"/>
        </w:rPr>
        <w:t xml:space="preserve"> that needs no correction. The law in some states</w:t>
      </w:r>
      <w:r w:rsidRPr="006E2C39">
        <w:rPr>
          <w:rFonts w:ascii="Times New Roman" w:hAnsi="Times New Roman"/>
        </w:rPr>
        <w:t xml:space="preserve"> </w:t>
      </w:r>
      <w:r w:rsidRPr="006E2C39">
        <w:rPr>
          <w:rFonts w:ascii="Times New Roman" w:hAnsi="Times New Roman"/>
          <w:sz w:val="16"/>
        </w:rPr>
        <w:t>goes so far as to</w:t>
      </w:r>
      <w:r w:rsidRPr="006E2C39">
        <w:rPr>
          <w:rFonts w:ascii="Times New Roman" w:hAnsi="Times New Roman"/>
        </w:rPr>
        <w:t xml:space="preserve"> </w:t>
      </w:r>
      <w:r w:rsidRPr="006E2C39">
        <w:rPr>
          <w:rFonts w:ascii="Times New Roman" w:hAnsi="Times New Roman"/>
          <w:b/>
          <w:sz w:val="24"/>
          <w:u w:val="single"/>
        </w:rPr>
        <w:t xml:space="preserve">prohibit[s] the trial judge from attempting to clarify juror confusion. In </w:t>
      </w:r>
      <w:proofErr w:type="spellStart"/>
      <w:r w:rsidRPr="006E2C39">
        <w:rPr>
          <w:rFonts w:ascii="Times New Roman" w:hAnsi="Times New Roman"/>
          <w:b/>
          <w:sz w:val="24"/>
          <w:u w:val="single"/>
        </w:rPr>
        <w:t>Teaney</w:t>
      </w:r>
      <w:proofErr w:type="spellEnd"/>
      <w:r w:rsidRPr="006E2C39">
        <w:rPr>
          <w:rFonts w:ascii="Times New Roman" w:hAnsi="Times New Roman"/>
          <w:b/>
          <w:sz w:val="24"/>
          <w:u w:val="single"/>
        </w:rPr>
        <w:t xml:space="preserve"> v. City of St. Joseph</w:t>
      </w:r>
      <w:r w:rsidRPr="006E2C39">
        <w:rPr>
          <w:rFonts w:ascii="Times New Roman" w:hAnsi="Times New Roman"/>
        </w:rPr>
        <w:t xml:space="preserve"> </w:t>
      </w:r>
      <w:r w:rsidRPr="006E2C39">
        <w:rPr>
          <w:rFonts w:ascii="Times New Roman" w:hAnsi="Times New Roman"/>
          <w:sz w:val="16"/>
        </w:rPr>
        <w:t xml:space="preserve">the jury sent the judge a </w:t>
      </w:r>
      <w:proofErr w:type="gramStart"/>
      <w:r w:rsidRPr="006E2C39">
        <w:rPr>
          <w:rFonts w:ascii="Times New Roman" w:hAnsi="Times New Roman"/>
          <w:sz w:val="16"/>
        </w:rPr>
        <w:t>note which</w:t>
      </w:r>
      <w:proofErr w:type="gramEnd"/>
      <w:r w:rsidRPr="006E2C39">
        <w:rPr>
          <w:rFonts w:ascii="Times New Roman" w:hAnsi="Times New Roman"/>
          <w:sz w:val="16"/>
        </w:rPr>
        <w:t xml:space="preserve"> showed that it did not understand an instruction. The trial court sent a note back to the jury, pointing to two relevant instructions and highlighting particular parts of their language. It was agreed by all parties that the judge’s clarifying instructions were accurate.</w:t>
      </w:r>
      <w:r w:rsidRPr="006E2C39">
        <w:rPr>
          <w:rFonts w:ascii="Times New Roman" w:hAnsi="Times New Roman"/>
        </w:rPr>
        <w:t xml:space="preserve"> </w:t>
      </w:r>
      <w:r w:rsidRPr="006E2C39">
        <w:rPr>
          <w:rFonts w:ascii="Times New Roman" w:hAnsi="Times New Roman"/>
          <w:b/>
          <w:sz w:val="24"/>
          <w:u w:val="single"/>
        </w:rPr>
        <w:t>The appellate court</w:t>
      </w:r>
      <w:r w:rsidRPr="006E2C39">
        <w:rPr>
          <w:rFonts w:ascii="Times New Roman" w:hAnsi="Times New Roman"/>
          <w:sz w:val="16"/>
        </w:rPr>
        <w:t>, however,</w:t>
      </w:r>
      <w:r w:rsidRPr="006E2C39">
        <w:rPr>
          <w:rFonts w:ascii="Times New Roman" w:hAnsi="Times New Roman"/>
        </w:rPr>
        <w:t xml:space="preserve"> </w:t>
      </w:r>
      <w:r w:rsidRPr="006E2C39">
        <w:rPr>
          <w:rFonts w:ascii="Times New Roman" w:hAnsi="Times New Roman"/>
          <w:b/>
          <w:sz w:val="24"/>
          <w:u w:val="single"/>
        </w:rPr>
        <w:t>held that it was error to elaborate on a pattern instruction. Even though the jurors’ note showed clearly that they did not understand, the court stated that “[</w:t>
      </w:r>
      <w:proofErr w:type="spellStart"/>
      <w:proofErr w:type="gramStart"/>
      <w:r w:rsidRPr="006E2C39">
        <w:rPr>
          <w:rFonts w:ascii="Times New Roman" w:hAnsi="Times New Roman"/>
          <w:b/>
          <w:sz w:val="24"/>
          <w:u w:val="single"/>
        </w:rPr>
        <w:t>i</w:t>
      </w:r>
      <w:proofErr w:type="spellEnd"/>
      <w:r w:rsidRPr="006E2C39">
        <w:rPr>
          <w:rFonts w:ascii="Times New Roman" w:hAnsi="Times New Roman"/>
          <w:b/>
          <w:sz w:val="24"/>
          <w:u w:val="single"/>
        </w:rPr>
        <w:t>]</w:t>
      </w:r>
      <w:proofErr w:type="spellStart"/>
      <w:r w:rsidRPr="006E2C39">
        <w:rPr>
          <w:rFonts w:ascii="Times New Roman" w:hAnsi="Times New Roman"/>
          <w:b/>
          <w:sz w:val="24"/>
          <w:u w:val="single"/>
        </w:rPr>
        <w:t>mplicit</w:t>
      </w:r>
      <w:proofErr w:type="spellEnd"/>
      <w:proofErr w:type="gramEnd"/>
      <w:r w:rsidRPr="006E2C39">
        <w:rPr>
          <w:rFonts w:ascii="Times New Roman" w:hAnsi="Times New Roman"/>
          <w:b/>
          <w:sz w:val="24"/>
          <w:u w:val="single"/>
        </w:rPr>
        <w:t xml:space="preserve"> in a scheme of approved pattern instructions…is the central idea that such instructions do not require further clarification or amplification.” This time the problem was avoided with legal fiction: these instructions are perfect, so the jury must understand them.</w:t>
      </w:r>
    </w:p>
    <w:p w:rsidR="00212095" w:rsidRPr="006E2C39" w:rsidRDefault="00212095" w:rsidP="00212095">
      <w:pPr>
        <w:rPr>
          <w:rFonts w:ascii="Times New Roman" w:hAnsi="Times New Roman"/>
        </w:rPr>
      </w:pPr>
    </w:p>
    <w:p w:rsidR="00212095" w:rsidRPr="006E2C39" w:rsidRDefault="00212095">
      <w:pPr>
        <w:rPr>
          <w:rFonts w:ascii="Times New Roman" w:hAnsi="Times New Roman"/>
          <w:u w:val="single"/>
        </w:rPr>
      </w:pPr>
    </w:p>
    <w:p w:rsidR="006E2C39" w:rsidRDefault="00212095" w:rsidP="006E2C39">
      <w:pPr>
        <w:spacing w:after="0" w:line="240" w:lineRule="auto"/>
        <w:rPr>
          <w:rFonts w:ascii="Times New Roman" w:hAnsi="Times New Roman"/>
          <w:sz w:val="24"/>
          <w:u w:val="single"/>
        </w:rPr>
      </w:pPr>
      <w:r w:rsidRPr="006E2C39">
        <w:rPr>
          <w:rFonts w:ascii="Times New Roman" w:hAnsi="Times New Roman"/>
          <w:sz w:val="24"/>
          <w:u w:val="single"/>
        </w:rPr>
        <w:t>Answers to AC</w:t>
      </w:r>
    </w:p>
    <w:p w:rsidR="00212095" w:rsidRPr="006E2C39" w:rsidRDefault="00212095" w:rsidP="006E2C39">
      <w:pPr>
        <w:spacing w:after="0" w:line="240" w:lineRule="auto"/>
        <w:rPr>
          <w:rFonts w:ascii="Times New Roman" w:hAnsi="Times New Roman"/>
          <w:sz w:val="24"/>
          <w:u w:val="single"/>
        </w:rPr>
      </w:pPr>
    </w:p>
    <w:p w:rsidR="00372115" w:rsidRPr="006E2C39" w:rsidRDefault="00212095" w:rsidP="006E2C39">
      <w:pPr>
        <w:spacing w:after="0" w:line="240" w:lineRule="auto"/>
        <w:rPr>
          <w:rFonts w:ascii="Times New Roman" w:hAnsi="Times New Roman"/>
          <w:sz w:val="24"/>
        </w:rPr>
      </w:pPr>
      <w:r w:rsidRPr="006E2C39">
        <w:rPr>
          <w:rFonts w:ascii="Times New Roman" w:hAnsi="Times New Roman"/>
          <w:sz w:val="24"/>
        </w:rPr>
        <w:t>This controls the internal link to due process because it</w:t>
      </w:r>
      <w:r w:rsidR="006E2C39">
        <w:rPr>
          <w:rFonts w:ascii="Times New Roman" w:hAnsi="Times New Roman"/>
          <w:sz w:val="24"/>
        </w:rPr>
        <w:t>’s</w:t>
      </w:r>
      <w:r w:rsidRPr="006E2C39">
        <w:rPr>
          <w:rFonts w:ascii="Times New Roman" w:hAnsi="Times New Roman"/>
          <w:sz w:val="24"/>
        </w:rPr>
        <w:t xml:space="preserve"> useless to be able to effectively defend yourself if the agents who evaluate your exercise of rights don’t understand the intricacies of what is occurring. </w:t>
      </w:r>
      <w:r w:rsidR="00372115" w:rsidRPr="006E2C39">
        <w:rPr>
          <w:rFonts w:ascii="Times New Roman" w:hAnsi="Times New Roman"/>
          <w:sz w:val="24"/>
        </w:rPr>
        <w:t>Further</w:t>
      </w:r>
      <w:r w:rsidR="006E2C39">
        <w:rPr>
          <w:rFonts w:ascii="Times New Roman" w:hAnsi="Times New Roman"/>
          <w:sz w:val="24"/>
        </w:rPr>
        <w:t>, the jury</w:t>
      </w:r>
      <w:r w:rsidR="00372115" w:rsidRPr="006E2C39">
        <w:rPr>
          <w:rFonts w:ascii="Times New Roman" w:hAnsi="Times New Roman"/>
          <w:sz w:val="24"/>
        </w:rPr>
        <w:t xml:space="preserve"> is the agent of ultimate control who makes the final decision</w:t>
      </w:r>
      <w:r w:rsidR="006E2C39">
        <w:rPr>
          <w:rFonts w:ascii="Times New Roman" w:hAnsi="Times New Roman"/>
          <w:sz w:val="24"/>
        </w:rPr>
        <w:t>,</w:t>
      </w:r>
      <w:r w:rsidR="00372115" w:rsidRPr="006E2C39">
        <w:rPr>
          <w:rFonts w:ascii="Times New Roman" w:hAnsi="Times New Roman"/>
          <w:sz w:val="24"/>
        </w:rPr>
        <w:t xml:space="preserve"> </w:t>
      </w:r>
      <w:r w:rsidR="006E2C39">
        <w:rPr>
          <w:rFonts w:ascii="Times New Roman" w:hAnsi="Times New Roman"/>
          <w:sz w:val="24"/>
        </w:rPr>
        <w:t>so</w:t>
      </w:r>
      <w:r w:rsidR="00372115" w:rsidRPr="006E2C39">
        <w:rPr>
          <w:rFonts w:ascii="Times New Roman" w:hAnsi="Times New Roman"/>
          <w:sz w:val="24"/>
        </w:rPr>
        <w:t xml:space="preserve"> their bias outweighs all </w:t>
      </w:r>
      <w:r w:rsidR="006E2C39">
        <w:rPr>
          <w:rFonts w:ascii="Times New Roman" w:hAnsi="Times New Roman"/>
          <w:sz w:val="24"/>
        </w:rPr>
        <w:t>other bias</w:t>
      </w:r>
      <w:r w:rsidR="00372115" w:rsidRPr="006E2C39">
        <w:rPr>
          <w:rFonts w:ascii="Times New Roman" w:hAnsi="Times New Roman"/>
          <w:sz w:val="24"/>
        </w:rPr>
        <w:t xml:space="preserve"> as they literally make or break a case in a way no one else does. </w:t>
      </w:r>
    </w:p>
    <w:p w:rsidR="00212095" w:rsidRPr="006E2C39" w:rsidRDefault="00212095">
      <w:pPr>
        <w:rPr>
          <w:rFonts w:ascii="Times New Roman" w:hAnsi="Times New Roman"/>
        </w:rPr>
      </w:pPr>
    </w:p>
    <w:p w:rsidR="00212095" w:rsidRPr="006E2C39" w:rsidRDefault="00212095">
      <w:pPr>
        <w:rPr>
          <w:rFonts w:ascii="Times New Roman" w:hAnsi="Times New Roman"/>
          <w:i/>
        </w:rPr>
      </w:pPr>
    </w:p>
    <w:sectPr w:rsidR="00212095" w:rsidRPr="006E2C39" w:rsidSect="00762F4A">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E74" w:rsidRDefault="006D2E74" w:rsidP="00212095">
      <w:pPr>
        <w:spacing w:after="0" w:line="240" w:lineRule="auto"/>
      </w:pPr>
      <w:r>
        <w:separator/>
      </w:r>
    </w:p>
  </w:endnote>
  <w:endnote w:type="continuationSeparator" w:id="0">
    <w:p w:rsidR="006D2E74" w:rsidRDefault="006D2E74" w:rsidP="00212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E74" w:rsidRDefault="006D2E74" w:rsidP="00212095">
      <w:pPr>
        <w:spacing w:after="0" w:line="240" w:lineRule="auto"/>
      </w:pPr>
      <w:r>
        <w:separator/>
      </w:r>
    </w:p>
  </w:footnote>
  <w:footnote w:type="continuationSeparator" w:id="0">
    <w:p w:rsidR="006D2E74" w:rsidRDefault="006D2E74" w:rsidP="00212095">
      <w:pPr>
        <w:spacing w:after="0" w:line="240" w:lineRule="auto"/>
      </w:pPr>
      <w:r>
        <w:continuationSeparator/>
      </w:r>
    </w:p>
  </w:footnote>
  <w:footnote w:id="1">
    <w:p w:rsidR="00212095" w:rsidRPr="00D83ECF" w:rsidRDefault="00212095" w:rsidP="00212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18"/>
        </w:rPr>
      </w:pPr>
      <w:r w:rsidRPr="00D83ECF">
        <w:rPr>
          <w:rStyle w:val="FootnoteReference"/>
          <w:rFonts w:ascii="Times New Roman" w:hAnsi="Times New Roman"/>
          <w:sz w:val="18"/>
        </w:rPr>
        <w:footnoteRef/>
      </w:r>
      <w:r w:rsidRPr="00D83ECF">
        <w:rPr>
          <w:rFonts w:ascii="Times New Roman" w:hAnsi="Times New Roman"/>
          <w:sz w:val="18"/>
        </w:rPr>
        <w:t xml:space="preserve"> </w:t>
      </w:r>
      <w:r w:rsidRPr="00D83ECF">
        <w:rPr>
          <w:rFonts w:ascii="Times New Roman" w:hAnsi="Times New Roman" w:cs="Helvetica"/>
          <w:sz w:val="18"/>
        </w:rPr>
        <w:t xml:space="preserve">Albert W. </w:t>
      </w:r>
      <w:proofErr w:type="spellStart"/>
      <w:r w:rsidRPr="00D83ECF">
        <w:rPr>
          <w:rFonts w:ascii="Times New Roman" w:hAnsi="Times New Roman" w:cs="Helvetica"/>
          <w:sz w:val="18"/>
        </w:rPr>
        <w:t>Alschuler</w:t>
      </w:r>
      <w:proofErr w:type="spellEnd"/>
      <w:r w:rsidRPr="00D83ECF">
        <w:rPr>
          <w:rFonts w:ascii="Times New Roman" w:hAnsi="Times New Roman" w:cs="Helvetica"/>
          <w:sz w:val="18"/>
        </w:rPr>
        <w:t xml:space="preserve">, “The Supreme Court and the Jury: </w:t>
      </w:r>
      <w:proofErr w:type="spellStart"/>
      <w:r w:rsidRPr="00D83ECF">
        <w:rPr>
          <w:rFonts w:ascii="Times New Roman" w:hAnsi="Times New Roman" w:cs="Helvetica"/>
          <w:sz w:val="18"/>
        </w:rPr>
        <w:t>Voir</w:t>
      </w:r>
      <w:proofErr w:type="spellEnd"/>
      <w:r w:rsidRPr="00D83ECF">
        <w:rPr>
          <w:rFonts w:ascii="Times New Roman" w:hAnsi="Times New Roman" w:cs="Helvetica"/>
          <w:sz w:val="18"/>
        </w:rPr>
        <w:t xml:space="preserve"> Dire, Peremptory Challenges, and the Review of Jury Verdicts,” The University of Chicago Law Review, Vol. 56, No. 1 (Winter, 1989), pp. 153-233</w:t>
      </w:r>
    </w:p>
  </w:footnote>
  <w:footnote w:id="2">
    <w:p w:rsidR="00212095" w:rsidRPr="006441BE" w:rsidRDefault="00212095" w:rsidP="00212095">
      <w:pPr>
        <w:pStyle w:val="FootnoteText"/>
        <w:rPr>
          <w:sz w:val="20"/>
        </w:rPr>
      </w:pPr>
      <w:r>
        <w:rPr>
          <w:rStyle w:val="FootnoteReference"/>
        </w:rPr>
        <w:footnoteRef/>
      </w:r>
      <w:r>
        <w:t xml:space="preserve"> </w:t>
      </w:r>
      <w:r>
        <w:rPr>
          <w:sz w:val="20"/>
        </w:rPr>
        <w:t xml:space="preserve">Walter Steele and Elizabeth Thornburg [Steele is a Professor of Law at Southern Methodist University. Thornburg is a Visiting Assistant Professor of Law and Director of Legal Research and Writing at </w:t>
      </w:r>
      <w:proofErr w:type="spellStart"/>
      <w:r>
        <w:rPr>
          <w:sz w:val="20"/>
        </w:rPr>
        <w:t>souther</w:t>
      </w:r>
      <w:proofErr w:type="spellEnd"/>
      <w:r>
        <w:rPr>
          <w:sz w:val="20"/>
        </w:rPr>
        <w:t xml:space="preserve"> Methodist University] “Jury Instructions: A Persistent Failure to Communicate” North Carolina law Review, Vol. 67, pg. 120, 1998-1999. SSRN.</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5D8" w:rsidRDefault="000015D8" w:rsidP="000015D8">
    <w:pPr>
      <w:pStyle w:val="Header"/>
      <w:tabs>
        <w:tab w:val="left" w:pos="720"/>
        <w:tab w:val="left" w:pos="1440"/>
        <w:tab w:val="right" w:pos="9630"/>
      </w:tabs>
      <w:rPr>
        <w:rFonts w:ascii="Times New Roman" w:hAnsi="Times New Roman"/>
      </w:rPr>
    </w:pPr>
    <w:r w:rsidRPr="00ED2319">
      <w:rPr>
        <w:rFonts w:ascii="Times New Roman" w:hAnsi="Times New Roman"/>
      </w:rPr>
      <w:t>Walt Whitman</w:t>
    </w:r>
    <w:r w:rsidRPr="00ED2319">
      <w:rPr>
        <w:rFonts w:ascii="Times New Roman" w:hAnsi="Times New Roman"/>
      </w:rPr>
      <w:tab/>
    </w:r>
    <w:r>
      <w:rPr>
        <w:rFonts w:ascii="Times New Roman" w:hAnsi="Times New Roman"/>
      </w:rPr>
      <w:tab/>
    </w:r>
    <w:r>
      <w:rPr>
        <w:rFonts w:ascii="Times New Roman" w:hAnsi="Times New Roman"/>
      </w:rPr>
      <w:tab/>
      <w:t>Beyond Personality</w:t>
    </w:r>
  </w:p>
  <w:p w:rsidR="000015D8" w:rsidRPr="00ED2319" w:rsidRDefault="00A534DC" w:rsidP="000015D8">
    <w:pPr>
      <w:pStyle w:val="Header"/>
      <w:tabs>
        <w:tab w:val="left" w:pos="720"/>
        <w:tab w:val="left" w:pos="1440"/>
        <w:tab w:val="right" w:pos="9630"/>
      </w:tabs>
      <w:jc w:val="right"/>
      <w:rPr>
        <w:rFonts w:ascii="Times New Roman" w:hAnsi="Times New Roman"/>
      </w:rPr>
    </w:pPr>
    <w:r>
      <w:rPr>
        <w:rStyle w:val="PageNumber"/>
      </w:rPr>
      <w:fldChar w:fldCharType="begin"/>
    </w:r>
    <w:r w:rsidR="000015D8">
      <w:rPr>
        <w:rStyle w:val="PageNumber"/>
      </w:rPr>
      <w:instrText xml:space="preserve"> PAGE </w:instrText>
    </w:r>
    <w:r>
      <w:rPr>
        <w:rStyle w:val="PageNumber"/>
      </w:rPr>
      <w:fldChar w:fldCharType="separate"/>
    </w:r>
    <w:r w:rsidR="006E2C39">
      <w:rPr>
        <w:rStyle w:val="PageNumber"/>
        <w:noProof/>
      </w:rPr>
      <w:t>1</w:t>
    </w:r>
    <w:r>
      <w:rPr>
        <w:rStyle w:val="PageNumber"/>
      </w:rPr>
      <w:fldChar w:fldCharType="end"/>
    </w:r>
  </w:p>
  <w:p w:rsidR="000015D8" w:rsidRPr="00ED2319" w:rsidRDefault="000015D8" w:rsidP="000015D8">
    <w:pPr>
      <w:pStyle w:val="Header"/>
      <w:jc w:val="right"/>
      <w:rPr>
        <w:rFonts w:ascii="Times New Roman" w:hAnsi="Times New Roman"/>
      </w:rPr>
    </w:pPr>
  </w:p>
  <w:p w:rsidR="000015D8" w:rsidRPr="000015D8" w:rsidRDefault="000015D8" w:rsidP="000015D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212095"/>
    <w:rsid w:val="000015D8"/>
    <w:rsid w:val="00212095"/>
    <w:rsid w:val="00372115"/>
    <w:rsid w:val="0059793C"/>
    <w:rsid w:val="006D2E74"/>
    <w:rsid w:val="006E2C39"/>
    <w:rsid w:val="00762F4A"/>
    <w:rsid w:val="00A534DC"/>
    <w:rsid w:val="00CB7A1F"/>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uiPriority w:val="99"/>
    <w:semiHidden/>
    <w:unhideWhenUsed/>
    <w:rsid w:val="00212095"/>
    <w:rPr>
      <w:vertAlign w:val="superscript"/>
    </w:rPr>
  </w:style>
  <w:style w:type="paragraph" w:styleId="FootnoteText">
    <w:name w:val="footnote text"/>
    <w:basedOn w:val="Normal"/>
    <w:link w:val="FootnoteTextChar"/>
    <w:uiPriority w:val="99"/>
    <w:semiHidden/>
    <w:unhideWhenUsed/>
    <w:rsid w:val="00212095"/>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212095"/>
    <w:rPr>
      <w:sz w:val="24"/>
      <w:szCs w:val="24"/>
    </w:rPr>
  </w:style>
  <w:style w:type="paragraph" w:styleId="Header">
    <w:name w:val="header"/>
    <w:basedOn w:val="Normal"/>
    <w:link w:val="HeaderChar"/>
    <w:uiPriority w:val="99"/>
    <w:unhideWhenUsed/>
    <w:rsid w:val="00001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D8"/>
  </w:style>
  <w:style w:type="paragraph" w:styleId="Footer">
    <w:name w:val="footer"/>
    <w:basedOn w:val="Normal"/>
    <w:link w:val="FooterChar"/>
    <w:uiPriority w:val="99"/>
    <w:semiHidden/>
    <w:unhideWhenUsed/>
    <w:rsid w:val="000015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15D8"/>
  </w:style>
  <w:style w:type="character" w:styleId="PageNumber">
    <w:name w:val="page number"/>
    <w:basedOn w:val="DefaultParagraphFont"/>
    <w:uiPriority w:val="99"/>
    <w:semiHidden/>
    <w:unhideWhenUsed/>
    <w:rsid w:val="000015D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4809B-00C3-584B-931D-CE6A4643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740</Words>
  <Characters>4221</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Daniel Imas</cp:lastModifiedBy>
  <cp:revision>2</cp:revision>
  <dcterms:created xsi:type="dcterms:W3CDTF">2011-01-30T05:11:00Z</dcterms:created>
  <dcterms:modified xsi:type="dcterms:W3CDTF">2011-01-30T05:11:00Z</dcterms:modified>
</cp:coreProperties>
</file>