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4D6A8" w14:textId="77777777" w:rsidR="00B45FE9" w:rsidRDefault="00FA6123" w:rsidP="00FA6123">
      <w:pPr>
        <w:pStyle w:val="Heading1"/>
      </w:pPr>
      <w:r>
        <w:t>Spec Method of Collecting</w:t>
      </w:r>
    </w:p>
    <w:p w14:paraId="60DBA746" w14:textId="77777777" w:rsidR="00FA6123" w:rsidRDefault="00FA6123" w:rsidP="00FA6123">
      <w:pPr>
        <w:pStyle w:val="Heading2"/>
      </w:pPr>
      <w:r>
        <w:lastRenderedPageBreak/>
        <w:t>1NC Shell</w:t>
      </w:r>
    </w:p>
    <w:p w14:paraId="65AD03C4" w14:textId="77777777" w:rsidR="00FA6123" w:rsidRDefault="00FA6123" w:rsidP="00FA6123">
      <w:pPr>
        <w:pStyle w:val="Heading4"/>
      </w:pPr>
      <w:r>
        <w:t xml:space="preserve">Interpretation: if the </w:t>
      </w:r>
      <w:proofErr w:type="spellStart"/>
      <w:r>
        <w:t>aff</w:t>
      </w:r>
      <w:proofErr w:type="spellEnd"/>
      <w:r>
        <w:t xml:space="preserve"> defends implementation of a ban on handguns, they must specify how they collect guns from citizens that currently have them</w:t>
      </w:r>
    </w:p>
    <w:p w14:paraId="39766027" w14:textId="77777777" w:rsidR="00FA6123" w:rsidRDefault="00FA6123" w:rsidP="00FA6123">
      <w:pPr>
        <w:pStyle w:val="Heading4"/>
      </w:pPr>
      <w:r>
        <w:t>Violation:</w:t>
      </w:r>
    </w:p>
    <w:p w14:paraId="0D538BDE" w14:textId="77777777" w:rsidR="00FA6123" w:rsidRDefault="00FA6123" w:rsidP="00FA6123">
      <w:pPr>
        <w:pStyle w:val="Heading4"/>
      </w:pPr>
      <w:r>
        <w:t>Standards:</w:t>
      </w:r>
    </w:p>
    <w:p w14:paraId="59297300" w14:textId="77777777" w:rsidR="00FA6123" w:rsidRDefault="00FA6123" w:rsidP="00FA6123">
      <w:pPr>
        <w:pStyle w:val="Heading4"/>
      </w:pPr>
      <w:r>
        <w:t>Affects your solvency—different methods collect different amounts of guns back and compliance with the law affects the likelihood of violence with those weapons. There are multiple methods and Australia used a combination when they implemented gun control</w:t>
      </w:r>
    </w:p>
    <w:p w14:paraId="262DBF69" w14:textId="77777777" w:rsidR="00FA6123" w:rsidRDefault="00FA6123" w:rsidP="00FA6123">
      <w:r w:rsidRPr="00FA6123">
        <w:rPr>
          <w:rStyle w:val="StyleStyleBold12pt"/>
        </w:rPr>
        <w:t>Smith-Spark 15</w:t>
      </w:r>
      <w:r>
        <w:t>, Laura, “This is what happened when Australia introduced tight gun controls”</w:t>
      </w:r>
    </w:p>
    <w:p w14:paraId="4414F503" w14:textId="77777777" w:rsidR="00FA6123" w:rsidRPr="006577CD" w:rsidRDefault="00FA6123" w:rsidP="00FA6123">
      <w:pPr>
        <w:rPr>
          <w:sz w:val="16"/>
        </w:rPr>
      </w:pPr>
      <w:r w:rsidRPr="006577CD">
        <w:rPr>
          <w:rStyle w:val="StyleBoldUnderline"/>
        </w:rPr>
        <w:t>How did Australia do it? In two nation</w:t>
      </w:r>
      <w:r w:rsidRPr="006577CD">
        <w:rPr>
          <w:sz w:val="16"/>
        </w:rPr>
        <w:t xml:space="preserve">wide, federally funded </w:t>
      </w:r>
      <w:r w:rsidRPr="006577CD">
        <w:rPr>
          <w:rStyle w:val="StyleBoldUnderline"/>
        </w:rPr>
        <w:t>gun buybacks, plus large-scale</w:t>
      </w:r>
      <w:r w:rsidRPr="006577CD">
        <w:rPr>
          <w:sz w:val="16"/>
        </w:rPr>
        <w:t xml:space="preserve"> </w:t>
      </w:r>
      <w:r w:rsidRPr="006577CD">
        <w:rPr>
          <w:rStyle w:val="StyleBoldUnderline"/>
        </w:rPr>
        <w:t>voluntary surrenders and state gun amnesties</w:t>
      </w:r>
      <w:r w:rsidRPr="006577CD">
        <w:rPr>
          <w:sz w:val="16"/>
        </w:rPr>
        <w:t xml:space="preserve"> both before and after Port Arthur, </w:t>
      </w:r>
      <w:r w:rsidRPr="006577CD">
        <w:rPr>
          <w:rStyle w:val="StyleBoldUnderline"/>
        </w:rPr>
        <w:t>Australia collected</w:t>
      </w:r>
      <w:r w:rsidRPr="006577CD">
        <w:rPr>
          <w:sz w:val="16"/>
        </w:rPr>
        <w:t xml:space="preserve"> and destroyed </w:t>
      </w:r>
      <w:r w:rsidRPr="006577CD">
        <w:rPr>
          <w:rStyle w:val="StyleBoldUnderline"/>
        </w:rPr>
        <w:t>more than a million firearms</w:t>
      </w:r>
      <w:r w:rsidRPr="006577CD">
        <w:rPr>
          <w:sz w:val="16"/>
        </w:rPr>
        <w:t xml:space="preserve">, perhaps a third of the national stock, according to Professor Philip </w:t>
      </w:r>
      <w:proofErr w:type="spellStart"/>
      <w:r w:rsidRPr="006577CD">
        <w:rPr>
          <w:sz w:val="16"/>
        </w:rPr>
        <w:t>Alpers</w:t>
      </w:r>
      <w:proofErr w:type="spellEnd"/>
      <w:r w:rsidRPr="006577CD">
        <w:rPr>
          <w:sz w:val="16"/>
        </w:rPr>
        <w:t xml:space="preserve"> of the University of Sydney, who is editor of gunpolicy.org. No other nation had attempted anything on this scale. </w:t>
      </w:r>
      <w:r w:rsidRPr="006577CD">
        <w:rPr>
          <w:rStyle w:val="StyleBoldUnderline"/>
        </w:rPr>
        <w:t>The national government also banned the importation of new automati</w:t>
      </w:r>
      <w:r w:rsidRPr="006577CD">
        <w:rPr>
          <w:sz w:val="16"/>
        </w:rPr>
        <w:t xml:space="preserve">c and semiautomatic </w:t>
      </w:r>
      <w:r w:rsidRPr="006577CD">
        <w:rPr>
          <w:rStyle w:val="StyleBoldUnderline"/>
        </w:rPr>
        <w:t>weapons</w:t>
      </w:r>
      <w:r w:rsidRPr="006577CD">
        <w:rPr>
          <w:sz w:val="16"/>
        </w:rPr>
        <w:t>. And the buyback was paid for by a special one-off tax on all Australians.</w:t>
      </w:r>
    </w:p>
    <w:p w14:paraId="73085412" w14:textId="77777777" w:rsidR="006577CD" w:rsidRDefault="006577CD" w:rsidP="006577CD">
      <w:pPr>
        <w:pStyle w:val="Heading4"/>
        <w:numPr>
          <w:ilvl w:val="0"/>
          <w:numId w:val="5"/>
        </w:numPr>
      </w:pPr>
      <w:proofErr w:type="spellStart"/>
      <w:proofErr w:type="gramStart"/>
      <w:r>
        <w:t>a.Stable</w:t>
      </w:r>
      <w:proofErr w:type="spellEnd"/>
      <w:proofErr w:type="gramEnd"/>
      <w:r>
        <w:t xml:space="preserve"> Ground- I can read offense or cards that are based on certain mechanisms and you can say you don’t defend that in the 1ar. That’s real abuse – I’m deterred from reading my best offense since I don’t know whether I’ll have access to it later in the round.</w:t>
      </w:r>
    </w:p>
    <w:p w14:paraId="218E2A88" w14:textId="77777777" w:rsidR="006577CD" w:rsidRDefault="006577CD" w:rsidP="006577CD">
      <w:pPr>
        <w:pStyle w:val="Heading4"/>
        <w:numPr>
          <w:ilvl w:val="0"/>
          <w:numId w:val="6"/>
        </w:numPr>
      </w:pPr>
      <w:r>
        <w:t>Weighing ground</w:t>
      </w:r>
      <w:r w:rsidRPr="0092591E">
        <w:t xml:space="preserve"> </w:t>
      </w:r>
      <w:r>
        <w:t>–</w:t>
      </w:r>
      <w:r w:rsidRPr="0092591E">
        <w:t xml:space="preserve"> I don’t know the scope of the </w:t>
      </w:r>
      <w:proofErr w:type="spellStart"/>
      <w:r w:rsidRPr="0092591E">
        <w:t>aff</w:t>
      </w:r>
      <w:proofErr w:type="spellEnd"/>
      <w:r w:rsidRPr="0092591E">
        <w:t xml:space="preserve"> – </w:t>
      </w:r>
      <w:r>
        <w:t>that was explained earlier.</w:t>
      </w:r>
    </w:p>
    <w:p w14:paraId="66025DC6" w14:textId="77777777" w:rsidR="006577CD" w:rsidRDefault="006577CD" w:rsidP="006577CD">
      <w:pPr>
        <w:pStyle w:val="Heading4"/>
      </w:pPr>
      <w:r>
        <w:t>Weighing</w:t>
      </w:r>
      <w:r w:rsidRPr="00FC00D7">
        <w:t xml:space="preserve"> ground is key to fairness and education since even if I have more or less ground </w:t>
      </w:r>
      <w:proofErr w:type="gramStart"/>
      <w:r w:rsidRPr="00FC00D7">
        <w:t>it’s</w:t>
      </w:r>
      <w:proofErr w:type="gramEnd"/>
      <w:r w:rsidRPr="00FC00D7">
        <w:t xml:space="preserve"> useless if it can’t be weighed and leveraged against the </w:t>
      </w:r>
      <w:proofErr w:type="spellStart"/>
      <w:r w:rsidRPr="00FC00D7">
        <w:t>aff</w:t>
      </w:r>
      <w:proofErr w:type="spellEnd"/>
      <w:r w:rsidRPr="00FC00D7">
        <w:t xml:space="preserve">, which also proves you kill substantive clash. </w:t>
      </w:r>
      <w:r>
        <w:t>And prefer a text:</w:t>
      </w:r>
    </w:p>
    <w:p w14:paraId="03D461E1" w14:textId="77777777" w:rsidR="006577CD" w:rsidRPr="00FC00D7" w:rsidRDefault="006577CD" w:rsidP="006577CD">
      <w:pPr>
        <w:pStyle w:val="Heading4"/>
      </w:pPr>
      <w:r w:rsidRPr="00FC00D7">
        <w:t>1. Prefer a text since I can hold you to it as opposed to CX questions we don’t have memorized and can’t access later.  Text is more stable and accountable.</w:t>
      </w:r>
    </w:p>
    <w:p w14:paraId="05BBAC44" w14:textId="77777777" w:rsidR="006577CD" w:rsidRPr="00FC00D7" w:rsidRDefault="006577CD" w:rsidP="006577CD">
      <w:pPr>
        <w:pStyle w:val="Heading4"/>
      </w:pPr>
      <w:r w:rsidRPr="00FC00D7">
        <w:t xml:space="preserve">2. Reasons why CX is better don’t prove that a text isn’t also good – we can still ask clarification questions in my </w:t>
      </w:r>
      <w:proofErr w:type="spellStart"/>
      <w:r w:rsidRPr="00FC00D7">
        <w:t>wo</w:t>
      </w:r>
      <w:r>
        <w:t>x</w:t>
      </w:r>
      <w:r w:rsidRPr="00FC00D7">
        <w:t>rld</w:t>
      </w:r>
      <w:proofErr w:type="spellEnd"/>
      <w:r w:rsidRPr="00FC00D7">
        <w:t xml:space="preserve"> so it’s not competitive with my interp. </w:t>
      </w:r>
    </w:p>
    <w:p w14:paraId="0BCC50AC" w14:textId="77777777" w:rsidR="006577CD" w:rsidRPr="00FC00D7" w:rsidRDefault="006577CD" w:rsidP="006577CD">
      <w:pPr>
        <w:pStyle w:val="Heading4"/>
      </w:pPr>
      <w:r w:rsidRPr="00FC00D7">
        <w:t xml:space="preserve">3. But, CX is primarily for strategy, not to find out what you defend, so I shouldn’t have to ask.  And this outweighs time spent outlining your advocacy – that takes seconds as opposed to a line of questioning that can last minutes. Further, </w:t>
      </w:r>
      <w:proofErr w:type="gramStart"/>
      <w:r w:rsidRPr="00FC00D7">
        <w:t>it’s</w:t>
      </w:r>
      <w:proofErr w:type="gramEnd"/>
      <w:r w:rsidRPr="00FC00D7">
        <w:t xml:space="preserve"> just defense at best, the fact that I have to clarify does not mean that you did specify, it means you could have specified. </w:t>
      </w:r>
    </w:p>
    <w:p w14:paraId="38556EDC" w14:textId="77777777" w:rsidR="00FA6123" w:rsidRPr="00FA6123" w:rsidRDefault="00FA6123" w:rsidP="006577CD">
      <w:pPr>
        <w:pStyle w:val="Heading4"/>
      </w:pPr>
      <w:bookmarkStart w:id="0" w:name="_GoBack"/>
      <w:bookmarkEnd w:id="0"/>
    </w:p>
    <w:sectPr w:rsidR="00FA6123" w:rsidRPr="00FA6123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280A8" w14:textId="77777777" w:rsidR="00FA6123" w:rsidRDefault="00FA6123" w:rsidP="00E46E7E">
      <w:r>
        <w:separator/>
      </w:r>
    </w:p>
  </w:endnote>
  <w:endnote w:type="continuationSeparator" w:id="0">
    <w:p w14:paraId="233C0078" w14:textId="77777777" w:rsidR="00FA6123" w:rsidRDefault="00FA6123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ACAC2" w14:textId="77777777" w:rsidR="00FA6123" w:rsidRDefault="00FA6123" w:rsidP="00E46E7E">
      <w:r>
        <w:separator/>
      </w:r>
    </w:p>
  </w:footnote>
  <w:footnote w:type="continuationSeparator" w:id="0">
    <w:p w14:paraId="0CC3E79C" w14:textId="77777777" w:rsidR="00FA6123" w:rsidRDefault="00FA6123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31A07D50"/>
    <w:multiLevelType w:val="hybridMultilevel"/>
    <w:tmpl w:val="4F444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7D5DA9"/>
    <w:multiLevelType w:val="hybridMultilevel"/>
    <w:tmpl w:val="BC383DE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A08BB"/>
    <w:multiLevelType w:val="hybridMultilevel"/>
    <w:tmpl w:val="B69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4B33DA"/>
    <w:multiLevelType w:val="hybridMultilevel"/>
    <w:tmpl w:val="5418B0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071AFA"/>
    <w:multiLevelType w:val="hybridMultilevel"/>
    <w:tmpl w:val="5DB41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23"/>
    <w:rsid w:val="00013183"/>
    <w:rsid w:val="000140EC"/>
    <w:rsid w:val="00016A35"/>
    <w:rsid w:val="000254D9"/>
    <w:rsid w:val="000C16B3"/>
    <w:rsid w:val="001408C0"/>
    <w:rsid w:val="00143FD7"/>
    <w:rsid w:val="001463FB"/>
    <w:rsid w:val="001710E3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2671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577CD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07E1"/>
    <w:rsid w:val="00CF1A0F"/>
    <w:rsid w:val="00D36252"/>
    <w:rsid w:val="00D4330B"/>
    <w:rsid w:val="00D44600"/>
    <w:rsid w:val="00D460F1"/>
    <w:rsid w:val="00D51B44"/>
    <w:rsid w:val="00D6085D"/>
    <w:rsid w:val="00D66D57"/>
    <w:rsid w:val="00D81480"/>
    <w:rsid w:val="00DA2E40"/>
    <w:rsid w:val="00DA5BF8"/>
    <w:rsid w:val="00DC71AA"/>
    <w:rsid w:val="00DD1816"/>
    <w:rsid w:val="00DD2FAB"/>
    <w:rsid w:val="00DE627C"/>
    <w:rsid w:val="00DF1850"/>
    <w:rsid w:val="00E46E7E"/>
    <w:rsid w:val="00E95631"/>
    <w:rsid w:val="00F1173B"/>
    <w:rsid w:val="00F45F2E"/>
    <w:rsid w:val="00FA538E"/>
    <w:rsid w:val="00FA6123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B3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2671A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4267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42671A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42671A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42671A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42671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42671A"/>
    <w:rPr>
      <w:rFonts w:ascii="Calibri" w:eastAsiaTheme="majorEastAsia" w:hAnsi="Calibr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42671A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42671A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42671A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uiPriority w:val="1"/>
    <w:rsid w:val="0042671A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42671A"/>
    <w:rPr>
      <w:rFonts w:ascii="Calibri" w:hAnsi="Calibri"/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42671A"/>
    <w:rPr>
      <w:rFonts w:ascii="Calibri" w:hAnsi="Calibri"/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671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71A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426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1A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26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1A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2671A"/>
  </w:style>
  <w:style w:type="character" w:styleId="Hyperlink">
    <w:name w:val="Hyperlink"/>
    <w:basedOn w:val="DefaultParagraphFont"/>
    <w:uiPriority w:val="99"/>
    <w:unhideWhenUsed/>
    <w:rsid w:val="00426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2671A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4267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42671A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42671A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42671A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42671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42671A"/>
    <w:rPr>
      <w:rFonts w:ascii="Calibri" w:eastAsiaTheme="majorEastAsia" w:hAnsi="Calibr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42671A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42671A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42671A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uiPriority w:val="1"/>
    <w:rsid w:val="0042671A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42671A"/>
    <w:rPr>
      <w:rFonts w:ascii="Calibri" w:hAnsi="Calibri"/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42671A"/>
    <w:rPr>
      <w:rFonts w:ascii="Calibri" w:hAnsi="Calibri"/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671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71A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426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1A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26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1A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2671A"/>
  </w:style>
  <w:style w:type="character" w:styleId="Hyperlink">
    <w:name w:val="Hyperlink"/>
    <w:basedOn w:val="DefaultParagraphFont"/>
    <w:uiPriority w:val="99"/>
    <w:unhideWhenUsed/>
    <w:rsid w:val="00426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vane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3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  Sabharwal</dc:creator>
  <cp:keywords/>
  <dc:description/>
  <cp:lastModifiedBy>Shivane  Sabharwal</cp:lastModifiedBy>
  <cp:revision>2</cp:revision>
  <dcterms:created xsi:type="dcterms:W3CDTF">2016-05-08T02:17:00Z</dcterms:created>
  <dcterms:modified xsi:type="dcterms:W3CDTF">2016-05-08T02:17:00Z</dcterms:modified>
  <cp:category/>
</cp:coreProperties>
</file>