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B0B" w:rsidRDefault="005A1B0B" w:rsidP="005A1B0B">
      <w:pPr>
        <w:pStyle w:val="Heading3"/>
      </w:pPr>
      <w:r>
        <w:t>Role of the Ballot</w:t>
      </w:r>
    </w:p>
    <w:p w:rsidR="005A1B0B" w:rsidRDefault="005A1B0B" w:rsidP="005A1B0B">
      <w:pPr>
        <w:pStyle w:val="Heading4"/>
      </w:pPr>
      <w:r>
        <w:t>The state is inevitable- speaking the language of power through policymaking is the only way to create social change in debate.</w:t>
      </w:r>
    </w:p>
    <w:p w:rsidR="005A1B0B" w:rsidRPr="00715D18" w:rsidRDefault="005A1B0B" w:rsidP="005A1B0B">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5A1B0B" w:rsidRDefault="005A1B0B" w:rsidP="005A1B0B">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5A1B0B" w:rsidRDefault="005A1B0B" w:rsidP="005A1B0B">
      <w:pPr>
        <w:pStyle w:val="Heading3"/>
      </w:pPr>
      <w:r>
        <w:t>Plan Text</w:t>
      </w:r>
    </w:p>
    <w:p w:rsidR="005A1B0B" w:rsidRDefault="005A1B0B" w:rsidP="005A1B0B">
      <w:pPr>
        <w:pStyle w:val="Heading4"/>
      </w:pPr>
      <w:r>
        <w:t>Resolved: the United States federal government will ban private ownership of big boomer handguns.</w:t>
      </w:r>
    </w:p>
    <w:p w:rsidR="005A1B0B" w:rsidRPr="006753D5" w:rsidRDefault="005A1B0B" w:rsidP="005A1B0B"/>
    <w:p w:rsidR="005A1B0B" w:rsidRDefault="005A1B0B" w:rsidP="005A1B0B">
      <w:pPr>
        <w:pStyle w:val="Heading3"/>
      </w:pPr>
      <w:r>
        <w:t>Advantage one is violence:</w:t>
      </w:r>
    </w:p>
    <w:p w:rsidR="005A1B0B" w:rsidRPr="00981B8B" w:rsidRDefault="005A1B0B" w:rsidP="005A1B0B">
      <w:pPr>
        <w:pStyle w:val="Heading4"/>
      </w:pPr>
      <w:r>
        <w:t>Big boomer handguns have the power of rifles; causes more crime and death to law enforcement officers.</w:t>
      </w:r>
    </w:p>
    <w:p w:rsidR="005A1B0B" w:rsidRDefault="005A1B0B" w:rsidP="005A1B0B">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7" w:history="1">
        <w:r w:rsidRPr="00D40C31">
          <w:rPr>
            <w:rStyle w:val="Hyperlink"/>
          </w:rPr>
          <w:t>www.vpc.org/studies/bigboomers.pdf</w:t>
        </w:r>
      </w:hyperlink>
      <w:r>
        <w:t xml:space="preserve"> JW</w:t>
      </w:r>
    </w:p>
    <w:p w:rsidR="005A1B0B" w:rsidRPr="00981B8B" w:rsidRDefault="005A1B0B" w:rsidP="005A1B0B">
      <w:pPr>
        <w:rPr>
          <w:sz w:val="16"/>
        </w:rPr>
      </w:pPr>
      <w:r w:rsidRPr="00981B8B">
        <w:rPr>
          <w:sz w:val="16"/>
        </w:rPr>
        <w:t xml:space="preserve">1. </w:t>
      </w:r>
      <w:r w:rsidRPr="006753D5">
        <w:rPr>
          <w:rStyle w:val="StyleUnderline"/>
          <w:highlight w:val="cyan"/>
        </w:rPr>
        <w:t>Big boomers are rifle power</w:t>
      </w:r>
      <w:r w:rsidRPr="00981B8B">
        <w:rPr>
          <w:rStyle w:val="StyleUnderline"/>
        </w:rPr>
        <w:t xml:space="preserve"> designed </w:t>
      </w:r>
      <w:r w:rsidRPr="006753D5">
        <w:rPr>
          <w:rStyle w:val="StyleUnderline"/>
          <w:highlight w:val="cyan"/>
        </w:rPr>
        <w:t>in</w:t>
      </w:r>
      <w:r w:rsidRPr="00981B8B">
        <w:rPr>
          <w:rStyle w:val="StyleUnderline"/>
        </w:rPr>
        <w:t xml:space="preserve">to </w:t>
      </w:r>
      <w:r w:rsidRPr="006753D5">
        <w:rPr>
          <w:rStyle w:val="StyleUnderline"/>
          <w:highlight w:val="cyan"/>
        </w:rPr>
        <w:t>handguns</w:t>
      </w:r>
      <w:r w:rsidRPr="00981B8B">
        <w:rPr>
          <w:sz w:val="16"/>
        </w:rPr>
        <w:t xml:space="preserve">. During the 1990 to 1999 period, </w:t>
      </w:r>
      <w:r w:rsidRPr="006753D5">
        <w:rPr>
          <w:rStyle w:val="StyleUnderline"/>
          <w:highlight w:val="cyan"/>
        </w:rPr>
        <w:t>20 law enforcement officers were killed</w:t>
      </w:r>
      <w:r w:rsidRPr="00981B8B">
        <w:rPr>
          <w:rStyle w:val="StyleUnderline"/>
        </w:rPr>
        <w:t xml:space="preserve"> by gunshot wounds </w:t>
      </w:r>
      <w:r w:rsidRPr="006753D5">
        <w:rPr>
          <w:rStyle w:val="StyleUnderline"/>
          <w:highlight w:val="cyan"/>
        </w:rPr>
        <w:t>as a result of rounds penetrating</w:t>
      </w:r>
      <w:r w:rsidRPr="00981B8B">
        <w:rPr>
          <w:rStyle w:val="StyleUnderline"/>
        </w:rPr>
        <w:t xml:space="preserve"> their </w:t>
      </w:r>
      <w:r w:rsidRPr="006753D5">
        <w:rPr>
          <w:rStyle w:val="StyleUnderline"/>
          <w:highlight w:val="cyan"/>
        </w:rPr>
        <w:t>body armor</w:t>
      </w:r>
      <w:r w:rsidRPr="00981B8B">
        <w:rPr>
          <w:rStyle w:val="StyleUnderline"/>
        </w:rPr>
        <w:t xml:space="preserve">. All of </w:t>
      </w:r>
      <w:r w:rsidRPr="006753D5">
        <w:rPr>
          <w:rStyle w:val="StyleUnderline"/>
        </w:rPr>
        <w:t>these</w:t>
      </w:r>
      <w:r w:rsidRPr="00981B8B">
        <w:rPr>
          <w:sz w:val="16"/>
        </w:rPr>
        <w:t xml:space="preserve"> rounds </w:t>
      </w:r>
      <w:r w:rsidRPr="00981B8B">
        <w:rPr>
          <w:rStyle w:val="StyleUnderline"/>
        </w:rPr>
        <w:t>were fired from rifles</w:t>
      </w:r>
      <w:r w:rsidRPr="00981B8B">
        <w:rPr>
          <w:sz w:val="16"/>
        </w:rPr>
        <w:t xml:space="preserve">. However, the </w:t>
      </w:r>
      <w:r w:rsidRPr="00981B8B">
        <w:rPr>
          <w:rStyle w:val="StyleUnderline"/>
        </w:rPr>
        <w:t>big boomer handguns</w:t>
      </w:r>
      <w:r w:rsidRPr="00981B8B">
        <w:rPr>
          <w:sz w:val="16"/>
        </w:rPr>
        <w:t xml:space="preserve"> that are now being designed and marketed by the firearms industry </w:t>
      </w:r>
      <w:r w:rsidRPr="00981B8B">
        <w:rPr>
          <w:rStyle w:val="StyleUnderline"/>
        </w:rPr>
        <w:t>have elevated the power of handguns to the level of rifles</w:t>
      </w:r>
      <w:r w:rsidRPr="00981B8B">
        <w:rPr>
          <w:sz w:val="16"/>
        </w:rPr>
        <w:t xml:space="preserve">. </w:t>
      </w:r>
      <w:r w:rsidRPr="006753D5">
        <w:rPr>
          <w:rStyle w:val="StyleUnderline"/>
          <w:highlight w:val="cyan"/>
        </w:rPr>
        <w:t>Big boomers have</w:t>
      </w:r>
      <w:r w:rsidRPr="00981B8B">
        <w:rPr>
          <w:sz w:val="16"/>
        </w:rPr>
        <w:t xml:space="preserve"> thus </w:t>
      </w:r>
      <w:r w:rsidRPr="006753D5">
        <w:rPr>
          <w:rStyle w:val="StyleUnderline"/>
          <w:highlight w:val="cyan"/>
        </w:rPr>
        <w:t>become “vest busters” and present a deadly challenge</w:t>
      </w:r>
      <w:r w:rsidRPr="00981B8B">
        <w:rPr>
          <w:sz w:val="16"/>
        </w:rPr>
        <w:t xml:space="preserve"> to law enforcement body armor’s life-saving record. 2. Big boomers—a serious new threat to America’s public safety officers—are the gun industry’s latest attempt to stop its steady market decline. The American firearms industry has been sagging for decades. Although the industry enjoys brief periods of resurgence, the long-term trend for civilian gun manufacturers continues to be one of steady decline. In order to expand its customer base, the gun industry has tried to lure women and children into the “shooting sports.” For recent example, it has mounted a national campaign to get more children interested in hunting, for the most part by watering down hunter safety laws and regulations so that younger children can hunt. However, the principal means gun manufacturers use to rejuvenate their stagnant markets is design and marketing innovation aimed at introducing greater lethality into the civilian market. Within the last several years, the industry has introduced “big boomers”—handguns that fire ammunition that can penetrate the body armor that has saved the lives of thousands of law enforcement officers over the last three decades. This big boomer market trend is now established as a profit-maker that is “good for business.” The number of manufacturers who make big boomers is increasing and the models they manufacture are proliferating. 3. Big boomers are “vest busters.” They threaten to make obsolete the body armor that has saved thousands of officers’ lives. Body armor can stop handgun rounds, but it cannot stop handgun rounds with the penetration power of higher-powered rifle rounds. 4. The Violence Policy Center (VPC) reported in June 2004 on the armor-defeating potential of the first new big boomer, a 50 caliber magnum handgun introduced by Smith &amp; Wesson in February 2003, the Model 500. This handgun was designed around a new cartridge called the .500 Smith &amp; Wesson Magnum. The striking power of the .500 Smith &amp; Wesson Magnum round substantially exceeds the protection level of the highest grade of concealable body armor normally worn by law enforcement officers in the field, known as Type IIIA. The Model 500 thus combines the convenience of a handgun with the vest-busting power of a rifle, a clear danger to law enforcement personnel. </w:t>
      </w:r>
      <w:r w:rsidRPr="00981B8B">
        <w:rPr>
          <w:rStyle w:val="StyleUnderline"/>
        </w:rPr>
        <w:t xml:space="preserve">In the few short years since their introduction, </w:t>
      </w:r>
      <w:r w:rsidRPr="006753D5">
        <w:rPr>
          <w:rStyle w:val="StyleUnderline"/>
          <w:highlight w:val="cyan"/>
        </w:rPr>
        <w:t>50 caliber magnums have already begun to show up in criminal episodes</w:t>
      </w:r>
      <w:r w:rsidRPr="00981B8B">
        <w:rPr>
          <w:sz w:val="16"/>
        </w:rPr>
        <w:t xml:space="preserve">. 5. The .500 Smith &amp; Wesson Magnum round, and the Smith &amp; Wesson Model 500 handgun, illustrate how the gun industry’s singular freedom from consumer product health and safety regulation allows it to recklessly develop and market increasingly lethal products without consideration for public safety. In its earlier report, the VPC stated: “Following a well-established gun industry pattern of design and price competition, it is likely that other manufacturers will soon develop and market their own versions of handguns chambered for the .500 Smith &amp; Wesson Magnum round....[T]he 500 Smith &amp; Wesson Magnum will proliferate as other manufacturers market copies of the round and handguns chambered for it. Prices will fall and the threat to law enforcement officers will rise.” 6. The current study documents that </w:t>
      </w:r>
      <w:r w:rsidRPr="00981B8B">
        <w:rPr>
          <w:rStyle w:val="StyleUnderline"/>
        </w:rPr>
        <w:t xml:space="preserve">the </w:t>
      </w:r>
      <w:r w:rsidRPr="006753D5">
        <w:rPr>
          <w:rStyle w:val="StyleUnderline"/>
          <w:highlight w:val="cyan"/>
        </w:rPr>
        <w:t>predicted proliferation has</w:t>
      </w:r>
      <w:r w:rsidRPr="00981B8B">
        <w:rPr>
          <w:rStyle w:val="StyleUnderline"/>
        </w:rPr>
        <w:t xml:space="preserve"> indeed </w:t>
      </w:r>
      <w:r w:rsidRPr="006753D5">
        <w:rPr>
          <w:rStyle w:val="StyleUnderline"/>
          <w:highlight w:val="cyan"/>
        </w:rPr>
        <w:t>occurred</w:t>
      </w:r>
      <w:r w:rsidRPr="00981B8B">
        <w:rPr>
          <w:sz w:val="16"/>
        </w:rPr>
        <w:t xml:space="preserve">. </w:t>
      </w:r>
      <w:r w:rsidRPr="00981B8B">
        <w:rPr>
          <w:rStyle w:val="StyleUnderline"/>
        </w:rPr>
        <w:t xml:space="preserve">Smith &amp; Wesson and now other firearm </w:t>
      </w:r>
      <w:r w:rsidRPr="006753D5">
        <w:rPr>
          <w:rStyle w:val="StyleUnderline"/>
          <w:highlight w:val="cyan"/>
        </w:rPr>
        <w:t>manufacturers continue their reckless pattern of designing</w:t>
      </w:r>
      <w:r w:rsidRPr="00981B8B">
        <w:rPr>
          <w:rStyle w:val="StyleUnderline"/>
        </w:rPr>
        <w:t xml:space="preserve"> and introducing into the civilian market </w:t>
      </w:r>
      <w:r w:rsidRPr="006753D5">
        <w:rPr>
          <w:rStyle w:val="StyleUnderline"/>
          <w:highlight w:val="cyan"/>
        </w:rPr>
        <w:t>handguns</w:t>
      </w:r>
      <w:r w:rsidRPr="00981B8B">
        <w:rPr>
          <w:rStyle w:val="StyleUnderline"/>
        </w:rPr>
        <w:t xml:space="preserve"> that are almost certainly</w:t>
      </w:r>
      <w:r>
        <w:rPr>
          <w:rStyle w:val="StyleUnderline"/>
        </w:rPr>
        <w:t xml:space="preserve"> </w:t>
      </w:r>
      <w:r w:rsidRPr="006753D5">
        <w:rPr>
          <w:rStyle w:val="StyleUnderline"/>
          <w:highlight w:val="cyan"/>
        </w:rPr>
        <w:t>capable of defeating law enforcement body armor</w:t>
      </w:r>
      <w:r w:rsidRPr="00981B8B">
        <w:rPr>
          <w:sz w:val="16"/>
        </w:rPr>
        <w:t>. In addition to introducing a more easily concealable model of its Model 500, Smith &amp; Wesson has designed and begun marketing yet another handgun with vest-busting rifle power, the Model 460 XVR (Xtreme Velocity Revolver). Other manufacturers have introduced their own version of handguns chambered for the .500 Smith &amp; Wesson Magnum round.</w:t>
      </w:r>
    </w:p>
    <w:p w:rsidR="005A1B0B" w:rsidRDefault="005A1B0B" w:rsidP="005A1B0B"/>
    <w:p w:rsidR="005A1B0B" w:rsidRDefault="005A1B0B" w:rsidP="005A1B0B">
      <w:pPr>
        <w:pStyle w:val="Heading3"/>
      </w:pPr>
      <w:r>
        <w:t>Advantage two is the gun industry:</w:t>
      </w:r>
    </w:p>
    <w:p w:rsidR="005A1B0B" w:rsidRDefault="005A1B0B" w:rsidP="005A1B0B">
      <w:pPr>
        <w:pStyle w:val="Heading4"/>
      </w:pPr>
      <w:r>
        <w:t xml:space="preserve">The gun industry is </w:t>
      </w:r>
      <w:r w:rsidRPr="00943B86">
        <w:rPr>
          <w:u w:val="single"/>
        </w:rPr>
        <w:t xml:space="preserve">dying </w:t>
      </w:r>
      <w:r>
        <w:rPr>
          <w:u w:val="single"/>
        </w:rPr>
        <w:t>now</w:t>
      </w:r>
      <w:r>
        <w:t>- big boomers are a last ditch effort to refuel the industry.</w:t>
      </w:r>
    </w:p>
    <w:p w:rsidR="005A1B0B" w:rsidRPr="00F47AB5" w:rsidRDefault="005A1B0B" w:rsidP="005A1B0B">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8" w:history="1">
        <w:r w:rsidRPr="00D40C31">
          <w:rPr>
            <w:rStyle w:val="Hyperlink"/>
          </w:rPr>
          <w:t>www.vpc.org/studies/bigboomers.pdf</w:t>
        </w:r>
      </w:hyperlink>
      <w:r>
        <w:t xml:space="preserve"> JW</w:t>
      </w:r>
    </w:p>
    <w:p w:rsidR="005A1B0B" w:rsidRDefault="005A1B0B" w:rsidP="005A1B0B">
      <w:pPr>
        <w:rPr>
          <w:sz w:val="16"/>
        </w:rPr>
      </w:pPr>
      <w:r w:rsidRPr="006753D5">
        <w:rPr>
          <w:rStyle w:val="StyleUnderline"/>
          <w:highlight w:val="yellow"/>
        </w:rPr>
        <w:t>The firearms industry</w:t>
      </w:r>
      <w:r w:rsidRPr="00F47AB5">
        <w:rPr>
          <w:sz w:val="16"/>
        </w:rPr>
        <w:t xml:space="preserve"> in the United States </w:t>
      </w:r>
      <w:r w:rsidRPr="006753D5">
        <w:rPr>
          <w:rStyle w:val="StyleUnderline"/>
          <w:highlight w:val="yellow"/>
        </w:rPr>
        <w:t>has been in decline for</w:t>
      </w:r>
      <w:r w:rsidRPr="00A57928">
        <w:rPr>
          <w:rStyle w:val="StyleUnderline"/>
        </w:rPr>
        <w:t xml:space="preserve"> several</w:t>
      </w:r>
      <w:r>
        <w:rPr>
          <w:rStyle w:val="StyleUnderline"/>
        </w:rPr>
        <w:t xml:space="preserve"> </w:t>
      </w:r>
      <w:r w:rsidRPr="006753D5">
        <w:rPr>
          <w:rStyle w:val="StyleUnderline"/>
          <w:highlight w:val="yellow"/>
        </w:rPr>
        <w:t>decades</w:t>
      </w:r>
      <w:r w:rsidRPr="00F47AB5">
        <w:rPr>
          <w:sz w:val="16"/>
        </w:rPr>
        <w:t xml:space="preserve">. </w:t>
      </w:r>
      <w:r w:rsidRPr="00A57928">
        <w:rPr>
          <w:rStyle w:val="StyleUnderline"/>
        </w:rPr>
        <w:t>Although the industry has enjoyed</w:t>
      </w:r>
      <w:r w:rsidRPr="00F47AB5">
        <w:rPr>
          <w:sz w:val="16"/>
        </w:rPr>
        <w:t xml:space="preserve"> periods of </w:t>
      </w:r>
      <w:r w:rsidRPr="00A57928">
        <w:rPr>
          <w:rStyle w:val="StyleUnderline"/>
        </w:rPr>
        <w:t xml:space="preserve">temporary resurgence, </w:t>
      </w:r>
      <w:r w:rsidRPr="006753D5">
        <w:rPr>
          <w:rStyle w:val="StyleUnderline"/>
          <w:highlight w:val="yellow"/>
        </w:rPr>
        <w:t>the long-term trend</w:t>
      </w:r>
      <w:r w:rsidRPr="00F47AB5">
        <w:rPr>
          <w:sz w:val="16"/>
        </w:rPr>
        <w:t xml:space="preserve"> for the manufacturers of guns for civilians </w:t>
      </w:r>
      <w:r w:rsidRPr="006753D5">
        <w:rPr>
          <w:rStyle w:val="StyleUnderline"/>
          <w:highlight w:val="yellow"/>
        </w:rPr>
        <w:t>has been</w:t>
      </w:r>
      <w:r w:rsidRPr="00F47AB5">
        <w:rPr>
          <w:sz w:val="16"/>
        </w:rPr>
        <w:t xml:space="preserve"> in </w:t>
      </w:r>
      <w:r w:rsidRPr="006753D5">
        <w:rPr>
          <w:rStyle w:val="StyleUnderline"/>
          <w:highlight w:val="yellow"/>
        </w:rPr>
        <w:t>steady</w:t>
      </w:r>
      <w:r w:rsidRPr="00F47AB5">
        <w:rPr>
          <w:sz w:val="16"/>
        </w:rPr>
        <w:t xml:space="preserve"> decline. </w:t>
      </w:r>
      <w:r w:rsidRPr="006753D5">
        <w:rPr>
          <w:rStyle w:val="StyleUnderline"/>
          <w:highlight w:val="yellow"/>
        </w:rPr>
        <w:t>The industry’s latest attempt to stem this</w:t>
      </w:r>
      <w:r w:rsidRPr="00A57928">
        <w:rPr>
          <w:rStyle w:val="StyleUnderline"/>
        </w:rPr>
        <w:t xml:space="preserve"> tide</w:t>
      </w:r>
      <w:r w:rsidRPr="00F47AB5">
        <w:rPr>
          <w:sz w:val="16"/>
        </w:rPr>
        <w:t xml:space="preserve"> directly </w:t>
      </w:r>
      <w:r w:rsidRPr="006753D5">
        <w:rPr>
          <w:rStyle w:val="StyleUnderline"/>
          <w:highlight w:val="yellow"/>
        </w:rPr>
        <w:t>threatens</w:t>
      </w:r>
      <w:r w:rsidRPr="00F47AB5">
        <w:rPr>
          <w:sz w:val="16"/>
        </w:rPr>
        <w:t xml:space="preserve"> America’s public </w:t>
      </w:r>
      <w:r w:rsidRPr="00A57928">
        <w:rPr>
          <w:rStyle w:val="StyleUnderline"/>
        </w:rPr>
        <w:t xml:space="preserve">safety </w:t>
      </w:r>
      <w:r w:rsidRPr="006753D5">
        <w:rPr>
          <w:rStyle w:val="StyleUnderline"/>
          <w:highlight w:val="yellow"/>
        </w:rPr>
        <w:t>officers</w:t>
      </w:r>
      <w:r w:rsidRPr="00F47AB5">
        <w:rPr>
          <w:sz w:val="16"/>
        </w:rPr>
        <w:t xml:space="preserve">. A Stagnant Industry. The firearms industry’s long-term stagnation is illustrated by Chart One, “Firearms Production 1984-2006,” which demonstrates that United States civilian firearms production in 2006 was not much greater than it had been in 1984. The recent up-tick in domestic production may be largely accounted for by “booming” military, law enforcement, and foreign markets (boosted by the weakened dollar), as opposed to civilian consumption.2 The Importance of Handguns. Simple inspection of Chart One also indicates that </w:t>
      </w:r>
      <w:r w:rsidRPr="006753D5">
        <w:rPr>
          <w:rStyle w:val="StyleUnderline"/>
          <w:highlight w:val="yellow"/>
        </w:rPr>
        <w:t>handgun production has driven</w:t>
      </w:r>
      <w:r w:rsidRPr="00A57928">
        <w:rPr>
          <w:rStyle w:val="StyleUnderline"/>
        </w:rPr>
        <w:t xml:space="preserve"> overall American firearms </w:t>
      </w:r>
      <w:r w:rsidRPr="006753D5">
        <w:rPr>
          <w:rStyle w:val="StyleUnderline"/>
          <w:highlight w:val="yellow"/>
        </w:rPr>
        <w:t>production</w:t>
      </w:r>
      <w:r w:rsidRPr="00A57928">
        <w:rPr>
          <w:rStyle w:val="StyleUnderline"/>
        </w:rPr>
        <w:t xml:space="preserve"> over the last</w:t>
      </w:r>
      <w:r>
        <w:rPr>
          <w:rStyle w:val="StyleUnderline"/>
        </w:rPr>
        <w:t xml:space="preserve"> </w:t>
      </w:r>
      <w:r w:rsidRPr="00A57928">
        <w:rPr>
          <w:rStyle w:val="StyleUnderline"/>
        </w:rPr>
        <w:t>20 years</w:t>
      </w:r>
      <w:r w:rsidRPr="00F47AB5">
        <w:rPr>
          <w:sz w:val="16"/>
        </w:rPr>
        <w:t xml:space="preserve">. By and large, handgun boom years—caused by such phenomena as the introduction and aggressive marketing of high-capacity semiautomatic pistols in the early 1990s—have also been total gun production boom years. However, handgun manufacturers share with the broader industry the problem of long-term market stagnation, as illustrated by Chart Two. In 1984, 1,580,551 handguns were manufactured in the United States. In 2006, 1,403,329 handguns were manufactured, an 11 percent decline over the two decades. The plummet in production is more dramatic if one compares the production of 2,655,478 handguns in the peak boom year of 1993 with 2006 production, a 47 percent decline over the decade. The situation would be even worse were it not for a surge in buying by government agencies in the wake of the terrorist attacks of September 11, 2001, which caused an upturn in 2002 and 2003 handgun production. “Driving much of the increase is the high demand for firearms to meet the needs of federal agencies and law enforcement,” according to Shooting Industry magazine.3 The Decline in Hunting. </w:t>
      </w:r>
      <w:r w:rsidRPr="00A57928">
        <w:rPr>
          <w:rStyle w:val="StyleUnderline"/>
        </w:rPr>
        <w:t xml:space="preserve">One reason </w:t>
      </w:r>
      <w:r w:rsidRPr="00F47AB5">
        <w:rPr>
          <w:sz w:val="16"/>
        </w:rPr>
        <w:t xml:space="preserve">for the gun industry’s long-term slump </w:t>
      </w:r>
      <w:r w:rsidRPr="00A57928">
        <w:rPr>
          <w:rStyle w:val="StyleUnderline"/>
        </w:rPr>
        <w:t>is</w:t>
      </w:r>
      <w:r w:rsidRPr="00F47AB5">
        <w:rPr>
          <w:sz w:val="16"/>
        </w:rPr>
        <w:t xml:space="preserve"> the steady </w:t>
      </w:r>
      <w:r w:rsidRPr="006753D5">
        <w:rPr>
          <w:rStyle w:val="StyleUnderline"/>
          <w:highlight w:val="yellow"/>
        </w:rPr>
        <w:t>decline in hunting</w:t>
      </w:r>
      <w:r w:rsidRPr="00A57928">
        <w:rPr>
          <w:rStyle w:val="StyleUnderline"/>
        </w:rPr>
        <w:t>, a traditional market for rifles and shotguns</w:t>
      </w:r>
      <w:r w:rsidRPr="00F47AB5">
        <w:rPr>
          <w:sz w:val="16"/>
        </w:rPr>
        <w:t xml:space="preserve">. “Hunters represent an aging demographic,” The Wall Street Journal summed up.4 In addition to demographic stagnation, absorption of rural land by expanding suburbs has decreased the number of places where hunters can hunt. “Now there are Wal-Marts and shopping centers where I used to hunt,” said a Florida hunter.5 This basic trend has been accelerated by the past decade’s real estate boom and by increased oil and gas drilling on public lands—the number of permits issued for such drilling by the U.S. Bureau of Land Management more than tripled from 1999 to 2004.6 Changes in society’s values and alternative recreational activities for young people have also hurt hunting. “Instead of waking up at 4 a.m. and going hunting, it’s easier for kids to sleep in until 9 and play video games,” a California wildlife official observed.7 The net result of these pressures has been that the number of hunting licenses issued nationally declined 10 percent over two decades, from 16.4 million in 1983 to 14.7 million in 2003.8 Key hunting states continue to experience similar losses: the number of general hunting licenses issued in Pennsylvania fell 13 percent from 1996, when about 990,000 licenses were issued, to 2003, when only 857,000 were issued.9 In Michigan, the number of hunting licenses issued dropped from about 2.7 million in 2000 to about 2.5 million in 2004.10 In Florida, licenses issued fell 36 percent from 265,617 in the period 1980 to 1981 to 170,949 in the period 2003 to 2004.11 The toll is likely to continue: the industry’s own studies predict that the number of hunters will plummet another 24 percent over the next 20 years.12 The decline in the number of hunters has a longer-term ripple effect on the gun market—hunting has traditionally been a gateway for bringing young people into the gun culture. Exposure to firearms at home during childhood increases by three times the likelihood that an adult will buy a firearm.13 Fewer young hunters clearly means fewer children will be turned into future gun buyers. The Cumulative Drop in Gun-Owning Households. The gun industry’s cumulative loss of market ground is reflected in a 2006 study, “Public Attitudes Towards the Regulation of Firearms,” released by the National Opinion Research Center (NORC) at the University of Chicago analyzing the prevalence of household firearms. The NORC survey data shows that during the period 1972 to 2006, </w:t>
      </w:r>
      <w:r w:rsidRPr="006753D5">
        <w:rPr>
          <w:rStyle w:val="StyleUnderline"/>
          <w:highlight w:val="yellow"/>
        </w:rPr>
        <w:t>the percentage of American households</w:t>
      </w:r>
      <w:r w:rsidRPr="00F47AB5">
        <w:rPr>
          <w:rStyle w:val="StyleUnderline"/>
        </w:rPr>
        <w:t xml:space="preserve"> that reported </w:t>
      </w:r>
      <w:r w:rsidRPr="006753D5">
        <w:rPr>
          <w:rStyle w:val="StyleUnderline"/>
          <w:highlight w:val="yellow"/>
        </w:rPr>
        <w:t>having</w:t>
      </w:r>
      <w:r w:rsidRPr="00F47AB5">
        <w:rPr>
          <w:rStyle w:val="StyleUnderline"/>
        </w:rPr>
        <w:t xml:space="preserve"> any </w:t>
      </w:r>
      <w:r w:rsidRPr="006753D5">
        <w:rPr>
          <w:rStyle w:val="StyleUnderline"/>
          <w:highlight w:val="yellow"/>
        </w:rPr>
        <w:t>guns</w:t>
      </w:r>
      <w:r w:rsidRPr="00F47AB5">
        <w:rPr>
          <w:rStyle w:val="StyleUnderline"/>
        </w:rPr>
        <w:t xml:space="preserve"> in the home</w:t>
      </w:r>
      <w:r>
        <w:rPr>
          <w:rStyle w:val="StyleUnderline"/>
        </w:rPr>
        <w:t xml:space="preserve"> </w:t>
      </w:r>
      <w:r w:rsidRPr="006753D5">
        <w:rPr>
          <w:rStyle w:val="StyleUnderline"/>
          <w:highlight w:val="yellow"/>
        </w:rPr>
        <w:t>dropped</w:t>
      </w:r>
      <w:r w:rsidRPr="00F47AB5">
        <w:rPr>
          <w:rStyle w:val="StyleUnderline"/>
        </w:rPr>
        <w:t xml:space="preserve"> nearly 20 percentage points</w:t>
      </w:r>
      <w:r w:rsidRPr="00F47AB5">
        <w:rPr>
          <w:sz w:val="16"/>
        </w:rPr>
        <w:t>: from a high of 54 percent in 1977 to 34.5 percent in 2006.a</w:t>
      </w:r>
      <w:r>
        <w:rPr>
          <w:sz w:val="16"/>
        </w:rPr>
        <w:t xml:space="preserve"> </w:t>
      </w:r>
      <w:r w:rsidRPr="005839AD">
        <w:rPr>
          <w:sz w:val="16"/>
        </w:rPr>
        <w:t xml:space="preserve">The Gun Industry’s Answers to Market Decline—Babes in the Woods. Given these implacable realities, the firearms industry's persistent challenge over the last several decades has been figuring out how to deal with the chronic problem of moribund markets in which “more and more guns [are] being purchased by fewer and fewer consumers.”14 One means that the industry has employed is trying to expand the pool of gun buyers. This is done principally by marketing guns to children and women. “In keeping with the industry’s push for growth, they’re working hard to lure women,” reports The Wall Street Journal. “They also expect that effort to pay future dividends if moms bring their kids along, too, and groom the next generation of Daniel and Danielle Boones.”15 According to other informed observers of the business of guns, “retention and recruitment efforts are being ramped up and range from trying to repeal laws that limit youth hunting to psychology-based campaigns aimed at getting young people familiar with gun use.”16 For example, the industry’s trade association, the National Shooting Sports Foundation (NSSF), has mounted a national lobbying campaign to pressure state legislatures to lower the age at which children can hunt and to eliminate safety rules that require adults to accompany child hunters. “We’re trying to take down some legal barriers so kids can get involved earlier,” according to an NSSF spokesman.17 These efforts are said to be “built on the research of psychologists like Jean Piaget,b who pioneered the study of children’s intellectual development [and] focus on the psychological requirements to build an inclination toward hunting starting at an early age.”18 Since the attacks of September 11, 2001, the gun industry has also attempted to exploit the popular fear of terrorism as an incentive to bring new consumers into the firearms market,19 just as in the past it has exploited fear of violent crime as a marketing pitch.20 These post-9/11 efforts have met with little success. The previously cited NORC study states: “Some have speculated that the 9/11 terrorist attacks undermined support for the regulation of firearms, arguing that fear of terrorism increased the public desire for firearms for self-defense. However, this was not the case.”21 22 Referring to earlier findings published by NORC researchers, the study reported that “except for a small bulge in handgun applications in September- October, 2001 which had already started to subside by November, there was no increase in firearm purchases in response to the 9/11 attacks.”23 Innovation. </w:t>
      </w:r>
      <w:r w:rsidRPr="00C142B4">
        <w:rPr>
          <w:rStyle w:val="StyleUnderline"/>
        </w:rPr>
        <w:t xml:space="preserve">The industry’s </w:t>
      </w:r>
      <w:r w:rsidRPr="006753D5">
        <w:rPr>
          <w:rStyle w:val="StyleUnderline"/>
          <w:highlight w:val="yellow"/>
        </w:rPr>
        <w:t>principal avenue of addressing</w:t>
      </w:r>
      <w:r w:rsidRPr="00C142B4">
        <w:rPr>
          <w:rStyle w:val="StyleUnderline"/>
        </w:rPr>
        <w:t xml:space="preserve"> its </w:t>
      </w:r>
      <w:r w:rsidRPr="006753D5">
        <w:rPr>
          <w:rStyle w:val="StyleUnderline"/>
          <w:highlight w:val="yellow"/>
        </w:rPr>
        <w:t>stagnant markets</w:t>
      </w:r>
      <w:r w:rsidRPr="005839AD">
        <w:rPr>
          <w:sz w:val="16"/>
        </w:rPr>
        <w:t xml:space="preserve">, however, </w:t>
      </w:r>
      <w:r w:rsidRPr="006753D5">
        <w:rPr>
          <w:rStyle w:val="StyleUnderline"/>
          <w:highlight w:val="yellow"/>
        </w:rPr>
        <w:t>has been developing innovative gun</w:t>
      </w:r>
      <w:r w:rsidRPr="00C142B4">
        <w:rPr>
          <w:rStyle w:val="StyleUnderline"/>
        </w:rPr>
        <w:t xml:space="preserve"> designs aimed at stimulating repeat</w:t>
      </w:r>
      <w:r>
        <w:rPr>
          <w:rStyle w:val="StyleUnderline"/>
        </w:rPr>
        <w:t xml:space="preserve"> </w:t>
      </w:r>
      <w:r w:rsidRPr="00C142B4">
        <w:rPr>
          <w:rStyle w:val="StyleUnderline"/>
        </w:rPr>
        <w:t>purchases of its products</w:t>
      </w:r>
      <w:r w:rsidRPr="005839AD">
        <w:rPr>
          <w:sz w:val="16"/>
        </w:rPr>
        <w:t xml:space="preserve">. “I think innovation is critical to the industry,” Smith &amp; Wesson’s marketing chief said in 2005.24 For the gun industry, </w:t>
      </w:r>
      <w:r w:rsidRPr="00C142B4">
        <w:rPr>
          <w:rStyle w:val="StyleUnderline"/>
        </w:rPr>
        <w:t>innovation has translated into introducing</w:t>
      </w:r>
      <w:r>
        <w:rPr>
          <w:rStyle w:val="StyleUnderline"/>
        </w:rPr>
        <w:t xml:space="preserve"> </w:t>
      </w:r>
      <w:r w:rsidRPr="00C142B4">
        <w:rPr>
          <w:rStyle w:val="StyleUnderline"/>
        </w:rPr>
        <w:t>increasingly deadly firearms into the civilian market</w:t>
      </w:r>
      <w:r w:rsidRPr="005839AD">
        <w:rPr>
          <w:sz w:val="16"/>
        </w:rPr>
        <w:t xml:space="preserve">. The gun industry uses firepower, or lethality, the way the tobacco industry uses nicotine. Firearm lethality is a means to “hook” gun buyers into coming back into the market again and again as more deadly innovations are rolled out. In recent years, these innovations have included the design and mass marketing of semiautomatic assault weapons, highly concealable, high-powered pistols that the industry dubbed “pocket rockets,” 50 caliber anti-armor sniper rifles, and—the subject of this report—handguns capable of defeating law enforcement body armor, either because they are as powerful as rifles, or are specifically designed around armor-defeating ammunition.25 “The Muscle Cars of Handguns.” </w:t>
      </w:r>
      <w:r w:rsidRPr="005839AD">
        <w:rPr>
          <w:rStyle w:val="StyleUnderline"/>
        </w:rPr>
        <w:t>The industry’s innovative lethality now has</w:t>
      </w:r>
      <w:r>
        <w:rPr>
          <w:rStyle w:val="StyleUnderline"/>
        </w:rPr>
        <w:t xml:space="preserve"> </w:t>
      </w:r>
      <w:r w:rsidRPr="005839AD">
        <w:rPr>
          <w:rStyle w:val="StyleUnderline"/>
        </w:rPr>
        <w:t>become unabashedly sinister, directly threatening the lives of America’s first</w:t>
      </w:r>
      <w:r>
        <w:rPr>
          <w:rStyle w:val="StyleUnderline"/>
        </w:rPr>
        <w:t xml:space="preserve"> </w:t>
      </w:r>
      <w:r w:rsidRPr="005839AD">
        <w:rPr>
          <w:rStyle w:val="StyleUnderline"/>
        </w:rPr>
        <w:t>responders.</w:t>
      </w:r>
      <w:r w:rsidRPr="005839AD">
        <w:rPr>
          <w:sz w:val="16"/>
        </w:rPr>
        <w:t xml:space="preserve"> Using advanced technologies and new materials, gun manufacturers are designing and recklessly introducing into the civilian market handguns that are capable of defeating the body armor that has saved the lives of thousands of law enforcement officers over the last three decades. The Violence Policy Center first reported in detail on this development in June 2004 in the study Vest Buster: The .500 Smith &amp; Wesson Magnum—The Gun Industry’s Latest Challenge to Law Enforcement Body Armor. The present study updates that report, documenting the industry’s increasing marketing of armor-defeating “vest busters.”</w:t>
      </w:r>
    </w:p>
    <w:p w:rsidR="005A1B0B" w:rsidRDefault="005A1B0B" w:rsidP="005A1B0B"/>
    <w:p w:rsidR="005A1B0B" w:rsidRPr="00A3675B" w:rsidRDefault="005A1B0B" w:rsidP="005A1B0B">
      <w:pPr>
        <w:pStyle w:val="Heading4"/>
      </w:pPr>
      <w:r>
        <w:t>Smith and Wesson releases tons of chemical waste causing increased health risks.</w:t>
      </w:r>
    </w:p>
    <w:p w:rsidR="005A1B0B" w:rsidRDefault="005A1B0B" w:rsidP="005A1B0B">
      <w:r w:rsidRPr="00B121DB">
        <w:rPr>
          <w:rStyle w:val="Style13ptBold"/>
        </w:rPr>
        <w:t>Bump 13</w:t>
      </w:r>
      <w:r>
        <w:t xml:space="preserve"> Pamela “GUN MANUFACTURING GIANT SMITH AND WESSON PLAGUED BY DETRIMENTAL ENVIRONMENTAL WASTE” May 2013 Equinox </w:t>
      </w:r>
      <w:hyperlink r:id="rId9" w:history="1">
        <w:r w:rsidRPr="00530B2F">
          <w:rPr>
            <w:rStyle w:val="Hyperlink"/>
          </w:rPr>
          <w:t>http://kscequinox.com/2013/05/gun-manufacturing-giant-smith-and-wesson-plagued-by-detrimental-environmental-waste/</w:t>
        </w:r>
      </w:hyperlink>
      <w:r>
        <w:t xml:space="preserve"> JW</w:t>
      </w:r>
    </w:p>
    <w:p w:rsidR="005A1B0B" w:rsidRPr="00A3675B" w:rsidRDefault="005A1B0B" w:rsidP="005A1B0B">
      <w:pPr>
        <w:rPr>
          <w:sz w:val="16"/>
        </w:rPr>
      </w:pPr>
      <w:r w:rsidRPr="00A3675B">
        <w:rPr>
          <w:sz w:val="16"/>
        </w:rPr>
        <w:t xml:space="preserve">It states in a Toxic Release Inventory Report from the EPA, shown on Envirofacts.com, that </w:t>
      </w:r>
      <w:r w:rsidRPr="00A3675B">
        <w:rPr>
          <w:rStyle w:val="StyleUnderline"/>
          <w:highlight w:val="green"/>
        </w:rPr>
        <w:t>Smith and Wesson transports toxic waste materia</w:t>
      </w:r>
      <w:r w:rsidRPr="00334CB7">
        <w:rPr>
          <w:rStyle w:val="StyleUnderline"/>
        </w:rPr>
        <w:t>ls to various locations and treatment plants</w:t>
      </w:r>
      <w:r w:rsidRPr="00A3675B">
        <w:rPr>
          <w:sz w:val="16"/>
        </w:rPr>
        <w:t xml:space="preserve">. Since 2011 Smith and Wesson has transferred wastes to a Publicly Owned Treatment Works or a POTW in Agawam, Mass. </w:t>
      </w:r>
      <w:r w:rsidRPr="00334CB7">
        <w:rPr>
          <w:rStyle w:val="StyleUnderline"/>
        </w:rPr>
        <w:t>The most common toxic waste element</w:t>
      </w:r>
      <w:r w:rsidRPr="00A3675B">
        <w:rPr>
          <w:sz w:val="16"/>
        </w:rPr>
        <w:t xml:space="preserve"> transported to other locations from their headquarters </w:t>
      </w:r>
      <w:r w:rsidRPr="00334CB7">
        <w:rPr>
          <w:rStyle w:val="StyleUnderline"/>
        </w:rPr>
        <w:t>is</w:t>
      </w:r>
      <w:r w:rsidRPr="00A3675B">
        <w:rPr>
          <w:sz w:val="16"/>
        </w:rPr>
        <w:t xml:space="preserve"> known as </w:t>
      </w:r>
      <w:r w:rsidRPr="00A3675B">
        <w:rPr>
          <w:rStyle w:val="StyleUnderline"/>
          <w:highlight w:val="green"/>
        </w:rPr>
        <w:t>sodium nitrite</w:t>
      </w:r>
      <w:r w:rsidRPr="00334CB7">
        <w:rPr>
          <w:rStyle w:val="StyleUnderline"/>
        </w:rPr>
        <w:t>.</w:t>
      </w:r>
      <w:r w:rsidRPr="00A3675B">
        <w:rPr>
          <w:sz w:val="16"/>
        </w:rPr>
        <w:t xml:space="preserve"> Another recent waste of the company transported for treatment has been chromium. Sodium Nitrite is most commonly seen in foods and is used to prevent the growth of bacteria. However, </w:t>
      </w:r>
      <w:r w:rsidRPr="00334CB7">
        <w:rPr>
          <w:rStyle w:val="StyleUnderline"/>
        </w:rPr>
        <w:t xml:space="preserve">overuse of the salt </w:t>
      </w:r>
      <w:r w:rsidRPr="00A3675B">
        <w:rPr>
          <w:rStyle w:val="StyleUnderline"/>
          <w:highlight w:val="green"/>
        </w:rPr>
        <w:t>can cause</w:t>
      </w:r>
      <w:r w:rsidRPr="00334CB7">
        <w:rPr>
          <w:rStyle w:val="StyleUnderline"/>
        </w:rPr>
        <w:t xml:space="preserve"> medical problems like </w:t>
      </w:r>
      <w:r w:rsidRPr="00A3675B">
        <w:rPr>
          <w:rStyle w:val="StyleUnderline"/>
          <w:highlight w:val="green"/>
        </w:rPr>
        <w:t>cancer</w:t>
      </w:r>
      <w:r w:rsidRPr="00A3675B">
        <w:rPr>
          <w:sz w:val="16"/>
        </w:rPr>
        <w:t xml:space="preserve">, according to Livestrong.com. According to the EPA’s “Hazardous Substance Fact Sheet,” sodium nitrite is considered a hazardous chemical as it also causes </w:t>
      </w:r>
      <w:r w:rsidRPr="00334CB7">
        <w:rPr>
          <w:rStyle w:val="StyleUnderline"/>
        </w:rPr>
        <w:t xml:space="preserve">skin, nose, throat and eye </w:t>
      </w:r>
      <w:r w:rsidRPr="00A3675B">
        <w:rPr>
          <w:rStyle w:val="StyleUnderline"/>
          <w:highlight w:val="green"/>
        </w:rPr>
        <w:t>irritation</w:t>
      </w:r>
      <w:r w:rsidRPr="00A3675B">
        <w:rPr>
          <w:sz w:val="16"/>
        </w:rPr>
        <w:t xml:space="preserve"> with contact, as well as </w:t>
      </w:r>
      <w:r w:rsidRPr="00A3675B">
        <w:rPr>
          <w:rStyle w:val="StyleUnderline"/>
          <w:highlight w:val="green"/>
        </w:rPr>
        <w:t>headaches, nausea,</w:t>
      </w:r>
      <w:r w:rsidRPr="00334CB7">
        <w:rPr>
          <w:rStyle w:val="StyleUnderline"/>
        </w:rPr>
        <w:t xml:space="preserve"> vomiting, diarrhea </w:t>
      </w:r>
      <w:r w:rsidRPr="00A3675B">
        <w:rPr>
          <w:rStyle w:val="StyleUnderline"/>
          <w:highlight w:val="green"/>
        </w:rPr>
        <w:t>and</w:t>
      </w:r>
      <w:r w:rsidRPr="00334CB7">
        <w:rPr>
          <w:rStyle w:val="StyleUnderline"/>
        </w:rPr>
        <w:t xml:space="preserve"> abdominal </w:t>
      </w:r>
      <w:r w:rsidRPr="00A3675B">
        <w:rPr>
          <w:rStyle w:val="StyleUnderline"/>
          <w:highlight w:val="green"/>
        </w:rPr>
        <w:t>pain</w:t>
      </w:r>
      <w:r w:rsidRPr="00334CB7">
        <w:rPr>
          <w:rStyle w:val="StyleUnderline"/>
        </w:rPr>
        <w:t>. High levels of the substance</w:t>
      </w:r>
      <w:r w:rsidRPr="00A3675B">
        <w:rPr>
          <w:sz w:val="16"/>
        </w:rPr>
        <w:t xml:space="preserve"> can “</w:t>
      </w:r>
      <w:r w:rsidRPr="00A3675B">
        <w:rPr>
          <w:rStyle w:val="StyleUnderline"/>
          <w:highlight w:val="green"/>
        </w:rPr>
        <w:t>reduce the blood’s ability to transport oxygen</w:t>
      </w:r>
      <w:r w:rsidRPr="00A3675B">
        <w:rPr>
          <w:sz w:val="16"/>
        </w:rPr>
        <w:t xml:space="preserve">, causing headache, fatigue, dizziness, and a blue color to the skin and lips (methemoglobinemia),” according to the fact sheet. It is also noted that in some cases, </w:t>
      </w:r>
      <w:r w:rsidRPr="00334CB7">
        <w:rPr>
          <w:rStyle w:val="StyleUnderline"/>
        </w:rPr>
        <w:t>exposure</w:t>
      </w:r>
      <w:r w:rsidRPr="00A3675B">
        <w:rPr>
          <w:sz w:val="16"/>
        </w:rPr>
        <w:t xml:space="preserve"> to high levels </w:t>
      </w:r>
      <w:r w:rsidRPr="00334CB7">
        <w:rPr>
          <w:rStyle w:val="StyleUnderline"/>
        </w:rPr>
        <w:t xml:space="preserve">may even cause </w:t>
      </w:r>
      <w:r w:rsidRPr="00A3675B">
        <w:rPr>
          <w:rStyle w:val="StyleUnderline"/>
          <w:highlight w:val="green"/>
        </w:rPr>
        <w:t>death</w:t>
      </w:r>
      <w:r w:rsidRPr="00334CB7">
        <w:rPr>
          <w:rStyle w:val="StyleUnderline"/>
        </w:rPr>
        <w:t>.</w:t>
      </w:r>
      <w:r>
        <w:rPr>
          <w:rStyle w:val="StyleUnderline"/>
        </w:rPr>
        <w:t xml:space="preserve"> </w:t>
      </w:r>
      <w:r w:rsidRPr="00A3675B">
        <w:rPr>
          <w:sz w:val="16"/>
        </w:rPr>
        <w:t xml:space="preserve">Chromium, according to the EPA’s website, is most commonly used in making steel and other alloys. The EPA’s website noted, “Chronic inhalation exposure to chromium in humans results in effects on the respiratory tract, with perforations and ulcerations of the septum, bronchitis, decreased pulmonary function, pneumonia, asthma, and nasal itching and soreness reported. </w:t>
      </w:r>
      <w:r w:rsidRPr="00A3675B">
        <w:rPr>
          <w:rStyle w:val="StyleUnderline"/>
        </w:rPr>
        <w:t xml:space="preserve">Chronic human </w:t>
      </w:r>
      <w:r w:rsidRPr="00A3675B">
        <w:rPr>
          <w:rStyle w:val="StyleUnderline"/>
          <w:highlight w:val="green"/>
        </w:rPr>
        <w:t>exposure to</w:t>
      </w:r>
      <w:r w:rsidRPr="00A3675B">
        <w:rPr>
          <w:sz w:val="16"/>
        </w:rPr>
        <w:t xml:space="preserve"> high levels of </w:t>
      </w:r>
      <w:r w:rsidRPr="00A3675B">
        <w:rPr>
          <w:rStyle w:val="StyleUnderline"/>
          <w:highlight w:val="green"/>
        </w:rPr>
        <w:t>chromium</w:t>
      </w:r>
      <w:r w:rsidRPr="00A3675B">
        <w:rPr>
          <w:sz w:val="16"/>
        </w:rPr>
        <w:t xml:space="preserve"> by inhalation or oral exposure </w:t>
      </w:r>
      <w:r w:rsidRPr="00A3675B">
        <w:rPr>
          <w:rStyle w:val="StyleUnderline"/>
        </w:rPr>
        <w:t xml:space="preserve">may </w:t>
      </w:r>
      <w:r w:rsidRPr="00296581">
        <w:rPr>
          <w:rStyle w:val="StyleUnderline"/>
          <w:highlight w:val="green"/>
        </w:rPr>
        <w:t>produce effects on the liver</w:t>
      </w:r>
      <w:r w:rsidRPr="00A3675B">
        <w:rPr>
          <w:rStyle w:val="StyleUnderline"/>
        </w:rPr>
        <w:t xml:space="preserve">, kidney, gastrointestinal </w:t>
      </w:r>
      <w:r w:rsidRPr="00296581">
        <w:rPr>
          <w:rStyle w:val="StyleUnderline"/>
          <w:highlight w:val="green"/>
        </w:rPr>
        <w:t>and immune systems</w:t>
      </w:r>
      <w:r w:rsidRPr="00A3675B">
        <w:rPr>
          <w:rStyle w:val="StyleUnderline"/>
        </w:rPr>
        <w:t>, and possibly the blood</w:t>
      </w:r>
      <w:r w:rsidRPr="00A3675B">
        <w:rPr>
          <w:sz w:val="16"/>
        </w:rPr>
        <w:t xml:space="preserve">.” The TRI report also indicated that these </w:t>
      </w:r>
      <w:r w:rsidRPr="00A3675B">
        <w:rPr>
          <w:rStyle w:val="StyleUnderline"/>
        </w:rPr>
        <w:t>substances are moved to a various locations for treatment or disposal in other states</w:t>
      </w:r>
      <w:r w:rsidRPr="00A3675B">
        <w:rPr>
          <w:sz w:val="16"/>
        </w:rPr>
        <w:t xml:space="preserve"> including, most commonly, waste treatment plants or facilities in Michigan and Connecticut. When it comes to chemical releases, in 2010 </w:t>
      </w:r>
      <w:r w:rsidRPr="00296581">
        <w:rPr>
          <w:rStyle w:val="StyleUnderline"/>
          <w:highlight w:val="green"/>
        </w:rPr>
        <w:t>Smith and Wesson</w:t>
      </w:r>
      <w:r w:rsidRPr="00A3675B">
        <w:rPr>
          <w:sz w:val="16"/>
        </w:rPr>
        <w:t xml:space="preserve"> Holding Corporation’s main facility in Springfield, Mass., </w:t>
      </w:r>
      <w:r w:rsidRPr="00296581">
        <w:rPr>
          <w:rStyle w:val="StyleUnderline"/>
          <w:highlight w:val="green"/>
        </w:rPr>
        <w:t>released and transferred</w:t>
      </w:r>
      <w:r w:rsidRPr="00A3675B">
        <w:rPr>
          <w:sz w:val="16"/>
        </w:rPr>
        <w:t xml:space="preserve"> a total of 31,516 </w:t>
      </w:r>
      <w:r w:rsidRPr="00296581">
        <w:rPr>
          <w:rStyle w:val="StyleUnderline"/>
          <w:highlight w:val="green"/>
        </w:rPr>
        <w:t>[thousands of] pounds of nitrate</w:t>
      </w:r>
      <w:r w:rsidRPr="00A3675B">
        <w:rPr>
          <w:sz w:val="16"/>
        </w:rPr>
        <w:t xml:space="preserve"> compounds </w:t>
      </w:r>
      <w:r w:rsidRPr="00A3675B">
        <w:rPr>
          <w:rStyle w:val="StyleUnderline"/>
        </w:rPr>
        <w:t>and</w:t>
      </w:r>
      <w:r w:rsidRPr="00A3675B">
        <w:rPr>
          <w:sz w:val="16"/>
        </w:rPr>
        <w:t xml:space="preserve"> 22,920 pounds of </w:t>
      </w:r>
      <w:r w:rsidRPr="00A3675B">
        <w:rPr>
          <w:rStyle w:val="StyleUnderline"/>
        </w:rPr>
        <w:t>sodium nitrite</w:t>
      </w:r>
      <w:r w:rsidRPr="00A3675B">
        <w:rPr>
          <w:sz w:val="16"/>
        </w:rPr>
        <w:t xml:space="preserve"> in 2010, according to Compliance Reports shown by the EPA, which noted TRI history from 2003 to 2010 . According to a Toxic Release Inventory Report on Envirofacts.com, 100 pounds of toxic chemicals were released in 2011 while being transferred to “off-site disposal” These chemicals excluded “dioxin or dioxin-like compounds.” Also in the report, it lists 100 pounds of chromium compounds were released during the process of disposal. The report also shows that </w:t>
      </w:r>
      <w:r w:rsidRPr="00296581">
        <w:rPr>
          <w:rStyle w:val="StyleUnderline"/>
          <w:highlight w:val="green"/>
        </w:rPr>
        <w:t>there has been no on</w:t>
      </w:r>
      <w:r w:rsidRPr="00A3675B">
        <w:rPr>
          <w:rStyle w:val="StyleUnderline"/>
        </w:rPr>
        <w:t xml:space="preserve"> or off-site recycling or energy </w:t>
      </w:r>
      <w:r w:rsidRPr="00296581">
        <w:rPr>
          <w:rStyle w:val="StyleUnderline"/>
          <w:highlight w:val="green"/>
        </w:rPr>
        <w:t>recovery</w:t>
      </w:r>
      <w:r w:rsidRPr="00A3675B">
        <w:rPr>
          <w:rStyle w:val="StyleUnderline"/>
        </w:rPr>
        <w:t xml:space="preserve"> at this specific facility</w:t>
      </w:r>
      <w:r w:rsidRPr="00A3675B">
        <w:rPr>
          <w:sz w:val="16"/>
        </w:rPr>
        <w:t xml:space="preserve">. There is also no on-site treatment amount or projected amounts listed. However it was reported that there was an off-site treatment of over 57,000 pounds of waste in 2011. It is also projected in the TRI report that there will be an off-site treatment of 69,000 pounds of waste in 2013. These compounds excluded dioxin and dioxin-like products. However, Dioxin and Dioxin like products similarly showed no report of on-site recycling, treatment or energy recoveries. </w:t>
      </w:r>
      <w:r w:rsidRPr="00296581">
        <w:rPr>
          <w:rStyle w:val="StyleUnderline"/>
          <w:highlight w:val="green"/>
        </w:rPr>
        <w:t>Dioxin is</w:t>
      </w:r>
      <w:r w:rsidRPr="00A3675B">
        <w:rPr>
          <w:rStyle w:val="StyleUnderline"/>
        </w:rPr>
        <w:t xml:space="preserve"> considered to be </w:t>
      </w:r>
      <w:r w:rsidRPr="00296581">
        <w:rPr>
          <w:rStyle w:val="StyleUnderline"/>
          <w:highlight w:val="green"/>
        </w:rPr>
        <w:t>one of the most hazardous chemicals</w:t>
      </w:r>
      <w:r w:rsidRPr="00A3675B">
        <w:rPr>
          <w:sz w:val="16"/>
        </w:rPr>
        <w:t xml:space="preserve"> by many experts. In 1982, the town of Times Beach, Missouri faced contamination with the chemical after contaminated oils were spread on the streets to prevent dust. The EPA’s website stated, “Dioxins can be released into the environment through forest fires, backyard burning of trash, certain industrial activities, and residue from past commercial burning of waste. Dioxins break down very slowly and past releases of dioxins from both man-made and natural sources still exist in the environment.” The EPA has also noted that exposure to dioxin can be </w:t>
      </w:r>
      <w:r w:rsidRPr="00296581">
        <w:rPr>
          <w:rStyle w:val="StyleUnderline"/>
          <w:highlight w:val="green"/>
        </w:rPr>
        <w:t>linked to cancer, miscarriage and sterility</w:t>
      </w:r>
      <w:r w:rsidRPr="00A3675B">
        <w:rPr>
          <w:sz w:val="16"/>
        </w:rPr>
        <w:t xml:space="preserve">. Smith and Wesson’s 10-Q report filed for July 2010 by the company explained, “We do not have insurance coverage for our environmental remediation costs. We have not recognized any gains from probable recoveries or other gain contingencies. The environmental reserve was calculated using undiscounted amounts based on independent environmental remediation reports obtained.” Financially, Smith and Wesson reserved finances for remediation of waste purposes, according to the 10-Q form. Smith and Wesson set aside $638,000 in reserves to remediate waste. The company also stated, “Our estimate of these costs is based upon currently enacted laws and regulations, currently available facts, experience in remediation efforts, existing technology, and the ability of other potentially responsible parties or contractually liable parties to pay the allocated portions of any environmental obligations.” Smith and Wesson also noted in the 10-Q report that, “Based on information known to us, </w:t>
      </w:r>
      <w:r w:rsidRPr="00A3675B">
        <w:rPr>
          <w:rStyle w:val="StyleUnderline"/>
        </w:rPr>
        <w:t>we do not expect current environmental regulations</w:t>
      </w:r>
      <w:r w:rsidRPr="00A3675B">
        <w:rPr>
          <w:sz w:val="16"/>
        </w:rPr>
        <w:t xml:space="preserve"> or environmental proceedings and claims </w:t>
      </w:r>
      <w:r w:rsidRPr="00A3675B">
        <w:rPr>
          <w:rStyle w:val="StyleUnderline"/>
        </w:rPr>
        <w:t>to have a material adverse effect on our</w:t>
      </w:r>
      <w:r w:rsidRPr="00A3675B">
        <w:rPr>
          <w:sz w:val="16"/>
        </w:rPr>
        <w:t xml:space="preserve"> consolidated financial </w:t>
      </w:r>
      <w:r w:rsidRPr="00A3675B">
        <w:rPr>
          <w:rStyle w:val="StyleUnderline"/>
        </w:rPr>
        <w:t>position</w:t>
      </w:r>
      <w:r w:rsidRPr="00A3675B">
        <w:rPr>
          <w:sz w:val="16"/>
        </w:rPr>
        <w:t>, results of operations, or cash flows.”</w:t>
      </w:r>
    </w:p>
    <w:p w:rsidR="005A1B0B" w:rsidRDefault="005A1B0B" w:rsidP="005A1B0B"/>
    <w:p w:rsidR="005A1B0B" w:rsidRDefault="005A1B0B" w:rsidP="005A1B0B">
      <w:pPr>
        <w:pStyle w:val="Heading3"/>
      </w:pPr>
      <w:r>
        <w:t>Advantage three is militarization:</w:t>
      </w:r>
    </w:p>
    <w:p w:rsidR="005A1B0B" w:rsidRDefault="005A1B0B" w:rsidP="005A1B0B">
      <w:pPr>
        <w:pStyle w:val="Heading4"/>
      </w:pPr>
      <w:r>
        <w:t>Absent legislation, big boomer possession spurs police militarization.</w:t>
      </w:r>
    </w:p>
    <w:p w:rsidR="005A1B0B" w:rsidRDefault="005A1B0B" w:rsidP="005A1B0B">
      <w:r w:rsidRPr="00981B8B">
        <w:rPr>
          <w:rStyle w:val="Style13ptBold"/>
        </w:rPr>
        <w:t>VPC 08</w:t>
      </w:r>
      <w:r>
        <w:t xml:space="preserve"> Violence Policy Center (national non-profit educational organization that conducts research and public education on violence in America and provides information and analysis to policymakers, journalists, advocates, and the general public. This report was authored by VPC Senior Policy Analyst Tom Diaz) “Big Boomers” December 2008 </w:t>
      </w:r>
      <w:hyperlink r:id="rId10" w:history="1">
        <w:r w:rsidRPr="00D40C31">
          <w:rPr>
            <w:rStyle w:val="Hyperlink"/>
          </w:rPr>
          <w:t>www.vpc.org/studies/bigboomers.pdf</w:t>
        </w:r>
      </w:hyperlink>
      <w:r>
        <w:t xml:space="preserve"> JW</w:t>
      </w:r>
    </w:p>
    <w:p w:rsidR="005A1B0B" w:rsidRPr="00CC0A17" w:rsidRDefault="005A1B0B" w:rsidP="005A1B0B">
      <w:pPr>
        <w:rPr>
          <w:sz w:val="16"/>
        </w:rPr>
      </w:pPr>
      <w:r w:rsidRPr="006753D5">
        <w:rPr>
          <w:sz w:val="16"/>
        </w:rPr>
        <w:t xml:space="preserve">The Gun Lobby Defends Smith &amp; Wesson’s Vest Buster. The Smith &amp; Wesson </w:t>
      </w:r>
      <w:r w:rsidRPr="006753D5">
        <w:rPr>
          <w:rStyle w:val="StyleUnderline"/>
          <w:highlight w:val="yellow"/>
        </w:rPr>
        <w:t>500 Magnum became a “humongous seller”</w:t>
      </w:r>
      <w:r w:rsidRPr="006753D5">
        <w:rPr>
          <w:sz w:val="16"/>
        </w:rPr>
        <w:t xml:space="preserve"> according to a spokesman for the gun company.43 </w:t>
      </w:r>
      <w:r w:rsidRPr="00CB39C5">
        <w:rPr>
          <w:rStyle w:val="StyleUnderline"/>
        </w:rPr>
        <w:t>It was named “Handgun of the Year”</w:t>
      </w:r>
      <w:r w:rsidRPr="006753D5">
        <w:rPr>
          <w:sz w:val="16"/>
        </w:rPr>
        <w:t xml:space="preserve"> in 2003 by a grandiloquent entity calling itself the “Shooting Industry Academy of Excellence”—in reality simply a selfserving appendage of the gun trade magazine Shooting Industry.44 There was, however, a fly in the rehabilitative ointment of the company, which has historically been close to foundering on financial shoals.45 Some law enforcement officials raised independently precisely the question posed in the VPC’s report on the vest-busting gun. “My question is why?,” </w:t>
      </w:r>
      <w:r w:rsidRPr="00CB39C5">
        <w:rPr>
          <w:rStyle w:val="StyleUnderline"/>
        </w:rPr>
        <w:t>a</w:t>
      </w:r>
      <w:r w:rsidRPr="006753D5">
        <w:rPr>
          <w:sz w:val="16"/>
        </w:rPr>
        <w:t xml:space="preserve"> Pinellas County, </w:t>
      </w:r>
      <w:r w:rsidRPr="00CB39C5">
        <w:rPr>
          <w:rStyle w:val="StyleUnderline"/>
        </w:rPr>
        <w:t xml:space="preserve">Florida, </w:t>
      </w:r>
      <w:r w:rsidRPr="006753D5">
        <w:rPr>
          <w:rStyle w:val="StyleUnderline"/>
          <w:highlight w:val="yellow"/>
        </w:rPr>
        <w:t>sheriff sergeant</w:t>
      </w:r>
      <w:r w:rsidRPr="006753D5">
        <w:rPr>
          <w:sz w:val="16"/>
        </w:rPr>
        <w:t xml:space="preserve"> and firearms instructor </w:t>
      </w:r>
      <w:r w:rsidRPr="00CB39C5">
        <w:rPr>
          <w:rStyle w:val="StyleUnderline"/>
        </w:rPr>
        <w:t xml:space="preserve">was </w:t>
      </w:r>
      <w:r w:rsidRPr="006753D5">
        <w:rPr>
          <w:rStyle w:val="StyleUnderline"/>
          <w:highlight w:val="yellow"/>
        </w:rPr>
        <w:t>quoted</w:t>
      </w:r>
      <w:r w:rsidRPr="006753D5">
        <w:rPr>
          <w:sz w:val="16"/>
        </w:rPr>
        <w:t xml:space="preserve"> in the St. Petersburg Times as asking. “That’s way too much firepower, and you’d hate to see it in the wrong hands. </w:t>
      </w:r>
      <w:r w:rsidRPr="006753D5">
        <w:rPr>
          <w:rStyle w:val="StyleUnderline"/>
          <w:highlight w:val="yellow"/>
        </w:rPr>
        <w:t>When the playing field gets tilted in favor of</w:t>
      </w:r>
      <w:r w:rsidRPr="00CB39C5">
        <w:rPr>
          <w:rStyle w:val="StyleUnderline"/>
        </w:rPr>
        <w:t xml:space="preserve"> the </w:t>
      </w:r>
      <w:r w:rsidRPr="006753D5">
        <w:rPr>
          <w:rStyle w:val="StyleUnderline"/>
          <w:highlight w:val="yellow"/>
        </w:rPr>
        <w:t>streets, law enforcement has to come back with equal firepower and new laws</w:t>
      </w:r>
      <w:r w:rsidRPr="00CB39C5">
        <w:rPr>
          <w:rStyle w:val="StyleUnderline"/>
        </w:rPr>
        <w:t>.</w:t>
      </w:r>
      <w:r w:rsidRPr="006753D5">
        <w:rPr>
          <w:sz w:val="16"/>
        </w:rPr>
        <w:t>”46</w:t>
      </w:r>
    </w:p>
    <w:p w:rsidR="005A1B0B" w:rsidRDefault="005A1B0B" w:rsidP="005A1B0B">
      <w:pPr>
        <w:pStyle w:val="Heading4"/>
      </w:pPr>
      <w:r>
        <w:t>Police militarization causes violence and over-policing in minority neighborhoods through the war on drugs.</w:t>
      </w:r>
    </w:p>
    <w:p w:rsidR="005A1B0B" w:rsidRDefault="005A1B0B" w:rsidP="005A1B0B">
      <w:r w:rsidRPr="00296581">
        <w:rPr>
          <w:rStyle w:val="Style13ptBold"/>
        </w:rPr>
        <w:t>McCabe 15</w:t>
      </w:r>
      <w:r>
        <w:t xml:space="preserve"> Bret “Does the militarization of American police help them serve and protect?” John Hopkins Magazine Spring 2015 </w:t>
      </w:r>
      <w:hyperlink r:id="rId11" w:history="1">
        <w:r w:rsidRPr="004D5375">
          <w:rPr>
            <w:rStyle w:val="Hyperlink"/>
          </w:rPr>
          <w:t>http://hub.jhu.edu/magazine/2015/spring/aclu-militarization-of-police</w:t>
        </w:r>
      </w:hyperlink>
      <w:r>
        <w:t xml:space="preserve"> JW</w:t>
      </w:r>
    </w:p>
    <w:p w:rsidR="005A1B0B" w:rsidRDefault="005A1B0B" w:rsidP="005A1B0B">
      <w:pPr>
        <w:rPr>
          <w:sz w:val="16"/>
        </w:rPr>
      </w:pPr>
      <w:r w:rsidRPr="00296581">
        <w:rPr>
          <w:sz w:val="16"/>
        </w:rPr>
        <w:t xml:space="preserve">War Comes Home provides a brief outline that answers that question. The ACLU has long examined incidents of excessive force and discriminatory policing tactics, and during her 2012–14 </w:t>
      </w:r>
      <w:r w:rsidRPr="00296581">
        <w:rPr>
          <w:rFonts w:ascii="MS Mincho" w:hAnsi="MS Mincho" w:cs="MS Mincho"/>
          <w:sz w:val="16"/>
        </w:rPr>
        <w:t> </w:t>
      </w:r>
      <w:r w:rsidRPr="00296581">
        <w:rPr>
          <w:sz w:val="16"/>
        </w:rPr>
        <w:t xml:space="preserve">tenure at the </w:t>
      </w:r>
      <w:r w:rsidRPr="00296581">
        <w:rPr>
          <w:rStyle w:val="StyleUnderline"/>
        </w:rPr>
        <w:t>ACLU</w:t>
      </w:r>
      <w:r w:rsidRPr="00296581">
        <w:rPr>
          <w:sz w:val="16"/>
        </w:rPr>
        <w:t xml:space="preserve">, Dansky says the organization </w:t>
      </w:r>
      <w:r w:rsidRPr="00296581">
        <w:rPr>
          <w:rStyle w:val="StyleUnderline"/>
        </w:rPr>
        <w:t>kept hearing</w:t>
      </w:r>
      <w:r w:rsidRPr="00296581">
        <w:rPr>
          <w:sz w:val="16"/>
        </w:rPr>
        <w:t xml:space="preserve"> anecdotal </w:t>
      </w:r>
      <w:r w:rsidRPr="00296581">
        <w:rPr>
          <w:rStyle w:val="StyleUnderline"/>
        </w:rPr>
        <w:t xml:space="preserve">stories of </w:t>
      </w:r>
      <w:r w:rsidRPr="00CC0A17">
        <w:rPr>
          <w:rStyle w:val="StyleUnderline"/>
          <w:highlight w:val="green"/>
        </w:rPr>
        <w:t>SWAT raids go</w:t>
      </w:r>
      <w:r w:rsidRPr="00296581">
        <w:rPr>
          <w:rStyle w:val="StyleUnderline"/>
        </w:rPr>
        <w:t xml:space="preserve">ne </w:t>
      </w:r>
      <w:r w:rsidRPr="00CC0A17">
        <w:rPr>
          <w:rStyle w:val="StyleUnderline"/>
          <w:highlight w:val="green"/>
        </w:rPr>
        <w:t>wrong—pets killed, children injured, people killed</w:t>
      </w:r>
      <w:r w:rsidRPr="00296581">
        <w:rPr>
          <w:sz w:val="16"/>
        </w:rPr>
        <w:t xml:space="preserve">—and decided to seek raw data about such deployments. In March 2013, the ACLU submitted public records requests to more than 260 law enforcement agencies in 25 states and the District of Columbia for incident reports and supplemental records documenting SWAT deployments for 2011 and 2012; by September 2013, the ACLU had received 3,844 records. As background to understanding that data, Dansky and her ACLU colleagues researched the growth of SWAT teams in U.S. police forces, from the first one created in late 1960s Los Angeles, and looked into the federal programs that provide military equipment and in some cases incentivize its use by law enforcement agencies. In 1981, President Ronald Reagan's administration prompted Congress to pass the Military Cooperation with Civilian Law Enforcement Agencies Act. The legislation permitted U.S. military collaboration with civilian law enforcement in the growing war on drugs, including the sharing of information and facilities and training on and use of military equipment. The National Defense Authorization Act of 1990 authorized the Department of Defense to transfer military equipment to law enforcement agencies "for use in counterdrug activities." This program led to the Department of Defense Excess Property Program (aka the 1033 Program). That one was created under President Bill Clinton by the National Defense Authorization Act for fiscal year 1997, and it authorized surplus military equipment to be sent to law enforcement agencies for, as the act states, "use in counternarcotics and counterterrorism operations, and to enhance officer safety." These pipelines put military weapons into the hands of civilian cops. The Edward Byrne Memorial Justice Assistance Grant (JAG) program, authorized by the Anti-Drug Abuse Act of 1988 and reorganized in 2005, provided a monetary incentive for their use in anti-drug policing. </w:t>
      </w:r>
      <w:r w:rsidRPr="00296581">
        <w:rPr>
          <w:rStyle w:val="StyleUnderline"/>
        </w:rPr>
        <w:t>Funding</w:t>
      </w:r>
      <w:r w:rsidRPr="00296581">
        <w:rPr>
          <w:sz w:val="16"/>
        </w:rPr>
        <w:t xml:space="preserve">, which comes out of the Department of Justice, </w:t>
      </w:r>
      <w:r w:rsidRPr="00296581">
        <w:rPr>
          <w:rStyle w:val="StyleUnderline"/>
        </w:rPr>
        <w:t>may incentivize arrests for low-level drug offenses and other ineffective crime-reduction strategies</w:t>
      </w:r>
      <w:r w:rsidRPr="00296581">
        <w:rPr>
          <w:sz w:val="16"/>
        </w:rPr>
        <w:t>. Byrne funds can be used for a variety of services, but a 2014 AlterNet report documents an overwhelming majority going toward anti-drug policing. The number of federal agencies, offices, or departments that gather incident report data about SWAT deployments is zero. All these programs and acts were expanded following 9/11, a development that is discussed in the background of the ACLU report. The ACLU looked specifically at two years of data about SWAT deployments from about 255 law enforcement agencies. The graphics on the accompanying pages spotlight some of the report's findings—for example, that an overwhelming majority of SWAT deployments are to serve search warrants, a scenario for which SWAT teams were not created nor intended, and the majority of those warrants are drug search warrants served to people of color. This provides a snapshot of how SWAT teams use federal criminal justice money and the weaponry obtained from the Department of Defense. But the stat that should provide the most pause is but an estimate: There are more than 17,000 autonomous law enforcement agencies in the United States. Of those, an estimated 80 percent have SWAT teams. Collectively, those SWAT teams are estimated to be deployed between 50,000 and 80,000 times per year. And the reason those stats are qualified as "estimated" is that the number of federal agencies, offices, or departments that gather incident report data about SWAT deployments is zero. "People are really shocked by the lack of data," Dansky says, pointing out that the data the ACLU received varied in consistency and depth, revealing that even at the local level there is no standard protocol for documenting deployment. "I think the events of Ferguson and the non-indictments in the Michael Brown and Eric Garner cases have shone a light on a problem that has deep roots and goes far back," she continues. "</w:t>
      </w:r>
      <w:r w:rsidRPr="00CC0A17">
        <w:rPr>
          <w:rStyle w:val="StyleUnderline"/>
          <w:highlight w:val="green"/>
        </w:rPr>
        <w:t>People in the [criminal justice] field have been complaining</w:t>
      </w:r>
      <w:r w:rsidRPr="00296581">
        <w:rPr>
          <w:rStyle w:val="StyleUnderline"/>
        </w:rPr>
        <w:t xml:space="preserve"> for a very long time </w:t>
      </w:r>
      <w:r w:rsidRPr="00CC0A17">
        <w:rPr>
          <w:rStyle w:val="StyleUnderline"/>
          <w:highlight w:val="green"/>
        </w:rPr>
        <w:t>about overpolicing in mainly black neighborhoods</w:t>
      </w:r>
      <w:r w:rsidRPr="00296581">
        <w:rPr>
          <w:rStyle w:val="StyleUnderline"/>
        </w:rPr>
        <w:t xml:space="preserve">—particularly </w:t>
      </w:r>
      <w:r w:rsidRPr="00CC0A17">
        <w:rPr>
          <w:rStyle w:val="StyleUnderline"/>
          <w:highlight w:val="green"/>
        </w:rPr>
        <w:t>aggressive policing,</w:t>
      </w:r>
      <w:r w:rsidRPr="00296581">
        <w:rPr>
          <w:rStyle w:val="StyleUnderline"/>
        </w:rPr>
        <w:t xml:space="preserve"> specifically </w:t>
      </w:r>
      <w:r w:rsidRPr="00CC0A17">
        <w:rPr>
          <w:rStyle w:val="StyleUnderline"/>
        </w:rPr>
        <w:t>to wage the</w:t>
      </w:r>
      <w:r w:rsidRPr="00296581">
        <w:rPr>
          <w:rStyle w:val="StyleUnderline"/>
        </w:rPr>
        <w:t xml:space="preserve"> failed and wasteful </w:t>
      </w:r>
      <w:r w:rsidRPr="00CC0A17">
        <w:rPr>
          <w:rStyle w:val="StyleUnderline"/>
          <w:highlight w:val="green"/>
        </w:rPr>
        <w:t>war on drugs—and mass incarceration</w:t>
      </w:r>
      <w:r w:rsidRPr="00296581">
        <w:rPr>
          <w:rStyle w:val="StyleUnderline"/>
        </w:rPr>
        <w:t xml:space="preserve">, which is basically </w:t>
      </w:r>
      <w:r w:rsidRPr="00CC0A17">
        <w:rPr>
          <w:rStyle w:val="StyleUnderline"/>
          <w:highlight w:val="green"/>
        </w:rPr>
        <w:t xml:space="preserve">our nation's addiction to locking up people in jails and prisons </w:t>
      </w:r>
      <w:r w:rsidRPr="00CC0A17">
        <w:rPr>
          <w:rStyle w:val="StyleUnderline"/>
        </w:rPr>
        <w:t>instead of providing constructive solutions.</w:t>
      </w:r>
      <w:r w:rsidRPr="00CC0A17">
        <w:rPr>
          <w:sz w:val="16"/>
        </w:rPr>
        <w:t xml:space="preserve"> But those issues have not been on the radar of mainstream America for decades. Now, people are talking about these issues in a really constructive way.</w:t>
      </w:r>
      <w:r w:rsidRPr="00296581">
        <w:rPr>
          <w:sz w:val="16"/>
        </w:rPr>
        <w:t xml:space="preserve">" She mentions a lawmaker in Pittsburgh who introduced legislation to prohibit the Pittsburgh police department from applying to the Pentagon for military equipment, some North Carolina counties that held public forums to talk about how citizens want policing performed in their communities, and a few communities that have sent their MRAPs back to the Pentagon. The federal government has started to address the oversight of these programs as well. In September, Senator Claire McCaskill of Missouri addressed the Senate Committee on Homeland Security and Governmental Affairs about these federal programs. A Senate Armed Services Hearing that month that reviewed these programs revealed that DOD, DOJ, and the Department of Homeland Security don't talk to one another about the money and equipment that go to police departments, which is ostensibly being addressed. And in December, President Barack Obama's office issued a report about these programs and gave his administration 120 days to develop an executive order that includes substantive reforms. Obama's report was the first top-down evaluation of the 1033 Program in 20 years; Americans who are poor and/or of color have lived on the frontlines of America's drug wars since the 1980s, and the ACLU report presents a correlation between the militarized police forces—which a small cadre of academic researchers has been documenting since the 1980s—and the preventive policing of the drug war as de facto urban policy driving how law enforcement agencies interact with and consider themselves in the communities in which they operate. Both are in need of radical reassessment and reform. "I think a lot of the public doesn't even know we're still fighting the war on drugs," says Dansky, who is now special adviser to the director of the Mayor's Office of Criminal Justice for New York City Mayor Bill de Blasio. "I think the public is weary of it and is tired of spending money on it. And I think </w:t>
      </w:r>
      <w:r w:rsidRPr="00CC0A17">
        <w:rPr>
          <w:rStyle w:val="StyleUnderline"/>
          <w:highlight w:val="green"/>
        </w:rPr>
        <w:t>people are really tired of seeing drugs as an evil that needs to be combated with the criminal justice system and specifically with weapons made for combat</w:t>
      </w:r>
      <w:r w:rsidRPr="00296581">
        <w:rPr>
          <w:sz w:val="16"/>
        </w:rPr>
        <w:t>. "</w:t>
      </w:r>
      <w:r w:rsidRPr="00CC0A17">
        <w:rPr>
          <w:rStyle w:val="StyleUnderline"/>
          <w:highlight w:val="green"/>
        </w:rPr>
        <w:t>People don't want their neighborhoods to be treated like war zones</w:t>
      </w:r>
      <w:r w:rsidRPr="00296581">
        <w:rPr>
          <w:sz w:val="16"/>
        </w:rPr>
        <w:t>," she continues. "And the people are already demanding change."</w:t>
      </w:r>
    </w:p>
    <w:p w:rsidR="005A1B0B" w:rsidRDefault="005A1B0B" w:rsidP="005A1B0B">
      <w:pPr>
        <w:pStyle w:val="Heading3"/>
      </w:pPr>
      <w:r>
        <w:t>Fwk</w:t>
      </w:r>
    </w:p>
    <w:p w:rsidR="005A1B0B" w:rsidRDefault="005A1B0B" w:rsidP="005A1B0B">
      <w:pPr>
        <w:pStyle w:val="Heading4"/>
      </w:pPr>
      <w:r>
        <w:t>Phenomenal introspection is reliable and proves that util is objectively valid.</w:t>
      </w:r>
    </w:p>
    <w:p w:rsidR="005A1B0B" w:rsidRPr="004251BB" w:rsidRDefault="005A1B0B" w:rsidP="005A1B0B">
      <w:r w:rsidRPr="004251BB">
        <w:rPr>
          <w:rStyle w:val="Style13ptBold"/>
        </w:rPr>
        <w:t>Sinhababu</w:t>
      </w:r>
      <w:r w:rsidRPr="004251BB">
        <w:t xml:space="preserve"> Neil (National University of Singapore) “The epistemic argument for hedonism” </w:t>
      </w:r>
      <w:hyperlink r:id="rId12" w:history="1">
        <w:r w:rsidRPr="003B0A67">
          <w:rPr>
            <w:rStyle w:val="Hyperlink"/>
          </w:rPr>
          <w:t>http://philpapers.org/archive/SINTEA-3 accessed 2-4-16</w:t>
        </w:r>
      </w:hyperlink>
      <w:r w:rsidRPr="003B0A67">
        <w:t xml:space="preserve"> JW</w:t>
      </w:r>
    </w:p>
    <w:p w:rsidR="005A1B0B" w:rsidRPr="00551506" w:rsidRDefault="005A1B0B" w:rsidP="005A1B0B">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rsidR="005A1B0B" w:rsidRDefault="005A1B0B" w:rsidP="005A1B0B">
      <w:r>
        <w:t>Highest layer of the framework debate- reliable processes disprove your theory.</w:t>
      </w:r>
    </w:p>
    <w:p w:rsidR="005A1B0B" w:rsidRPr="00D37201" w:rsidRDefault="005A1B0B" w:rsidP="005A1B0B">
      <w:pPr>
        <w:rPr>
          <w:sz w:val="16"/>
        </w:rPr>
      </w:pPr>
      <w:r w:rsidRPr="00D44A96">
        <w:rPr>
          <w:rStyle w:val="StyleUnderline"/>
        </w:rPr>
        <w:t>Sinhababu</w:t>
      </w:r>
      <w:r>
        <w:rPr>
          <w:rStyle w:val="StyleUnderline"/>
        </w:rPr>
        <w:t xml:space="preserve"> 2</w:t>
      </w:r>
      <w:r w:rsidRPr="00D44A96">
        <w:rPr>
          <w:sz w:val="16"/>
        </w:rPr>
        <w:t xml:space="preserve"> Neil Sinhababu (National University of Singapore) “The epistemic argument for hedonism” </w:t>
      </w:r>
      <w:hyperlink r:id="rId13" w:history="1">
        <w:r w:rsidRPr="00D44A96">
          <w:rPr>
            <w:rStyle w:val="Hyperlink"/>
            <w:sz w:val="16"/>
          </w:rPr>
          <w:t>http://philpapers.org/archive/SINTEA-3</w:t>
        </w:r>
      </w:hyperlink>
      <w:r w:rsidRPr="00D44A96">
        <w:rPr>
          <w:sz w:val="16"/>
        </w:rPr>
        <w:t xml:space="preserve"> JW</w:t>
      </w:r>
    </w:p>
    <w:p w:rsidR="005A1B0B" w:rsidRPr="00194F39" w:rsidRDefault="005A1B0B" w:rsidP="005A1B0B">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rsidR="005A1B0B" w:rsidRDefault="005A1B0B" w:rsidP="005A1B0B">
      <w:r>
        <w:t>Impacts: A. Skepticism doesn’t answer the aff since conflicts can only be resolved by competing reasons and intutions-this comes first, it’s a question of how we evaluate ethical claims in the first place. Also there’s multiple types of obligations we can conceptualize, proving any one doesn’t disprove the resolution, I just have to win any specific reason the aff is good to prove the statement overall good. B. outweighs on probability- any other justification relies on long chains of questionable metaphysical assumptions- util is verifiable to every agent.</w:t>
      </w:r>
    </w:p>
    <w:p w:rsidR="005A1B0B" w:rsidRDefault="005A1B0B" w:rsidP="005A1B0B">
      <w:r>
        <w:t xml:space="preserve">Thus, the standard is maximizing happiness. </w:t>
      </w:r>
      <w:r w:rsidRPr="00CA3702">
        <w:t>Prefer the standard:</w:t>
      </w:r>
    </w:p>
    <w:p w:rsidR="005A1B0B" w:rsidRDefault="005A1B0B" w:rsidP="005A1B0B">
      <w:r>
        <w:t>1. M</w:t>
      </w:r>
      <w:r w:rsidRPr="00CA3702">
        <w:t>eans based theories devolve to util-there’s no intent foresight distinction: if we’re knowledgeable about the consequence of an action then we calculate that into our intention because we could always decide not to act</w:t>
      </w:r>
      <w:r>
        <w:t>.</w:t>
      </w:r>
    </w:p>
    <w:p w:rsidR="005A1B0B" w:rsidRDefault="005A1B0B" w:rsidP="005A1B0B">
      <w:r>
        <w:t>2. Util is axiomatic since it applies to all circumstance, whereas things like reason can contradict. This outweighs: we have to have some way to resolve contradictions, e.g. X and not X, otherwise all statements would be rendered irresolvable. Contradictions come first—they govern the truth claims of all propositions, for example: saying “all lemons are yellow” OR “santa claus exists” must be true if we know that lemons are yellow. But, if we substitute in “not all lemons are yellow,” then Santa Claus must exist, which applies to all assertions.</w:t>
      </w:r>
    </w:p>
    <w:p w:rsidR="005A1B0B" w:rsidRDefault="005A1B0B" w:rsidP="005A1B0B">
      <w:r>
        <w:t>3.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rsidR="005A1B0B" w:rsidRDefault="005A1B0B" w:rsidP="005A1B0B">
      <w:r>
        <w:t xml:space="preserve">4. our basic intuition is that we must make the world a better place.ollieconceded theory is taken out bu\y truth tes </w:t>
      </w:r>
      <w:r w:rsidRPr="00BF5FE2">
        <w:rPr>
          <w:rStyle w:val="Emphasis"/>
          <w:rFonts w:eastAsiaTheme="majorEastAsia" w:cstheme="majorBidi"/>
          <w:iCs w:val="0"/>
          <w:sz w:val="200"/>
          <w:szCs w:val="200"/>
          <w:u w:val="none"/>
          <w:bdr w:val="none" w:sz="0" w:space="0" w:color="auto"/>
        </w:rPr>
        <w:t>food</w:t>
      </w:r>
      <w:r>
        <w:rPr>
          <w:rStyle w:val="Emphasis"/>
          <w:rFonts w:eastAsiaTheme="majorEastAsia" w:cstheme="majorBidi"/>
          <w:iCs w:val="0"/>
          <w:sz w:val="200"/>
          <w:szCs w:val="200"/>
          <w:u w:val="none"/>
          <w:bdr w:val="none" w:sz="0" w:space="0" w:color="auto"/>
        </w:rPr>
        <w:t xml:space="preserve"> one sec kk</w:t>
      </w:r>
    </w:p>
    <w:p w:rsidR="005A1B0B" w:rsidRDefault="005A1B0B" w:rsidP="005A1B0B">
      <w:r>
        <w:rPr>
          <w:rStyle w:val="StyleUnderline"/>
        </w:rPr>
        <w:t>Sinnott-Armstrong 2</w:t>
      </w:r>
      <w:r w:rsidRPr="001A4F13">
        <w:rPr>
          <w:sz w:val="16"/>
        </w:rPr>
        <w:t xml:space="preserve"> Walter Sinnott-Armstrong (Chauncey Stillman Professor of Practical Ethics in the Department of Philosophy and the Kenan Institute for Ethics at Duke University) “</w:t>
      </w:r>
      <w:r>
        <w:rPr>
          <w:sz w:val="16"/>
        </w:rPr>
        <w:t>Consequentialism</w:t>
      </w:r>
      <w:r w:rsidRPr="001A4F13">
        <w:rPr>
          <w:sz w:val="16"/>
        </w:rPr>
        <w:t xml:space="preserve">” </w:t>
      </w:r>
      <w:r>
        <w:rPr>
          <w:sz w:val="16"/>
        </w:rPr>
        <w:t xml:space="preserve">Stanford Encyclopedia of Philosophy </w:t>
      </w:r>
      <w:hyperlink r:id="rId14" w:history="1">
        <w:r w:rsidRPr="007B0045">
          <w:rPr>
            <w:rStyle w:val="Hyperlink"/>
            <w:sz w:val="16"/>
          </w:rPr>
          <w:t>http://plato.stanford.edu/archives/win2011/entries/consequentialism/</w:t>
        </w:r>
      </w:hyperlink>
    </w:p>
    <w:p w:rsidR="005A1B0B" w:rsidRPr="00DD340F" w:rsidRDefault="005A1B0B" w:rsidP="005A1B0B">
      <w:pPr>
        <w:rPr>
          <w:sz w:val="16"/>
        </w:rPr>
      </w:pPr>
      <w:r w:rsidRPr="00DD340F">
        <w:rPr>
          <w:sz w:val="16"/>
        </w:rPr>
        <w:t xml:space="preserve">Even if consequentialists can accommodate or explain away common moral intuitions, that might seem only to answer objections without yet giving any positive reason to accept consequentialism. However, </w:t>
      </w:r>
      <w:r w:rsidRPr="00DD340F">
        <w:rPr>
          <w:rStyle w:val="StyleUnderline"/>
        </w:rPr>
        <w:t>most people begin with the presumption</w:t>
      </w:r>
      <w:r w:rsidRPr="00DD340F">
        <w:rPr>
          <w:sz w:val="16"/>
        </w:rPr>
        <w:t xml:space="preserve"> that </w:t>
      </w:r>
      <w:r w:rsidRPr="00DD340F">
        <w:rPr>
          <w:rStyle w:val="StyleUnderline"/>
        </w:rPr>
        <w:t>we morally ought to make the world better when we can. The question</w:t>
      </w:r>
      <w:r w:rsidRPr="00DD340F">
        <w:rPr>
          <w:sz w:val="16"/>
        </w:rPr>
        <w:t xml:space="preserve"> then </w:t>
      </w:r>
      <w:r w:rsidRPr="00DD340F">
        <w:rPr>
          <w:rStyle w:val="StyleUnderline"/>
        </w:rPr>
        <w:t>is</w:t>
      </w:r>
      <w:r w:rsidRPr="00DD340F">
        <w:rPr>
          <w:sz w:val="16"/>
        </w:rPr>
        <w:t xml:space="preserve"> only </w:t>
      </w:r>
      <w:r w:rsidRPr="00DD340F">
        <w:rPr>
          <w:rStyle w:val="StyleUnderline"/>
        </w:rPr>
        <w:t>whether any moral constraints</w:t>
      </w:r>
      <w:r w:rsidRPr="00DD340F">
        <w:rPr>
          <w:sz w:val="16"/>
        </w:rPr>
        <w:t xml:space="preserve"> or moral options </w:t>
      </w:r>
      <w:r w:rsidRPr="00DD340F">
        <w:rPr>
          <w:rStyle w:val="StyleUnderline"/>
        </w:rPr>
        <w:t>need to be added to the basic consequentialist factor</w:t>
      </w:r>
      <w:r w:rsidRPr="00DD340F">
        <w:rPr>
          <w:sz w:val="16"/>
        </w:rPr>
        <w:t xml:space="preserve"> in moral reasoning. (Kagan 1989, 1998) </w:t>
      </w:r>
      <w:r w:rsidRPr="00DD340F">
        <w:rPr>
          <w:rStyle w:val="StyleUnderline"/>
        </w:rPr>
        <w:t>If no objection reveals any need for anything beyond consequences, then consequences alone</w:t>
      </w:r>
      <w:r w:rsidRPr="00DD340F">
        <w:rPr>
          <w:sz w:val="16"/>
        </w:rPr>
        <w:t xml:space="preserve"> seem to </w:t>
      </w:r>
      <w:r w:rsidRPr="00DD340F">
        <w:rPr>
          <w:rStyle w:val="StyleUnderline"/>
        </w:rPr>
        <w:t>determine what is morally right or wrong</w:t>
      </w:r>
      <w:r w:rsidRPr="00DD340F">
        <w:rPr>
          <w:sz w:val="16"/>
        </w:rPr>
        <w:t>, just as consequentialists claim.</w:t>
      </w:r>
    </w:p>
    <w:p w:rsidR="005A1B0B" w:rsidRPr="007E6CD5" w:rsidRDefault="005A1B0B" w:rsidP="005A1B0B">
      <w:r>
        <w:t>Thus, any reason to reject the NC framework is sufficient to default to util even if I don’t win proactive framework warrants.</w:t>
      </w:r>
    </w:p>
    <w:p w:rsidR="005A1B0B" w:rsidRDefault="005A1B0B" w:rsidP="005A1B0B">
      <w:pPr>
        <w:pStyle w:val="Heading3"/>
      </w:pPr>
      <w:r>
        <w:t>Underview</w:t>
      </w:r>
    </w:p>
    <w:p w:rsidR="005A1B0B" w:rsidRDefault="005A1B0B" w:rsidP="005A1B0B">
      <w:r>
        <w:t>1</w:t>
      </w:r>
      <w:r w:rsidRPr="00216176">
        <w:t xml:space="preserve">. </w:t>
      </w:r>
      <w:r>
        <w:t>Aff gets 1AR theory- otherwise the neg can be infinitely abusive and there’s no way to check against this. 1AR theory is drop the debater- the 1ARs too short to be able to rectify abuse and adequately cover substance- you must be punished.</w:t>
      </w:r>
    </w:p>
    <w:p w:rsidR="005A1B0B" w:rsidRDefault="005A1B0B" w:rsidP="005A1B0B">
      <w:r>
        <w:t>2. Put away your Kant NC. The state has a monopoly on force through the omnilateral will, private ownership of handguns ought to be banned.</w:t>
      </w:r>
    </w:p>
    <w:p w:rsidR="005A1B0B" w:rsidRDefault="005A1B0B" w:rsidP="005A1B0B">
      <w:pPr>
        <w:rPr>
          <w:sz w:val="16"/>
        </w:rPr>
      </w:pPr>
      <w:r w:rsidRPr="00C46D2B">
        <w:rPr>
          <w:rStyle w:val="StyleUnderline"/>
        </w:rPr>
        <w:t>Ripstein</w:t>
      </w:r>
      <w:r w:rsidRPr="005D73CC">
        <w:rPr>
          <w:sz w:val="16"/>
        </w:rPr>
        <w:t xml:space="preserve"> Arthur Ripstein, “Force and Freedom”. Harvard University Press, 2009</w:t>
      </w:r>
    </w:p>
    <w:p w:rsidR="005A1B0B" w:rsidRDefault="005A1B0B" w:rsidP="005A1B0B">
      <w:pPr>
        <w:rPr>
          <w:sz w:val="16"/>
        </w:rPr>
      </w:pPr>
      <w:r w:rsidRPr="001A05BF">
        <w:rPr>
          <w:sz w:val="16"/>
        </w:rPr>
        <w:t xml:space="preserve">The first, “legalistic” argument turns on the claim that </w:t>
      </w:r>
      <w:r w:rsidRPr="008161D7">
        <w:rPr>
          <w:rStyle w:val="StyleUnderline"/>
          <w:highlight w:val="cyan"/>
        </w:rPr>
        <w:t>no one can sit in judgment of the sovereign</w:t>
      </w:r>
      <w:r w:rsidRPr="001A05BF">
        <w:rPr>
          <w:sz w:val="16"/>
        </w:rPr>
        <w:t xml:space="preserve">, </w:t>
      </w:r>
      <w:r w:rsidRPr="001A05BF">
        <w:rPr>
          <w:rStyle w:val="StyleUnderline"/>
        </w:rPr>
        <w:t xml:space="preserve">on the grounds that </w:t>
      </w:r>
      <w:r w:rsidRPr="008161D7">
        <w:rPr>
          <w:rStyle w:val="StyleUnderline"/>
          <w:highlight w:val="cyan"/>
        </w:rPr>
        <w:t>the person</w:t>
      </w:r>
      <w:r w:rsidRPr="001A05BF">
        <w:rPr>
          <w:rStyle w:val="StyleUnderline"/>
        </w:rPr>
        <w:t xml:space="preserve"> who could do so </w:t>
      </w:r>
      <w:r w:rsidRPr="008161D7">
        <w:rPr>
          <w:rStyle w:val="StyleUnderline"/>
          <w:highlight w:val="cyan"/>
        </w:rPr>
        <w:t>would be</w:t>
      </w:r>
      <w:r w:rsidRPr="001A05BF">
        <w:rPr>
          <w:sz w:val="16"/>
        </w:rPr>
        <w:t xml:space="preserve"> the </w:t>
      </w:r>
      <w:r w:rsidRPr="001D678D">
        <w:rPr>
          <w:rStyle w:val="StyleUnderline"/>
          <w:highlight w:val="cyan"/>
        </w:rPr>
        <w:t>sovereign</w:t>
      </w:r>
      <w:r w:rsidRPr="001D678D">
        <w:rPr>
          <w:b/>
          <w:sz w:val="16"/>
          <w:highlight w:val="cyan"/>
          <w:u w:val="single"/>
        </w:rPr>
        <w:t>,</w:t>
      </w:r>
      <w:r w:rsidRPr="001D678D">
        <w:rPr>
          <w:rStyle w:val="StyleUnderline"/>
          <w:highlight w:val="cyan"/>
        </w:rPr>
        <w:t xml:space="preserve"> and</w:t>
      </w:r>
      <w:r w:rsidRPr="001A05BF">
        <w:rPr>
          <w:sz w:val="16"/>
        </w:rPr>
        <w:t xml:space="preserve"> so, </w:t>
      </w:r>
      <w:r w:rsidRPr="008161D7">
        <w:rPr>
          <w:rStyle w:val="StyleUnderline"/>
          <w:highlight w:val="cyan"/>
        </w:rPr>
        <w:t>either the real sovereign, or subject to having</w:t>
      </w:r>
      <w:r w:rsidRPr="001A05BF">
        <w:rPr>
          <w:sz w:val="16"/>
        </w:rPr>
        <w:t xml:space="preserve"> still </w:t>
      </w:r>
      <w:r w:rsidRPr="008161D7">
        <w:rPr>
          <w:rStyle w:val="StyleUnderline"/>
          <w:highlight w:val="cyan"/>
        </w:rPr>
        <w:t>others sit in judgment, generating either</w:t>
      </w:r>
      <w:r w:rsidRPr="001A05BF">
        <w:rPr>
          <w:rStyle w:val="StyleUnderline"/>
        </w:rPr>
        <w:t xml:space="preserve"> a </w:t>
      </w:r>
      <w:r w:rsidRPr="008161D7">
        <w:rPr>
          <w:rStyle w:val="StyleUnderline"/>
          <w:highlight w:val="cyan"/>
        </w:rPr>
        <w:t>regress or</w:t>
      </w:r>
      <w:r w:rsidRPr="001A05BF">
        <w:rPr>
          <w:rStyle w:val="StyleUnderline"/>
        </w:rPr>
        <w:t xml:space="preserve"> a </w:t>
      </w:r>
      <w:r w:rsidRPr="008161D7">
        <w:rPr>
          <w:rStyle w:val="StyleUnderline"/>
          <w:highlight w:val="cyan"/>
        </w:rPr>
        <w:t>contradiction</w:t>
      </w:r>
      <w:r w:rsidRPr="001D678D">
        <w:rPr>
          <w:b/>
          <w:sz w:val="24"/>
          <w:szCs w:val="24"/>
          <w:highlight w:val="cyan"/>
          <w:u w:val="single"/>
        </w:rPr>
        <w:t xml:space="preserve">, </w:t>
      </w:r>
      <w:r w:rsidRPr="001D678D">
        <w:rPr>
          <w:rStyle w:val="StyleUnderline"/>
          <w:highlight w:val="cyan"/>
        </w:rPr>
        <w:t>s</w:t>
      </w:r>
      <w:r w:rsidRPr="008161D7">
        <w:rPr>
          <w:rStyle w:val="StyleUnderline"/>
          <w:highlight w:val="cyan"/>
        </w:rPr>
        <w:t>ince</w:t>
      </w:r>
      <w:r w:rsidRPr="001A05BF">
        <w:rPr>
          <w:sz w:val="16"/>
        </w:rPr>
        <w:t xml:space="preserve"> under such an arrangement </w:t>
      </w:r>
      <w:r w:rsidRPr="008161D7">
        <w:rPr>
          <w:rStyle w:val="StyleUnderline"/>
          <w:highlight w:val="cyan"/>
        </w:rPr>
        <w:t>the supreme authority would both be and not be</w:t>
      </w:r>
      <w:r w:rsidRPr="001A05BF">
        <w:rPr>
          <w:rStyle w:val="StyleUnderline"/>
        </w:rPr>
        <w:t xml:space="preserve"> the </w:t>
      </w:r>
      <w:r w:rsidRPr="008161D7">
        <w:rPr>
          <w:rStyle w:val="StyleUnderline"/>
          <w:highlight w:val="cyan"/>
        </w:rPr>
        <w:t>supreme</w:t>
      </w:r>
      <w:r w:rsidRPr="001A05BF">
        <w:rPr>
          <w:rStyle w:val="StyleUnderline"/>
        </w:rPr>
        <w:t xml:space="preserve"> authority</w:t>
      </w:r>
      <w:r w:rsidRPr="001A05BF">
        <w:rPr>
          <w:sz w:val="16"/>
        </w:rPr>
        <w:t xml:space="preserve">. Thus a constitution that reserves to the people a right of revolution necessarily contains a contradiction. This argument is often discussed independently of the other parts of Kant’s argument for the state, and unsurprisingly, it strikes many readers as too legalistic to be of much interest. However, Kant’s point in making it needs to be understood in the broader context of his argument for the state. As we saw in Chapter 6, that argument turns on the problem of unilateral choice, and the need for authoritative institutions to make choice omnilateral. </w:t>
      </w:r>
      <w:r w:rsidRPr="008161D7">
        <w:rPr>
          <w:rStyle w:val="StyleUnderline"/>
          <w:highlight w:val="cyan"/>
        </w:rPr>
        <w:t>In order for the power to resolve a dispute to be</w:t>
      </w:r>
      <w:r w:rsidRPr="001A05BF">
        <w:rPr>
          <w:rStyle w:val="StyleUnderline"/>
        </w:rPr>
        <w:t xml:space="preserve"> anything </w:t>
      </w:r>
      <w:r w:rsidRPr="008161D7">
        <w:rPr>
          <w:rStyle w:val="StyleUnderline"/>
          <w:highlight w:val="cyan"/>
        </w:rPr>
        <w:t>more than</w:t>
      </w:r>
      <w:r w:rsidRPr="001A05BF">
        <w:rPr>
          <w:rStyle w:val="StyleUnderline"/>
        </w:rPr>
        <w:t xml:space="preserve"> yet another </w:t>
      </w:r>
      <w:r w:rsidRPr="008161D7">
        <w:rPr>
          <w:rStyle w:val="StyleUnderline"/>
          <w:highlight w:val="cyan"/>
        </w:rPr>
        <w:t>unilateral</w:t>
      </w:r>
      <w:r w:rsidRPr="001A05BF">
        <w:rPr>
          <w:rStyle w:val="StyleUnderline"/>
        </w:rPr>
        <w:t xml:space="preserve"> use of force, </w:t>
      </w:r>
      <w:r w:rsidRPr="008161D7">
        <w:rPr>
          <w:rStyle w:val="StyleUnderline"/>
          <w:highlight w:val="cyan"/>
        </w:rPr>
        <w:t>the arbiter</w:t>
      </w:r>
      <w:r w:rsidRPr="001A05BF">
        <w:rPr>
          <w:sz w:val="16"/>
        </w:rPr>
        <w:t xml:space="preserve"> of the dispute </w:t>
      </w:r>
      <w:r w:rsidRPr="008161D7">
        <w:rPr>
          <w:rStyle w:val="StyleUnderline"/>
          <w:highlight w:val="cyan"/>
        </w:rPr>
        <w:t>must be able to make a decision on behalf of the parties</w:t>
      </w:r>
      <w:r w:rsidRPr="001A05BF">
        <w:rPr>
          <w:sz w:val="16"/>
        </w:rPr>
        <w:t xml:space="preserve"> to the dispute. </w:t>
      </w:r>
      <w:r w:rsidRPr="008161D7">
        <w:rPr>
          <w:rStyle w:val="StyleUnderline"/>
          <w:highlight w:val="cyan"/>
        </w:rPr>
        <w:t>In the case of a revolution</w:t>
      </w:r>
      <w:r w:rsidRPr="001A05BF">
        <w:rPr>
          <w:sz w:val="16"/>
        </w:rPr>
        <w:t xml:space="preserve">, however, </w:t>
      </w:r>
      <w:r w:rsidRPr="008161D7">
        <w:rPr>
          <w:rStyle w:val="StyleUnderline"/>
          <w:highlight w:val="cyan"/>
        </w:rPr>
        <w:t>someone presents himself as outside the legal order, yet entitled to resolve a dispute</w:t>
      </w:r>
      <w:r w:rsidRPr="001A05BF">
        <w:rPr>
          <w:sz w:val="16"/>
        </w:rPr>
        <w:t xml:space="preserve"> in relation to it. In those terms, the revolutionary’s position is incoherent. From the claim that the revolutionary is not entitled to be judge in his own case, Kant draws the surprising conclusion that the sovereign is entitled to be judge in his own case.14</w:t>
      </w:r>
    </w:p>
    <w:p w:rsidR="005A1B0B" w:rsidRDefault="005A1B0B" w:rsidP="005A1B0B">
      <w:r>
        <w:t>3. Merriam Webster</w:t>
      </w:r>
      <w:r>
        <w:rPr>
          <w:rStyle w:val="FootnoteReference"/>
        </w:rPr>
        <w:footnoteReference w:id="1"/>
      </w:r>
      <w:r>
        <w:t xml:space="preserve"> defines “to negate” as “</w:t>
      </w:r>
      <w:r w:rsidRPr="00A0019F">
        <w:rPr>
          <w:rStyle w:val="StyleUnderline"/>
        </w:rPr>
        <w:t>to deny the</w:t>
      </w:r>
      <w:r w:rsidRPr="00A0019F">
        <w:rPr>
          <w:sz w:val="12"/>
          <w:szCs w:val="12"/>
        </w:rPr>
        <w:t xml:space="preserve"> existence or </w:t>
      </w:r>
      <w:r w:rsidRPr="00A0019F">
        <w:rPr>
          <w:rStyle w:val="StyleUnderline"/>
        </w:rPr>
        <w:t>truth of</w:t>
      </w:r>
      <w:r>
        <w:t>” so the neg burden is to prove the resolution false-textuality is key since it’s the only thing we have before the round. The neg burden is to prove the resolution more likely false than true, otherwise you have a comparatively easier burden than me.</w:t>
      </w:r>
    </w:p>
    <w:p w:rsidR="005A1B0B" w:rsidRDefault="005A1B0B" w:rsidP="005A1B0B">
      <w:r>
        <w:t>4. Presume aff- statements are presumed true before contestation- if I say my name is Jack, you believe me until you have evidence otherwise.</w:t>
      </w:r>
    </w:p>
    <w:p w:rsidR="005A1B0B" w:rsidRDefault="005A1B0B" w:rsidP="005A1B0B">
      <w:r>
        <w:t xml:space="preserve">5. The neg must accept the aff’s choice of role of the ballot where the neg must defend postfiat offense related to the resolutiony. I have to speak first and create the starting point for the debate-changing role of the ballot moots six minutes of AC offense, A. reason to drop you under your role of the ballot-you skew the discussion in your favor and give yourself more speech time, B. strongest link to fairness-I have no coherent strategy options since I lose the aff, C. link turns your kritikal offense since a world in which the aff chooses the role of the ballot allows us to better clash on issues underneath that role and gain actual kritikal education, also counter interp offense is non unique since you can just read a kritikal disad, read your K on the aff, or just read it without the voting implication to promote education. Theory outweighs the K since it sets rules for the activity that govern what kinds of arguments you can read. </w:t>
      </w:r>
    </w:p>
    <w:p w:rsidR="005A1B0B" w:rsidRPr="007F79FB" w:rsidRDefault="005A1B0B" w:rsidP="005A1B0B">
      <w:pPr>
        <w:pStyle w:val="Heading4"/>
      </w:pPr>
      <w:r>
        <w:t xml:space="preserve">6. Critical movements must be strategically oriented </w:t>
      </w:r>
      <w:r w:rsidRPr="007F79FB">
        <w:rPr>
          <w:u w:val="single"/>
        </w:rPr>
        <w:t>legalistic demands</w:t>
      </w:r>
      <w:r>
        <w:t xml:space="preserve"> against the state to promote real change.</w:t>
      </w:r>
    </w:p>
    <w:p w:rsidR="005A1B0B" w:rsidRDefault="005A1B0B" w:rsidP="005A1B0B">
      <w:r w:rsidRPr="007F79FB">
        <w:rPr>
          <w:rStyle w:val="Style13ptBold"/>
        </w:rPr>
        <w:t>Zizek 07</w:t>
      </w:r>
      <w:r>
        <w:t xml:space="preserve"> Slavoj “Resistance is Surrender” London Review of Books November 15</w:t>
      </w:r>
      <w:r w:rsidRPr="007F79FB">
        <w:rPr>
          <w:vertAlign w:val="superscript"/>
        </w:rPr>
        <w:t>th</w:t>
      </w:r>
      <w:r>
        <w:t xml:space="preserve"> 2007 </w:t>
      </w:r>
      <w:hyperlink r:id="rId15" w:history="1">
        <w:r w:rsidRPr="00CE61C7">
          <w:rPr>
            <w:rStyle w:val="Hyperlink"/>
          </w:rPr>
          <w:t>http://www.lacan.com/zizsurcrit.htm</w:t>
        </w:r>
      </w:hyperlink>
      <w:r>
        <w:t xml:space="preserve"> JW</w:t>
      </w:r>
    </w:p>
    <w:p w:rsidR="005A1B0B" w:rsidRPr="00CF2ECD" w:rsidRDefault="005A1B0B" w:rsidP="005A1B0B">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recognises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emphasises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So what should, say, the US Democrats do? Stop competing for state power and withdraw to the interstices of the state, leaving state power to the Republicans and start a campaign of anarchic resistance to it? And what would Critchley do if he were facing an adversary like Hitler? Surely in such a case one should 'mimic and mirror the archic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Critchley's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Why not act with(in)</w:t>
      </w:r>
      <w:r w:rsidRPr="007F79FB">
        <w:rPr>
          <w:rStyle w:val="StyleUnderline"/>
        </w:rPr>
        <w:t xml:space="preserve"> the state</w:t>
      </w:r>
      <w:r w:rsidRPr="00CF2ECD">
        <w:rPr>
          <w:sz w:val="16"/>
        </w:rPr>
        <w:t xml:space="preserv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Those in power calmly accepted it</w:t>
      </w:r>
      <w:r w:rsidRPr="00CF2ECD">
        <w:rPr>
          <w:sz w:val="16"/>
        </w:rPr>
        <w:t xml:space="preserve">, even profited from it: not only did the protests in no way prevent the already-made decision to attack Iraq; </w:t>
      </w:r>
      <w:r w:rsidRPr="00CF2ECD">
        <w:rPr>
          <w:rStyle w:val="StyleUnderline"/>
        </w:rPr>
        <w:t>they also served to legitimise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Peronist) </w:t>
      </w:r>
      <w:r w:rsidRPr="007F79FB">
        <w:rPr>
          <w:rStyle w:val="StyleUnderline"/>
        </w:rPr>
        <w:t xml:space="preserve">party, but </w:t>
      </w:r>
      <w:r w:rsidRPr="00CF2ECD">
        <w:rPr>
          <w:rStyle w:val="StyleUnderline"/>
          <w:highlight w:val="cyan"/>
        </w:rPr>
        <w:t xml:space="preserve">as a vehicle for the mobilisation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Today, it is the great capitalists - Bill Gates, corporate polluters, fox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power cannot fulfil</w:t>
      </w:r>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rsidR="005A1B0B" w:rsidRDefault="005A1B0B" w:rsidP="005A1B0B">
      <w:pPr>
        <w:pStyle w:val="Heading4"/>
      </w:pPr>
      <w:r>
        <w:t>Critique is useless without a concrete policy option that solves for your harms.</w:t>
      </w:r>
    </w:p>
    <w:p w:rsidR="005A1B0B" w:rsidRPr="00D4397B" w:rsidRDefault="005A1B0B" w:rsidP="005A1B0B">
      <w:r w:rsidRPr="00D4397B">
        <w:rPr>
          <w:rStyle w:val="Style13ptBold"/>
        </w:rPr>
        <w:t>Bryant 12</w:t>
      </w:r>
      <w:r>
        <w:rPr>
          <w:sz w:val="16"/>
        </w:rPr>
        <w:t xml:space="preserve"> </w:t>
      </w:r>
      <w:r w:rsidRPr="00D4397B">
        <w:t xml:space="preserve">Levi Bryant (Professor of Philosophy at Collin College) “A Critique of the Academic Left” 2012 </w:t>
      </w:r>
      <w:hyperlink r:id="rId16" w:history="1">
        <w:r w:rsidRPr="00D4397B">
          <w:rPr>
            <w:rStyle w:val="Hyperlink"/>
          </w:rPr>
          <w:t>https://larvalsubjects.wordpress.com/2012/11/11/underpants-gnomes-a-critique-of-the-academic-left/</w:t>
        </w:r>
      </w:hyperlink>
      <w:r w:rsidRPr="00D4397B">
        <w:t xml:space="preserve"> JW</w:t>
      </w:r>
    </w:p>
    <w:p w:rsidR="005A1B0B" w:rsidRPr="0099688A" w:rsidRDefault="005A1B0B" w:rsidP="005A1B0B">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r>
        <w:rPr>
          <w:rStyle w:val="StyleUnderline"/>
          <w:highlight w:val="yellow"/>
        </w:rPr>
        <w:t>ignor[es]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rsidR="005A1B0B" w:rsidRDefault="005A1B0B" w:rsidP="005A1B0B">
      <w:pPr>
        <w:pStyle w:val="Heading1"/>
      </w:pPr>
      <w:r>
        <w:t>1AR</w:t>
      </w:r>
    </w:p>
    <w:p w:rsidR="005A1B0B" w:rsidRDefault="005A1B0B" w:rsidP="005A1B0B">
      <w:pPr>
        <w:pStyle w:val="Heading3"/>
      </w:pPr>
      <w:r>
        <w:t>Mult Shells/No RVI/C-I Bad</w:t>
      </w:r>
    </w:p>
    <w:p w:rsidR="005A1B0B" w:rsidRDefault="005A1B0B" w:rsidP="005A1B0B">
      <w:pPr>
        <w:tabs>
          <w:tab w:val="left" w:pos="1161"/>
        </w:tabs>
      </w:pPr>
      <w:r>
        <w:t>A. Interpretation: the neg may not read multiple theory shells, deny the aff an RVI, and deny reasonability.</w:t>
      </w:r>
    </w:p>
    <w:p w:rsidR="005A1B0B" w:rsidRDefault="005A1B0B" w:rsidP="005A1B0B">
      <w:pPr>
        <w:tabs>
          <w:tab w:val="left" w:pos="1161"/>
        </w:tabs>
      </w:pPr>
      <w:r>
        <w:t>B. Violation:</w:t>
      </w:r>
    </w:p>
    <w:p w:rsidR="005A1B0B" w:rsidRDefault="005A1B0B" w:rsidP="005A1B0B">
      <w:pPr>
        <w:tabs>
          <w:tab w:val="left" w:pos="1161"/>
        </w:tabs>
      </w:pPr>
      <w:r>
        <w:t>C. Standards</w:t>
      </w:r>
    </w:p>
    <w:p w:rsidR="005A1B0B" w:rsidRDefault="005A1B0B" w:rsidP="005A1B0B">
      <w:pPr>
        <w:tabs>
          <w:tab w:val="left" w:pos="1161"/>
        </w:tabs>
      </w:pPr>
      <w:r>
        <w:t>1. Ground. I have to answer all the theory shells you read in the 1AR which is already difficult because of the neg’s 746 time advantage. I also have to answer substance because your denial of the RVI makes it so that beating back theory isn’t sufficient. The 2NR also gets to collapse to one shell and do amazing weighing for six minutes comparing it to my shells which is a reason why 1AR theory doesn’t solve. Moreover, the 1AR is too short to read new shells and answer yours without making concessions that will cost me the theory debate. Reasonability would solve the harms because I can quickly deal with theory by proving that I meet a certain brightline rather than justifying a counter interp and weighing it against your interp. Strongest link to fairness because you make a strategic 1AR functionally impossible. And, granting me these paradigm issues now doesn’t solve because I was forced to form a 1AR strat based on the arguments you made in the 1NC.</w:t>
      </w:r>
    </w:p>
    <w:p w:rsidR="005A1B0B" w:rsidRDefault="005A1B0B" w:rsidP="005A1B0B">
      <w:r>
        <w:t>2. Clash. Focusing on the interp and counter interp of one shell ensures a nuanced theory debate over the benefits of certain debate practices. Spreading ourselves thin by discussing multiple shells makes the debate focused on dropped blips rather than clash. This hijacks the internal links to your competing interps warrants because we can set better norms for the activity so it preserves fairness and education.</w:t>
      </w:r>
    </w:p>
    <w:p w:rsidR="005A1B0B" w:rsidRDefault="005A1B0B" w:rsidP="005A1B0B">
      <w:r>
        <w:t>D. Cross apply their voter-meta theory comes first. A. it’s a prerequisite to evaluating your shells since I indict your ability to read them in the first place B. theoretical abuse is worse than substantive abuse because theory is on a higher layer and determines the ballot decisively whereas one can deal with losing arguments on substance by going for other arguments.</w:t>
      </w:r>
    </w:p>
    <w:p w:rsidR="005A1B0B" w:rsidRPr="00363E3B" w:rsidRDefault="005A1B0B" w:rsidP="005A1B0B"/>
    <w:p w:rsidR="005A1B0B" w:rsidRDefault="005A1B0B" w:rsidP="005A1B0B">
      <w:pPr>
        <w:pStyle w:val="Heading2"/>
      </w:pPr>
      <w:r>
        <w:t>T</w:t>
      </w:r>
      <w:bookmarkStart w:id="0" w:name="_GoBack"/>
      <w:bookmarkEnd w:id="0"/>
    </w:p>
    <w:p w:rsidR="005A1B0B" w:rsidRDefault="005A1B0B" w:rsidP="005A1B0B">
      <w:pPr>
        <w:pStyle w:val="Heading3"/>
      </w:pPr>
      <w:r>
        <w:t>C/I</w:t>
      </w:r>
    </w:p>
    <w:p w:rsidR="005A1B0B" w:rsidRDefault="005A1B0B" w:rsidP="005A1B0B">
      <w:r>
        <w:t>Counter interp: debaters may specify a type of handguns to ban at the TOC. I meet. Reasons to prefer:</w:t>
      </w:r>
    </w:p>
    <w:p w:rsidR="005A1B0B" w:rsidRDefault="005A1B0B" w:rsidP="005A1B0B">
      <w:r>
        <w:t>1. Depth- focusing the debate on a specific model forces nuanced argumentation about the aff harms without talking past each other and weighing between different kinds of offense- that’s key to education since there’s no point in spreading ourselves thin on a policy we’ve been debating for four months already- also means that spec is key at TOC because its our last chance to argue and we’ve already gotten topic education from the whole res.</w:t>
      </w:r>
    </w:p>
    <w:p w:rsidR="005A1B0B" w:rsidRDefault="005A1B0B" w:rsidP="005A1B0B">
      <w:r>
        <w:t>2. Aff flex- letting the aff pick the area of the debate checks back against neg reactivity and 7-4-6 speech advantage. Giving me more ground to argue levels the playing field- that impact turns your fairness args.</w:t>
      </w:r>
    </w:p>
    <w:p w:rsidR="005A1B0B" w:rsidRDefault="005A1B0B" w:rsidP="005A1B0B">
      <w:pPr>
        <w:rPr>
          <w:rFonts w:eastAsiaTheme="majorEastAsia" w:cstheme="majorBidi"/>
          <w:b/>
          <w:sz w:val="32"/>
          <w:szCs w:val="24"/>
          <w:u w:val="single"/>
        </w:rPr>
      </w:pPr>
      <w:r>
        <w:t>3. No abuse- all of your generics apply. NCs, Ks, politics, and gun control counterplans would still link to the aff. You also get self-defense turns and any reason why guns are a good thing. Existence of cards in the lit proves you could have just done research.</w:t>
      </w:r>
    </w:p>
    <w:p w:rsidR="005A1B0B" w:rsidRDefault="005A1B0B" w:rsidP="005A1B0B">
      <w:pPr>
        <w:pStyle w:val="Heading3"/>
      </w:pPr>
      <w:bookmarkStart w:id="1" w:name="_Toc304023231"/>
      <w:r>
        <w:t>A2 Predictability/Research Burdens</w:t>
      </w:r>
    </w:p>
    <w:p w:rsidR="005A1B0B" w:rsidRDefault="005A1B0B" w:rsidP="005A1B0B">
      <w:r>
        <w:t>1. The plan’s in the lit- that proves you should have done more research.</w:t>
      </w:r>
    </w:p>
    <w:p w:rsidR="005A1B0B" w:rsidRPr="00BA5A0D" w:rsidRDefault="005A1B0B" w:rsidP="005A1B0B">
      <w:r w:rsidRPr="00BA5A0D">
        <w:t>2. Generics solve</w:t>
      </w:r>
      <w:r>
        <w:t>- no reason you need hyper specific offense</w:t>
      </w:r>
    </w:p>
    <w:p w:rsidR="005A1B0B" w:rsidRDefault="005A1B0B" w:rsidP="005A1B0B">
      <w:r w:rsidRPr="00BA5A0D">
        <w:t xml:space="preserve">3. </w:t>
      </w:r>
      <w:r>
        <w:t>T- doing more research is good, it increases our knowledge of policies.</w:t>
      </w:r>
    </w:p>
    <w:p w:rsidR="005A1B0B" w:rsidRPr="00BA5A0D" w:rsidRDefault="005A1B0B" w:rsidP="005A1B0B">
      <w:r>
        <w:t>4. T- unpredictability is key to education since you have to critically think about the aff instead of just reading backfiles.</w:t>
      </w:r>
    </w:p>
    <w:p w:rsidR="005A1B0B" w:rsidRDefault="005A1B0B" w:rsidP="005A1B0B">
      <w:pPr>
        <w:pStyle w:val="Heading3"/>
      </w:pPr>
      <w:r>
        <w:t>A2 Textuality</w:t>
      </w:r>
    </w:p>
    <w:p w:rsidR="005A1B0B" w:rsidRDefault="005A1B0B" w:rsidP="005A1B0B">
      <w:r>
        <w:t xml:space="preserve">1. Spec is textual- the res says “private ownership of handguns,” not </w:t>
      </w:r>
      <w:r>
        <w:rPr>
          <w:u w:val="single"/>
        </w:rPr>
        <w:t>all</w:t>
      </w:r>
      <w:r>
        <w:t xml:space="preserve"> handguns. The aff is a ban on handguns, it’s just a group of them.</w:t>
      </w:r>
    </w:p>
    <w:p w:rsidR="005A1B0B" w:rsidRDefault="005A1B0B" w:rsidP="005A1B0B">
      <w:r>
        <w:t>2. Let me weigh internal links from other standards- text is only good because it creates fairness and education- if I win strong defense then prefer my offense.</w:t>
      </w:r>
    </w:p>
    <w:p w:rsidR="005A1B0B" w:rsidRDefault="005A1B0B" w:rsidP="005A1B0B">
      <w:r>
        <w:t>3. People read plans all the time in LD so I’m consistent with a community interpretation of the res- common usage determines how words are applied in specific contexts so this outweighs.</w:t>
      </w:r>
    </w:p>
    <w:bookmarkEnd w:id="1"/>
    <w:p w:rsidR="005A1B0B" w:rsidRDefault="005A1B0B" w:rsidP="005A1B0B">
      <w:pPr>
        <w:pStyle w:val="Heading2"/>
      </w:pPr>
      <w:r>
        <w:t>Shell 2</w:t>
      </w:r>
    </w:p>
    <w:p w:rsidR="005A1B0B" w:rsidRPr="00F946B7" w:rsidRDefault="005A1B0B" w:rsidP="005A1B0B">
      <w:r>
        <w:t>Counter interp: debaters can break undisclosed plans at the TOC if he didn’t ask for the plan text</w:t>
      </w:r>
      <w:r>
        <w:t>.</w:t>
      </w:r>
    </w:p>
    <w:p w:rsidR="005A1B0B" w:rsidRDefault="005A1B0B" w:rsidP="005A1B0B">
      <w:pPr>
        <w:pStyle w:val="Heading2"/>
      </w:pPr>
      <w:r>
        <w:t>Shell 3</w:t>
      </w:r>
    </w:p>
    <w:p w:rsidR="005A1B0B" w:rsidRDefault="005A1B0B" w:rsidP="005A1B0B">
      <w:r>
        <w:t>1. this is just a counter interp- it says that the model I’ve proposed is wrong, but that doesn’t mean is should lose. Otherwise debaters would lose for proposing wrong frameworks and theory models.</w:t>
      </w:r>
    </w:p>
    <w:p w:rsidR="005A1B0B" w:rsidRPr="00F946B7" w:rsidRDefault="005A1B0B" w:rsidP="005A1B0B">
      <w:r>
        <w:t>2. it’s a quick argument and easy to answer- doesn’t generate a huge abuse story and you caught it in this round which proves no abuse.</w:t>
      </w:r>
    </w:p>
    <w:p w:rsidR="00A95652" w:rsidRPr="008C1B2E" w:rsidRDefault="00A95652" w:rsidP="008C1B2E"/>
    <w:sectPr w:rsidR="00A95652" w:rsidRPr="008C1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4FE" w:rsidRDefault="00C254FE" w:rsidP="005A1B0B">
      <w:pPr>
        <w:spacing w:after="0" w:line="240" w:lineRule="auto"/>
      </w:pPr>
      <w:r>
        <w:separator/>
      </w:r>
    </w:p>
  </w:endnote>
  <w:endnote w:type="continuationSeparator" w:id="0">
    <w:p w:rsidR="00C254FE" w:rsidRDefault="00C254FE" w:rsidP="005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4FE" w:rsidRDefault="00C254FE" w:rsidP="005A1B0B">
      <w:pPr>
        <w:spacing w:after="0" w:line="240" w:lineRule="auto"/>
      </w:pPr>
      <w:r>
        <w:separator/>
      </w:r>
    </w:p>
  </w:footnote>
  <w:footnote w:type="continuationSeparator" w:id="0">
    <w:p w:rsidR="00C254FE" w:rsidRDefault="00C254FE" w:rsidP="005A1B0B">
      <w:pPr>
        <w:spacing w:after="0" w:line="240" w:lineRule="auto"/>
      </w:pPr>
      <w:r>
        <w:continuationSeparator/>
      </w:r>
    </w:p>
  </w:footnote>
  <w:footnote w:id="1">
    <w:p w:rsidR="005A1B0B" w:rsidRDefault="005A1B0B" w:rsidP="005A1B0B">
      <w:pPr>
        <w:pStyle w:val="FootnoteText"/>
      </w:pPr>
      <w:r>
        <w:rPr>
          <w:rStyle w:val="FootnoteReference"/>
        </w:rPr>
        <w:footnoteRef/>
      </w:r>
      <w:r>
        <w:t xml:space="preserve"> </w:t>
      </w:r>
      <w:r w:rsidRPr="00F43AF7">
        <w:t>http://www.merriam-webster.com/dictionary/negate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2378120"/>
    <w:docVar w:name="VerbatimVersion" w:val="5.0"/>
  </w:docVars>
  <w:rsids>
    <w:rsidRoot w:val="00026164"/>
    <w:rsid w:val="000139A3"/>
    <w:rsid w:val="00026164"/>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A1B0B"/>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254FE"/>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AA5E3-D390-49BB-9A6F-33FA3D39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A1B0B"/>
    <w:rPr>
      <w:rFonts w:ascii="Times New Roman" w:hAnsi="Times New Roman" w:cs="Times New Roman"/>
    </w:rPr>
  </w:style>
  <w:style w:type="paragraph" w:styleId="Heading1">
    <w:name w:val="heading 1"/>
    <w:aliases w:val="Pocket"/>
    <w:basedOn w:val="Normal"/>
    <w:next w:val="Normal"/>
    <w:link w:val="Heading1Char"/>
    <w:autoRedefine/>
    <w:qFormat/>
    <w:rsid w:val="000261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0261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0261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0261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261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6164"/>
  </w:style>
  <w:style w:type="character" w:customStyle="1" w:styleId="Heading1Char">
    <w:name w:val="Heading 1 Char"/>
    <w:aliases w:val="Pocket Char"/>
    <w:basedOn w:val="DefaultParagraphFont"/>
    <w:link w:val="Heading1"/>
    <w:rsid w:val="0002616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026164"/>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026164"/>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026164"/>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026164"/>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02616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026164"/>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026164"/>
    <w:rPr>
      <w:color w:val="auto"/>
      <w:u w:val="none"/>
    </w:rPr>
  </w:style>
  <w:style w:type="character" w:styleId="FollowedHyperlink">
    <w:name w:val="FollowedHyperlink"/>
    <w:basedOn w:val="DefaultParagraphFont"/>
    <w:uiPriority w:val="99"/>
    <w:semiHidden/>
    <w:unhideWhenUsed/>
    <w:rsid w:val="00026164"/>
    <w:rPr>
      <w:color w:val="auto"/>
      <w:u w:val="none"/>
    </w:rPr>
  </w:style>
  <w:style w:type="paragraph" w:customStyle="1" w:styleId="textbold">
    <w:name w:val="text bold"/>
    <w:basedOn w:val="Normal"/>
    <w:link w:val="Emphasis"/>
    <w:uiPriority w:val="7"/>
    <w:qFormat/>
    <w:rsid w:val="005A1B0B"/>
    <w:pPr>
      <w:ind w:left="720"/>
      <w:jc w:val="both"/>
    </w:pPr>
    <w:rPr>
      <w:b/>
      <w:iCs/>
      <w:u w:val="single"/>
      <w:bdr w:val="single" w:sz="24" w:space="0" w:color="auto"/>
    </w:rPr>
  </w:style>
  <w:style w:type="character" w:styleId="FootnoteReference">
    <w:name w:val="footnote reference"/>
    <w:aliases w:val="FN Ref,footnote reference"/>
    <w:basedOn w:val="DefaultParagraphFont"/>
    <w:unhideWhenUsed/>
    <w:qFormat/>
    <w:rsid w:val="005A1B0B"/>
    <w:rPr>
      <w:vertAlign w:val="superscript"/>
    </w:rPr>
  </w:style>
  <w:style w:type="paragraph" w:styleId="FootnoteText">
    <w:name w:val="footnote text"/>
    <w:basedOn w:val="Normal"/>
    <w:link w:val="FootnoteTextChar"/>
    <w:uiPriority w:val="99"/>
    <w:unhideWhenUsed/>
    <w:qFormat/>
    <w:rsid w:val="005A1B0B"/>
    <w:pPr>
      <w:spacing w:after="0" w:line="240" w:lineRule="auto"/>
    </w:pPr>
    <w:rPr>
      <w:rFonts w:ascii="Calibri" w:hAnsi="Calibri" w:cs="Calibri"/>
      <w:sz w:val="20"/>
      <w:szCs w:val="20"/>
    </w:rPr>
  </w:style>
  <w:style w:type="character" w:customStyle="1" w:styleId="FootnoteTextChar">
    <w:name w:val="Footnote Text Char"/>
    <w:basedOn w:val="DefaultParagraphFont"/>
    <w:link w:val="FootnoteText"/>
    <w:uiPriority w:val="99"/>
    <w:rsid w:val="005A1B0B"/>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c.org/studies/bigboomers.pdf" TargetMode="External"/><Relationship Id="rId13" Type="http://schemas.openxmlformats.org/officeDocument/2006/relationships/hyperlink" Target="http://philpapers.org/archive/SINTEA-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pc.org/studies/bigboomers.pdf" TargetMode="External"/><Relationship Id="rId12" Type="http://schemas.openxmlformats.org/officeDocument/2006/relationships/hyperlink" Target="http://philpapers.org/archive/SINTEA-3%20accessed%202-4-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rvalsubjects.wordpress.com/2012/11/11/underpants-gnomes-a-critique-of-the-academic-lef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ub.jhu.edu/magazine/2015/spring/aclu-militarization-of-police" TargetMode="External"/><Relationship Id="rId5" Type="http://schemas.openxmlformats.org/officeDocument/2006/relationships/footnotes" Target="footnotes.xml"/><Relationship Id="rId15" Type="http://schemas.openxmlformats.org/officeDocument/2006/relationships/hyperlink" Target="http://www.lacan.com/zizsurcrit.htm" TargetMode="External"/><Relationship Id="rId10" Type="http://schemas.openxmlformats.org/officeDocument/2006/relationships/hyperlink" Target="http://www.vpc.org/studies/bigboomers.pdf" TargetMode="External"/><Relationship Id="rId4" Type="http://schemas.openxmlformats.org/officeDocument/2006/relationships/webSettings" Target="webSettings.xml"/><Relationship Id="rId9" Type="http://schemas.openxmlformats.org/officeDocument/2006/relationships/hyperlink" Target="http://kscequinox.com/2013/05/gun-manufacturing-giant-smith-and-wesson-plagued-by-detrimental-environmental-waste/" TargetMode="External"/><Relationship Id="rId14" Type="http://schemas.openxmlformats.org/officeDocument/2006/relationships/hyperlink" Target="http://plato.stanford.edu/archives/win2011/entries/consequenti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14315</Words>
  <Characters>81597</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2016-05-05T04:19:00Z</dcterms:created>
  <dcterms:modified xsi:type="dcterms:W3CDTF">2016-05-05T04:21:00Z</dcterms:modified>
</cp:coreProperties>
</file>