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36FE3" w14:textId="77777777" w:rsidR="002D7343" w:rsidRPr="00FB16B1" w:rsidRDefault="002D7343" w:rsidP="00FB16B1">
      <w:pPr>
        <w:pStyle w:val="Heading4"/>
        <w:tabs>
          <w:tab w:val="left" w:pos="9360"/>
          <w:tab w:val="left" w:pos="9450"/>
        </w:tabs>
        <w:spacing w:line="240" w:lineRule="auto"/>
        <w:rPr>
          <w:rStyle w:val="StyleStyleBold12pt"/>
          <w:rFonts w:cs="Times New Roman"/>
          <w:b/>
          <w:bCs w:val="0"/>
        </w:rPr>
      </w:pPr>
      <w:r w:rsidRPr="00FB16B1">
        <w:rPr>
          <w:rFonts w:cs="Times New Roman"/>
          <w:b w:val="0"/>
        </w:rPr>
        <w:t xml:space="preserve">A. </w:t>
      </w:r>
      <w:proofErr w:type="spellStart"/>
      <w:r w:rsidRPr="00FB16B1">
        <w:rPr>
          <w:rFonts w:cs="Times New Roman"/>
          <w:b w:val="0"/>
        </w:rPr>
        <w:t>Interp</w:t>
      </w:r>
      <w:proofErr w:type="spellEnd"/>
      <w:r w:rsidRPr="00FB16B1">
        <w:rPr>
          <w:rFonts w:cs="Times New Roman"/>
          <w:b w:val="0"/>
        </w:rPr>
        <w:t xml:space="preserve">: Living wages are contextually dependent on the industry being discussed. </w:t>
      </w:r>
    </w:p>
    <w:p w14:paraId="0008235F" w14:textId="77777777" w:rsidR="002D7343" w:rsidRPr="00FB16B1" w:rsidRDefault="002D7343" w:rsidP="00FB16B1">
      <w:pPr>
        <w:tabs>
          <w:tab w:val="left" w:pos="9360"/>
          <w:tab w:val="left" w:pos="9450"/>
        </w:tabs>
        <w:spacing w:line="240" w:lineRule="auto"/>
        <w:ind w:right="576"/>
      </w:pPr>
      <w:r w:rsidRPr="00FB16B1">
        <w:rPr>
          <w:rStyle w:val="StyleStyleBold12pt"/>
        </w:rPr>
        <w:t>Mullin 12</w:t>
      </w:r>
      <w:r w:rsidRPr="00FB16B1">
        <w:t xml:space="preserve"> – Professor in the Landscape Architecture and Regional Planning Department at the University of Massachusetts at Amherst, Associate Director of the Center for Economic Development, and former Dean of the Graduate School</w:t>
      </w:r>
    </w:p>
    <w:p w14:paraId="18B2E975" w14:textId="7B84F8DA" w:rsidR="002D7343" w:rsidRPr="00FB16B1" w:rsidRDefault="002D7343" w:rsidP="00FB16B1">
      <w:pPr>
        <w:pStyle w:val="SmallText"/>
        <w:tabs>
          <w:tab w:val="left" w:pos="9360"/>
          <w:tab w:val="left" w:pos="9450"/>
        </w:tabs>
        <w:ind w:right="576"/>
        <w:rPr>
          <w:rFonts w:ascii="Times New Roman" w:hAnsi="Times New Roman"/>
        </w:rPr>
      </w:pPr>
      <w:r w:rsidRPr="00FB16B1">
        <w:rPr>
          <w:rFonts w:ascii="Times New Roman" w:hAnsi="Times New Roman"/>
        </w:rPr>
        <w:t xml:space="preserve">(Mullin, John, </w:t>
      </w:r>
      <w:proofErr w:type="spellStart"/>
      <w:r w:rsidRPr="00FB16B1">
        <w:rPr>
          <w:rFonts w:ascii="Times New Roman" w:hAnsi="Times New Roman"/>
        </w:rPr>
        <w:t>Zenia</w:t>
      </w:r>
      <w:proofErr w:type="spellEnd"/>
      <w:r w:rsidRPr="00FB16B1">
        <w:rPr>
          <w:rFonts w:ascii="Times New Roman" w:hAnsi="Times New Roman"/>
        </w:rPr>
        <w:t xml:space="preserve"> </w:t>
      </w:r>
      <w:proofErr w:type="spellStart"/>
      <w:r w:rsidRPr="00FB16B1">
        <w:rPr>
          <w:rFonts w:ascii="Times New Roman" w:hAnsi="Times New Roman"/>
        </w:rPr>
        <w:t>Kotval</w:t>
      </w:r>
      <w:proofErr w:type="spellEnd"/>
      <w:r w:rsidRPr="00FB16B1">
        <w:rPr>
          <w:rFonts w:ascii="Times New Roman" w:hAnsi="Times New Roman"/>
        </w:rPr>
        <w:t xml:space="preserve">, </w:t>
      </w:r>
      <w:proofErr w:type="spellStart"/>
      <w:r w:rsidRPr="00FB16B1">
        <w:rPr>
          <w:rFonts w:ascii="Times New Roman" w:hAnsi="Times New Roman"/>
        </w:rPr>
        <w:t>Zeenat</w:t>
      </w:r>
      <w:proofErr w:type="spellEnd"/>
      <w:r w:rsidRPr="00FB16B1">
        <w:rPr>
          <w:rFonts w:ascii="Times New Roman" w:hAnsi="Times New Roman"/>
        </w:rPr>
        <w:t xml:space="preserve"> </w:t>
      </w:r>
      <w:proofErr w:type="spellStart"/>
      <w:r w:rsidRPr="00FB16B1">
        <w:rPr>
          <w:rFonts w:ascii="Times New Roman" w:hAnsi="Times New Roman"/>
        </w:rPr>
        <w:t>Kotval</w:t>
      </w:r>
      <w:proofErr w:type="spellEnd"/>
      <w:r w:rsidRPr="00FB16B1">
        <w:rPr>
          <w:rFonts w:ascii="Times New Roman" w:hAnsi="Times New Roman"/>
        </w:rPr>
        <w:t xml:space="preserve">-K, and Patricia </w:t>
      </w:r>
      <w:proofErr w:type="spellStart"/>
      <w:r w:rsidRPr="00FB16B1">
        <w:rPr>
          <w:rFonts w:ascii="Times New Roman" w:hAnsi="Times New Roman"/>
        </w:rPr>
        <w:t>Machemer</w:t>
      </w:r>
      <w:proofErr w:type="spellEnd"/>
      <w:r w:rsidRPr="00FB16B1">
        <w:rPr>
          <w:rFonts w:ascii="Times New Roman" w:hAnsi="Times New Roman"/>
        </w:rPr>
        <w:t xml:space="preserve">. “A living wage standard: A case study of the US Virgin Islands.” </w:t>
      </w:r>
      <w:r w:rsidRPr="00FB16B1">
        <w:rPr>
          <w:rFonts w:ascii="Times New Roman" w:hAnsi="Times New Roman"/>
          <w:i/>
        </w:rPr>
        <w:t>Local Economy</w:t>
      </w:r>
      <w:r w:rsidRPr="00FB16B1">
        <w:rPr>
          <w:rFonts w:ascii="Times New Roman" w:hAnsi="Times New Roman"/>
        </w:rPr>
        <w:t xml:space="preserve"> August/September 2012 27: 541-557, doi</w:t>
      </w:r>
      <w:proofErr w:type="gramStart"/>
      <w:r w:rsidRPr="00FB16B1">
        <w:rPr>
          <w:rFonts w:ascii="Times New Roman" w:hAnsi="Times New Roman"/>
        </w:rPr>
        <w:t>:10.1177</w:t>
      </w:r>
      <w:proofErr w:type="gramEnd"/>
      <w:r w:rsidRPr="00FB16B1">
        <w:rPr>
          <w:rFonts w:ascii="Times New Roman" w:hAnsi="Times New Roman"/>
        </w:rPr>
        <w:t>/0269094212449581)</w:t>
      </w:r>
    </w:p>
    <w:p w14:paraId="44C99F35" w14:textId="374BC100" w:rsidR="002D7343" w:rsidRPr="00FB16B1" w:rsidRDefault="002D7343" w:rsidP="00FB16B1">
      <w:pPr>
        <w:pStyle w:val="SmallText"/>
        <w:tabs>
          <w:tab w:val="left" w:pos="9360"/>
          <w:tab w:val="left" w:pos="9450"/>
        </w:tabs>
        <w:ind w:right="576"/>
        <w:rPr>
          <w:rFonts w:ascii="Times New Roman" w:hAnsi="Times New Roman"/>
        </w:rPr>
      </w:pPr>
      <w:proofErr w:type="spellStart"/>
      <w:r w:rsidRPr="00FB16B1">
        <w:rPr>
          <w:rFonts w:ascii="Times New Roman" w:hAnsi="Times New Roman"/>
        </w:rPr>
        <w:t>Pollin</w:t>
      </w:r>
      <w:proofErr w:type="spellEnd"/>
      <w:r w:rsidRPr="00FB16B1">
        <w:rPr>
          <w:rFonts w:ascii="Times New Roman" w:hAnsi="Times New Roman"/>
        </w:rPr>
        <w:t xml:space="preserve"> et al. (2008) identify anot</w:t>
      </w:r>
      <w:bookmarkStart w:id="0" w:name="_GoBack"/>
      <w:bookmarkEnd w:id="0"/>
      <w:r w:rsidRPr="00FB16B1">
        <w:rPr>
          <w:rFonts w:ascii="Times New Roman" w:hAnsi="Times New Roman"/>
        </w:rPr>
        <w:t xml:space="preserve">her distinction between a minimum wage and a living wage in that </w:t>
      </w:r>
      <w:r w:rsidRPr="00FB16B1">
        <w:rPr>
          <w:rStyle w:val="StyleBoldUnderline"/>
          <w:rFonts w:ascii="Times New Roman" w:hAnsi="Times New Roman"/>
        </w:rPr>
        <w:t>a minimum wage affects the vast majority of the low-wage workforce, while living wages have a much narrower coverage. Typically, a living wage</w:t>
      </w:r>
      <w:r w:rsidRPr="00FB16B1">
        <w:rPr>
          <w:rFonts w:ascii="Times New Roman" w:hAnsi="Times New Roman"/>
        </w:rPr>
        <w:t xml:space="preserve"> ordinance is a local law that </w:t>
      </w:r>
      <w:r w:rsidRPr="00FB16B1">
        <w:rPr>
          <w:rStyle w:val="StyleBoldUnderline"/>
          <w:rFonts w:ascii="Times New Roman" w:hAnsi="Times New Roman"/>
        </w:rPr>
        <w:t>establishes a wage floor for a specific group of workers</w:t>
      </w:r>
      <w:r w:rsidRPr="00FB16B1">
        <w:rPr>
          <w:rFonts w:ascii="Times New Roman" w:hAnsi="Times New Roman"/>
        </w:rPr>
        <w:t>. By far the most common ordinance only applies to businesses holding service contracts with government. To a lesser degree, the ordinance extends to employers that receive subsidies or tax abatements from government.</w:t>
      </w:r>
    </w:p>
    <w:p w14:paraId="05ED8DB9" w14:textId="77777777" w:rsidR="002D7343" w:rsidRPr="00FB16B1" w:rsidRDefault="002D7343" w:rsidP="00FB16B1">
      <w:pPr>
        <w:pStyle w:val="Heading4"/>
        <w:tabs>
          <w:tab w:val="left" w:pos="9360"/>
          <w:tab w:val="left" w:pos="9450"/>
        </w:tabs>
        <w:spacing w:line="240" w:lineRule="auto"/>
        <w:ind w:right="576"/>
        <w:rPr>
          <w:rFonts w:cs="Times New Roman"/>
          <w:b w:val="0"/>
        </w:rPr>
      </w:pPr>
      <w:r w:rsidRPr="00FB16B1">
        <w:rPr>
          <w:rFonts w:cs="Times New Roman"/>
          <w:b w:val="0"/>
        </w:rPr>
        <w:t xml:space="preserve">End quote. This means that affirmatives must be specific to particular industries if they want to be topical. They must also have a solvency advocate for that particular industry and disclose the </w:t>
      </w:r>
      <w:proofErr w:type="spellStart"/>
      <w:r w:rsidRPr="00FB16B1">
        <w:rPr>
          <w:rFonts w:cs="Times New Roman"/>
          <w:b w:val="0"/>
        </w:rPr>
        <w:t>aff</w:t>
      </w:r>
      <w:proofErr w:type="spellEnd"/>
      <w:r w:rsidRPr="00FB16B1">
        <w:rPr>
          <w:rFonts w:cs="Times New Roman"/>
          <w:b w:val="0"/>
        </w:rPr>
        <w:t xml:space="preserve"> after reading it within 12 hours on the </w:t>
      </w:r>
      <w:proofErr w:type="spellStart"/>
      <w:r w:rsidRPr="00FB16B1">
        <w:rPr>
          <w:rFonts w:cs="Times New Roman"/>
          <w:b w:val="0"/>
        </w:rPr>
        <w:t>casewiki</w:t>
      </w:r>
      <w:proofErr w:type="spellEnd"/>
      <w:r w:rsidRPr="00FB16B1">
        <w:rPr>
          <w:rFonts w:cs="Times New Roman"/>
          <w:b w:val="0"/>
        </w:rPr>
        <w:t>.</w:t>
      </w:r>
    </w:p>
    <w:p w14:paraId="0562A10B" w14:textId="77777777" w:rsidR="002D7343" w:rsidRPr="00FB16B1" w:rsidRDefault="002D7343" w:rsidP="00FB16B1">
      <w:pPr>
        <w:pStyle w:val="Heading4"/>
        <w:tabs>
          <w:tab w:val="left" w:pos="9360"/>
          <w:tab w:val="left" w:pos="9450"/>
        </w:tabs>
        <w:spacing w:line="240" w:lineRule="auto"/>
        <w:ind w:right="576"/>
        <w:rPr>
          <w:rFonts w:cs="Times New Roman"/>
          <w:b w:val="0"/>
        </w:rPr>
      </w:pPr>
    </w:p>
    <w:p w14:paraId="2DE2E955" w14:textId="7809340C" w:rsidR="00A82E2A" w:rsidRPr="00FB16B1" w:rsidRDefault="002D7343" w:rsidP="00FB16B1">
      <w:pPr>
        <w:pStyle w:val="Heading4"/>
        <w:tabs>
          <w:tab w:val="left" w:pos="9360"/>
          <w:tab w:val="left" w:pos="9450"/>
        </w:tabs>
        <w:spacing w:line="240" w:lineRule="auto"/>
        <w:ind w:right="576"/>
        <w:rPr>
          <w:rFonts w:cs="Times New Roman"/>
          <w:b w:val="0"/>
        </w:rPr>
      </w:pPr>
      <w:r w:rsidRPr="00FB16B1">
        <w:rPr>
          <w:rFonts w:cs="Times New Roman"/>
          <w:b w:val="0"/>
        </w:rPr>
        <w:t>B. Violation</w:t>
      </w:r>
      <w:r w:rsidR="00A82E2A" w:rsidRPr="00FB16B1">
        <w:rPr>
          <w:rFonts w:cs="Times New Roman"/>
          <w:b w:val="0"/>
        </w:rPr>
        <w:t>—</w:t>
      </w:r>
    </w:p>
    <w:p w14:paraId="141EAA0C" w14:textId="77777777" w:rsidR="00032873" w:rsidRPr="00FB16B1" w:rsidRDefault="00032873" w:rsidP="00FB16B1">
      <w:pPr>
        <w:tabs>
          <w:tab w:val="left" w:pos="9360"/>
          <w:tab w:val="left" w:pos="9450"/>
        </w:tabs>
        <w:spacing w:line="240" w:lineRule="auto"/>
      </w:pPr>
    </w:p>
    <w:p w14:paraId="794CC372" w14:textId="77777777" w:rsidR="002D7343" w:rsidRPr="00FB16B1" w:rsidRDefault="002D7343" w:rsidP="00FB16B1">
      <w:pPr>
        <w:tabs>
          <w:tab w:val="left" w:pos="9360"/>
          <w:tab w:val="left" w:pos="9450"/>
        </w:tabs>
        <w:spacing w:line="240" w:lineRule="auto"/>
        <w:ind w:right="576"/>
      </w:pPr>
      <w:r w:rsidRPr="00FB16B1">
        <w:t>C. Standards</w:t>
      </w:r>
    </w:p>
    <w:p w14:paraId="10F2D2B2" w14:textId="798A4C04" w:rsidR="002D7343" w:rsidRPr="00FB16B1" w:rsidRDefault="002D7343" w:rsidP="00FB16B1">
      <w:pPr>
        <w:tabs>
          <w:tab w:val="left" w:pos="9360"/>
          <w:tab w:val="left" w:pos="9450"/>
        </w:tabs>
        <w:spacing w:line="240" w:lineRule="auto"/>
        <w:ind w:right="576"/>
      </w:pPr>
      <w:r w:rsidRPr="00FB16B1">
        <w:t xml:space="preserve">1. Depth --- defending a specific industry allows us to learn in-depth about that industry instead of debating living wages in general, promoting depth. Also, because not all </w:t>
      </w:r>
      <w:proofErr w:type="spellStart"/>
      <w:r w:rsidRPr="00FB16B1">
        <w:t>affs</w:t>
      </w:r>
      <w:proofErr w:type="spellEnd"/>
      <w:r w:rsidRPr="00FB16B1">
        <w:t xml:space="preserve"> will be specific to the </w:t>
      </w:r>
      <w:r w:rsidR="00BA72CA" w:rsidRPr="00FB16B1">
        <w:t xml:space="preserve">same </w:t>
      </w:r>
      <w:r w:rsidRPr="00FB16B1">
        <w:t xml:space="preserve">industry, over time my </w:t>
      </w:r>
      <w:proofErr w:type="spellStart"/>
      <w:r w:rsidR="00BA72CA" w:rsidRPr="00FB16B1">
        <w:t>interp</w:t>
      </w:r>
      <w:proofErr w:type="spellEnd"/>
      <w:r w:rsidRPr="00FB16B1">
        <w:t xml:space="preserve"> captures breadth of education as well. In round discussions that happen in depth are key to education because it allows debaters to focus and thoroughly examine a limited number of issues. This outweighs breadth because it gives our education more meaning and fosters critical thinking. Also key to fairness because it allows the debaters to make specific impact and link comparison arguments, thereby allowing the debater who is better at argumentation as opposed to tricks to win.</w:t>
      </w:r>
    </w:p>
    <w:p w14:paraId="4E89A7E4" w14:textId="4993270B" w:rsidR="002D7343" w:rsidRPr="00FB16B1" w:rsidRDefault="00BA72CA" w:rsidP="00FB16B1">
      <w:pPr>
        <w:pStyle w:val="Heading4"/>
        <w:tabs>
          <w:tab w:val="left" w:pos="9360"/>
          <w:tab w:val="left" w:pos="9450"/>
        </w:tabs>
        <w:spacing w:line="240" w:lineRule="auto"/>
        <w:ind w:right="576"/>
        <w:rPr>
          <w:rFonts w:cs="Times New Roman"/>
          <w:b w:val="0"/>
          <w:color w:val="00B0F0"/>
        </w:rPr>
      </w:pPr>
      <w:r w:rsidRPr="00FB16B1">
        <w:rPr>
          <w:rFonts w:cs="Times New Roman"/>
          <w:b w:val="0"/>
          <w:color w:val="00B0F0"/>
        </w:rPr>
        <w:t xml:space="preserve">Also, </w:t>
      </w:r>
      <w:r w:rsidR="002D7343" w:rsidRPr="00FB16B1">
        <w:rPr>
          <w:rFonts w:cs="Times New Roman"/>
          <w:b w:val="0"/>
          <w:color w:val="00B0F0"/>
        </w:rPr>
        <w:t>The most qualified studies prove that depth outweighs breadth – it’s the only real world impact</w:t>
      </w:r>
    </w:p>
    <w:p w14:paraId="11FABCA2" w14:textId="77777777" w:rsidR="002D7343" w:rsidRPr="00FB16B1" w:rsidRDefault="002D7343" w:rsidP="00FB16B1">
      <w:pPr>
        <w:pStyle w:val="NoSpacing"/>
        <w:tabs>
          <w:tab w:val="left" w:pos="9360"/>
          <w:tab w:val="left" w:pos="9450"/>
        </w:tabs>
        <w:ind w:right="576"/>
        <w:rPr>
          <w:rFonts w:ascii="Times New Roman" w:hAnsi="Times New Roman" w:cs="Times New Roman"/>
          <w:b/>
          <w:bCs/>
          <w:color w:val="00B0F0"/>
        </w:rPr>
      </w:pPr>
      <w:r w:rsidRPr="00FB16B1">
        <w:rPr>
          <w:rStyle w:val="StyleStyleBold12pt"/>
          <w:rFonts w:ascii="Times New Roman" w:eastAsia="MS Gothic" w:hAnsi="Times New Roman" w:cs="Times New Roman"/>
          <w:color w:val="00B0F0"/>
        </w:rPr>
        <w:t>Science Daily 09</w:t>
      </w:r>
      <w:r w:rsidRPr="00FB16B1">
        <w:rPr>
          <w:rFonts w:ascii="Times New Roman" w:hAnsi="Times New Roman" w:cs="Times New Roman"/>
          <w:color w:val="00B0F0"/>
        </w:rPr>
        <w:t xml:space="preserve"> (Science Daily, “Students Benefit From Depth, Rather Than Breadth, In High School Science Courses”, </w:t>
      </w:r>
      <w:hyperlink r:id="rId11" w:history="1">
        <w:r w:rsidRPr="00FB16B1">
          <w:rPr>
            <w:rStyle w:val="Hyperlink"/>
            <w:rFonts w:ascii="Times New Roman" w:hAnsi="Times New Roman" w:cs="Times New Roman"/>
            <w:color w:val="00B0F0"/>
          </w:rPr>
          <w:t>http://www.sciencedaily.com/releases/2009/03/090305131814.htm</w:t>
        </w:r>
      </w:hyperlink>
      <w:r w:rsidRPr="00FB16B1">
        <w:rPr>
          <w:rFonts w:ascii="Times New Roman" w:hAnsi="Times New Roman" w:cs="Times New Roman"/>
          <w:color w:val="00B0F0"/>
        </w:rPr>
        <w:t>)</w:t>
      </w:r>
    </w:p>
    <w:p w14:paraId="5B234E6B" w14:textId="77777777" w:rsidR="002D7343" w:rsidRPr="00FB16B1" w:rsidRDefault="002D7343" w:rsidP="00FB16B1">
      <w:pPr>
        <w:pStyle w:val="SmallText"/>
        <w:tabs>
          <w:tab w:val="left" w:pos="9360"/>
          <w:tab w:val="left" w:pos="9450"/>
        </w:tabs>
        <w:ind w:right="576"/>
        <w:rPr>
          <w:rFonts w:ascii="Times New Roman" w:hAnsi="Times New Roman"/>
          <w:color w:val="00B0F0"/>
        </w:rPr>
      </w:pPr>
      <w:r w:rsidRPr="00FB16B1">
        <w:rPr>
          <w:rFonts w:ascii="Times New Roman" w:hAnsi="Times New Roman"/>
          <w:color w:val="00B0F0"/>
        </w:rPr>
        <w:t xml:space="preserve">A </w:t>
      </w:r>
      <w:r w:rsidRPr="00FB16B1">
        <w:rPr>
          <w:rStyle w:val="StyleBoldUnderline"/>
          <w:rFonts w:ascii="Times New Roman" w:hAnsi="Times New Roman"/>
          <w:color w:val="00B0F0"/>
        </w:rPr>
        <w:t xml:space="preserve">recent study reports that high school students who study fewer </w:t>
      </w:r>
      <w:r w:rsidRPr="00FB16B1">
        <w:rPr>
          <w:rFonts w:ascii="Times New Roman" w:hAnsi="Times New Roman"/>
          <w:color w:val="00B0F0"/>
        </w:rPr>
        <w:t xml:space="preserve">science topics, but study them </w:t>
      </w:r>
      <w:r w:rsidRPr="00FB16B1">
        <w:rPr>
          <w:rStyle w:val="StyleBoldUnderline"/>
          <w:rFonts w:ascii="Times New Roman" w:hAnsi="Times New Roman"/>
          <w:color w:val="00B0F0"/>
        </w:rPr>
        <w:t>in greater depth, have an advantage</w:t>
      </w:r>
      <w:r w:rsidRPr="00FB16B1">
        <w:rPr>
          <w:rFonts w:ascii="Times New Roman" w:hAnsi="Times New Roman"/>
          <w:color w:val="00B0F0"/>
        </w:rPr>
        <w:t xml:space="preserve"> in college science classes </w:t>
      </w:r>
      <w:r w:rsidRPr="00FB16B1">
        <w:rPr>
          <w:rStyle w:val="StyleBoldUnderline"/>
          <w:rFonts w:ascii="Times New Roman" w:hAnsi="Times New Roman"/>
          <w:color w:val="00B0F0"/>
        </w:rPr>
        <w:t>over</w:t>
      </w:r>
      <w:r w:rsidRPr="00FB16B1">
        <w:rPr>
          <w:rFonts w:ascii="Times New Roman" w:hAnsi="Times New Roman"/>
          <w:color w:val="00B0F0"/>
        </w:rPr>
        <w:t xml:space="preserve"> their </w:t>
      </w:r>
      <w:r w:rsidRPr="00FB16B1">
        <w:rPr>
          <w:rStyle w:val="StyleBoldUnderline"/>
          <w:rFonts w:ascii="Times New Roman" w:hAnsi="Times New Roman"/>
          <w:color w:val="00B0F0"/>
        </w:rPr>
        <w:t>peers who study more topics and spend less time on each</w:t>
      </w:r>
      <w:proofErr w:type="gramStart"/>
      <w:r w:rsidRPr="00FB16B1">
        <w:rPr>
          <w:rFonts w:ascii="Times New Roman" w:hAnsi="Times New Roman"/>
          <w:color w:val="00B0F0"/>
        </w:rPr>
        <w:t>.</w:t>
      </w:r>
      <w:r w:rsidRPr="00FB16B1">
        <w:rPr>
          <w:rFonts w:ascii="Times New Roman" w:hAnsi="Times New Roman"/>
          <w:color w:val="00B0F0"/>
          <w:sz w:val="12"/>
        </w:rPr>
        <w:t>¶</w:t>
      </w:r>
      <w:proofErr w:type="gramEnd"/>
      <w:r w:rsidRPr="00FB16B1">
        <w:rPr>
          <w:rFonts w:ascii="Times New Roman" w:hAnsi="Times New Roman"/>
          <w:color w:val="00B0F0"/>
        </w:rPr>
        <w:t xml:space="preserve"> Robert Tai, associate professor at the University of Virginia's Curry School of Education, worked with Marc S. Schwartz of the University of Texas at Arlington and Philip M. Sadler and Gerhard </w:t>
      </w:r>
      <w:proofErr w:type="spellStart"/>
      <w:r w:rsidRPr="00FB16B1">
        <w:rPr>
          <w:rFonts w:ascii="Times New Roman" w:hAnsi="Times New Roman"/>
          <w:color w:val="00B0F0"/>
        </w:rPr>
        <w:t>Sonnert</w:t>
      </w:r>
      <w:proofErr w:type="spellEnd"/>
      <w:r w:rsidRPr="00FB16B1">
        <w:rPr>
          <w:rFonts w:ascii="Times New Roman" w:hAnsi="Times New Roman"/>
          <w:color w:val="00B0F0"/>
        </w:rPr>
        <w:t xml:space="preserve"> of the Harvard-Smithsonian Center for Astrophysics to conduct the study and produce the report.</w:t>
      </w:r>
      <w:r w:rsidRPr="00FB16B1">
        <w:rPr>
          <w:rFonts w:ascii="Times New Roman" w:hAnsi="Times New Roman"/>
          <w:color w:val="00B0F0"/>
          <w:sz w:val="12"/>
        </w:rPr>
        <w:t>¶</w:t>
      </w:r>
      <w:r w:rsidRPr="00FB16B1">
        <w:rPr>
          <w:rFonts w:ascii="Times New Roman" w:hAnsi="Times New Roman"/>
          <w:color w:val="00B0F0"/>
        </w:rPr>
        <w:t xml:space="preserve"> The study relates the amount of content covered on a particular topic in high school classes with students' performance in college-level science classes.¶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w:t>
      </w:r>
      <w:r w:rsidRPr="00FB16B1">
        <w:rPr>
          <w:rStyle w:val="StyleBoldUnderline"/>
          <w:rFonts w:ascii="Times New Roman" w:hAnsi="Times New Roman"/>
          <w:color w:val="00B0F0"/>
        </w:rPr>
        <w:t>results are based on the performance of thousands</w:t>
      </w:r>
      <w:r w:rsidRPr="00FB16B1">
        <w:rPr>
          <w:rFonts w:ascii="Times New Roman" w:hAnsi="Times New Roman"/>
          <w:color w:val="00B0F0"/>
        </w:rPr>
        <w:t xml:space="preserve"> of college science students from across the United States."</w:t>
      </w:r>
      <w:r w:rsidRPr="00FB16B1">
        <w:rPr>
          <w:rFonts w:ascii="Times New Roman" w:hAnsi="Times New Roman"/>
          <w:color w:val="00B0F0"/>
          <w:sz w:val="12"/>
        </w:rPr>
        <w:t>¶</w:t>
      </w:r>
      <w:r w:rsidRPr="00FB16B1">
        <w:rPr>
          <w:rFonts w:ascii="Times New Roman" w:hAnsi="Times New Roman"/>
          <w:color w:val="00B0F0"/>
        </w:rPr>
        <w:t xml:space="preserve">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w:t>
      </w:r>
      <w:proofErr w:type="gramStart"/>
      <w:r w:rsidRPr="00FB16B1">
        <w:rPr>
          <w:rFonts w:ascii="Times New Roman" w:hAnsi="Times New Roman"/>
          <w:color w:val="00B0F0"/>
        </w:rPr>
        <w:t>.</w:t>
      </w:r>
      <w:r w:rsidRPr="00FB16B1">
        <w:rPr>
          <w:rFonts w:ascii="Times New Roman" w:hAnsi="Times New Roman"/>
          <w:color w:val="00B0F0"/>
          <w:sz w:val="12"/>
        </w:rPr>
        <w:t>¶</w:t>
      </w:r>
      <w:proofErr w:type="gramEnd"/>
      <w:r w:rsidRPr="00FB16B1">
        <w:rPr>
          <w:rFonts w:ascii="Times New Roman" w:hAnsi="Times New Roman"/>
          <w:color w:val="00B0F0"/>
        </w:rPr>
        <w:t xml:space="preserve"> The study revealed that </w:t>
      </w:r>
      <w:r w:rsidRPr="00FB16B1">
        <w:rPr>
          <w:rStyle w:val="StyleBoldUnderline"/>
          <w:rFonts w:ascii="Times New Roman" w:hAnsi="Times New Roman"/>
          <w:color w:val="00B0F0"/>
        </w:rPr>
        <w:t>students in courses that focused on mastering a</w:t>
      </w:r>
      <w:r w:rsidRPr="00FB16B1">
        <w:rPr>
          <w:rFonts w:ascii="Times New Roman" w:hAnsi="Times New Roman"/>
          <w:color w:val="00B0F0"/>
        </w:rPr>
        <w:t xml:space="preserve"> particular </w:t>
      </w:r>
      <w:r w:rsidRPr="00FB16B1">
        <w:rPr>
          <w:rStyle w:val="StyleBoldUnderline"/>
          <w:rFonts w:ascii="Times New Roman" w:hAnsi="Times New Roman"/>
          <w:color w:val="00B0F0"/>
        </w:rPr>
        <w:t xml:space="preserve">topic were impacted twice as much as those </w:t>
      </w:r>
      <w:r w:rsidRPr="00FB16B1">
        <w:rPr>
          <w:rStyle w:val="StyleBoldUnderline"/>
          <w:rFonts w:ascii="Times New Roman" w:hAnsi="Times New Roman"/>
          <w:color w:val="00B0F0"/>
        </w:rPr>
        <w:lastRenderedPageBreak/>
        <w:t>in courses that touched on every major topic</w:t>
      </w:r>
      <w:r w:rsidRPr="00FB16B1">
        <w:rPr>
          <w:rFonts w:ascii="Times New Roman" w:hAnsi="Times New Roman"/>
          <w:color w:val="00B0F0"/>
        </w:rPr>
        <w:t>.</w:t>
      </w:r>
      <w:r w:rsidRPr="00FB16B1">
        <w:rPr>
          <w:rFonts w:ascii="Times New Roman" w:hAnsi="Times New Roman"/>
          <w:color w:val="00B0F0"/>
          <w:sz w:val="12"/>
        </w:rPr>
        <w:t xml:space="preserve">¶ </w:t>
      </w:r>
      <w:r w:rsidRPr="00FB16B1">
        <w:rPr>
          <w:rFonts w:ascii="Times New Roman" w:hAnsi="Times New Roman"/>
          <w:color w:val="00B0F0"/>
        </w:rPr>
        <w:t>The study explored differences between science disciplines, teacher decisions about classroom activities, and out-of-class projects and homework. The researchers carefully controlled for differences in student backgrounds</w:t>
      </w:r>
      <w:proofErr w:type="gramStart"/>
      <w:r w:rsidRPr="00FB16B1">
        <w:rPr>
          <w:rFonts w:ascii="Times New Roman" w:hAnsi="Times New Roman"/>
          <w:color w:val="00B0F0"/>
        </w:rPr>
        <w:t>.</w:t>
      </w:r>
      <w:r w:rsidRPr="00FB16B1">
        <w:rPr>
          <w:rFonts w:ascii="Times New Roman" w:hAnsi="Times New Roman"/>
          <w:color w:val="00B0F0"/>
          <w:sz w:val="12"/>
        </w:rPr>
        <w:t>¶</w:t>
      </w:r>
      <w:proofErr w:type="gramEnd"/>
      <w:r w:rsidRPr="00FB16B1">
        <w:rPr>
          <w:rFonts w:ascii="Times New Roman" w:hAnsi="Times New Roman"/>
          <w:color w:val="00B0F0"/>
        </w:rPr>
        <w:t xml:space="preserve"> The study also points out that standardized testing, which seeks to measure overall knowledge in an entire discipline, may not capture a student's high level of mastery in a few key science topics. Teachers who "teach to the test" may not be optimizing their students' chance of success in college science courses, Tai noted</w:t>
      </w:r>
      <w:proofErr w:type="gramStart"/>
      <w:r w:rsidRPr="00FB16B1">
        <w:rPr>
          <w:rFonts w:ascii="Times New Roman" w:hAnsi="Times New Roman"/>
          <w:color w:val="00B0F0"/>
        </w:rPr>
        <w:t>.</w:t>
      </w:r>
      <w:r w:rsidRPr="00FB16B1">
        <w:rPr>
          <w:rFonts w:ascii="Times New Roman" w:hAnsi="Times New Roman"/>
          <w:color w:val="00B0F0"/>
          <w:sz w:val="12"/>
        </w:rPr>
        <w:t>¶</w:t>
      </w:r>
      <w:proofErr w:type="gramEnd"/>
      <w:r w:rsidRPr="00FB16B1">
        <w:rPr>
          <w:rFonts w:ascii="Times New Roman" w:hAnsi="Times New Roman"/>
          <w:color w:val="00B0F0"/>
        </w:rPr>
        <w:t xml:space="preserve"> "President Obama has challenged the nation to become the most educated in the world by having the largest proportion of college graduates among its citizens in the coming decade," Tai said. "To meet this challenge, it is imperative that we use the research to inform our educational practice."</w:t>
      </w:r>
      <w:r w:rsidRPr="00FB16B1">
        <w:rPr>
          <w:rFonts w:ascii="Times New Roman" w:hAnsi="Times New Roman"/>
          <w:color w:val="00B0F0"/>
          <w:sz w:val="12"/>
        </w:rPr>
        <w:t>¶</w:t>
      </w:r>
      <w:r w:rsidRPr="00FB16B1">
        <w:rPr>
          <w:rFonts w:ascii="Times New Roman" w:hAnsi="Times New Roman"/>
          <w:color w:val="00B0F0"/>
        </w:rPr>
        <w:t xml:space="preserve"> The study was part of the Factors Influencing College Science Success study, funded by the National Science Foundation</w:t>
      </w:r>
      <w:proofErr w:type="gramStart"/>
      <w:r w:rsidRPr="00FB16B1">
        <w:rPr>
          <w:rFonts w:ascii="Times New Roman" w:hAnsi="Times New Roman"/>
          <w:color w:val="00B0F0"/>
        </w:rPr>
        <w:t>.</w:t>
      </w:r>
      <w:r w:rsidRPr="00FB16B1">
        <w:rPr>
          <w:rFonts w:ascii="Times New Roman" w:hAnsi="Times New Roman"/>
          <w:color w:val="00B0F0"/>
          <w:sz w:val="12"/>
        </w:rPr>
        <w:t>¶</w:t>
      </w:r>
      <w:proofErr w:type="gramEnd"/>
      <w:r w:rsidRPr="00FB16B1">
        <w:rPr>
          <w:rFonts w:ascii="Times New Roman" w:hAnsi="Times New Roman"/>
          <w:color w:val="00B0F0"/>
        </w:rPr>
        <w:t xml:space="preserve"> </w:t>
      </w:r>
    </w:p>
    <w:p w14:paraId="74844838" w14:textId="77777777" w:rsidR="002D7343" w:rsidRPr="00FB16B1" w:rsidRDefault="002D7343" w:rsidP="00FB16B1">
      <w:pPr>
        <w:tabs>
          <w:tab w:val="left" w:pos="9360"/>
          <w:tab w:val="left" w:pos="9450"/>
        </w:tabs>
        <w:spacing w:line="240" w:lineRule="auto"/>
        <w:ind w:right="576"/>
      </w:pPr>
    </w:p>
    <w:p w14:paraId="11D37506" w14:textId="77777777" w:rsidR="002D7343" w:rsidRPr="00FB16B1" w:rsidRDefault="002D7343" w:rsidP="00FB16B1">
      <w:pPr>
        <w:pStyle w:val="Heading4"/>
        <w:tabs>
          <w:tab w:val="left" w:pos="9360"/>
          <w:tab w:val="left" w:pos="9450"/>
        </w:tabs>
        <w:spacing w:line="240" w:lineRule="auto"/>
        <w:ind w:right="576"/>
        <w:rPr>
          <w:rFonts w:cs="Times New Roman"/>
          <w:b w:val="0"/>
        </w:rPr>
      </w:pPr>
      <w:r w:rsidRPr="00FB16B1">
        <w:rPr>
          <w:rFonts w:cs="Times New Roman"/>
          <w:b w:val="0"/>
        </w:rPr>
        <w:t>2. Quality of Ground --- Increases in wages affect various industries differently --- unemployment proves</w:t>
      </w:r>
    </w:p>
    <w:p w14:paraId="783D1136" w14:textId="77777777" w:rsidR="002D7343" w:rsidRPr="00FB16B1" w:rsidRDefault="002D7343" w:rsidP="00FB16B1">
      <w:pPr>
        <w:tabs>
          <w:tab w:val="left" w:pos="9360"/>
          <w:tab w:val="left" w:pos="9450"/>
        </w:tabs>
        <w:spacing w:line="240" w:lineRule="auto"/>
        <w:ind w:right="576"/>
      </w:pPr>
      <w:proofErr w:type="spellStart"/>
      <w:r w:rsidRPr="00FB16B1">
        <w:rPr>
          <w:rStyle w:val="StyleStyleBold12pt"/>
        </w:rPr>
        <w:t>Lanzona</w:t>
      </w:r>
      <w:proofErr w:type="spellEnd"/>
      <w:r w:rsidRPr="00FB16B1">
        <w:rPr>
          <w:rStyle w:val="StyleStyleBold12pt"/>
        </w:rPr>
        <w:t xml:space="preserve"> 14</w:t>
      </w:r>
      <w:r w:rsidRPr="00FB16B1">
        <w:t xml:space="preserve"> – professor of economics @ </w:t>
      </w:r>
      <w:proofErr w:type="spellStart"/>
      <w:r w:rsidRPr="00FB16B1">
        <w:t>Ateneo</w:t>
      </w:r>
      <w:proofErr w:type="spellEnd"/>
      <w:r w:rsidRPr="00FB16B1">
        <w:t xml:space="preserve"> de Manila University</w:t>
      </w:r>
    </w:p>
    <w:p w14:paraId="3F2C648F" w14:textId="4E9F5794" w:rsidR="002D7343" w:rsidRPr="00FB16B1" w:rsidRDefault="002D7343" w:rsidP="00FB16B1">
      <w:pPr>
        <w:pStyle w:val="SmallText"/>
        <w:tabs>
          <w:tab w:val="left" w:pos="9360"/>
          <w:tab w:val="left" w:pos="9450"/>
        </w:tabs>
        <w:ind w:right="576"/>
        <w:rPr>
          <w:rFonts w:ascii="Times New Roman" w:hAnsi="Times New Roman"/>
        </w:rPr>
      </w:pPr>
      <w:r w:rsidRPr="00FB16B1">
        <w:rPr>
          <w:rFonts w:ascii="Times New Roman" w:hAnsi="Times New Roman"/>
        </w:rPr>
        <w:t>(</w:t>
      </w:r>
      <w:proofErr w:type="spellStart"/>
      <w:r w:rsidRPr="00FB16B1">
        <w:rPr>
          <w:rFonts w:ascii="Times New Roman" w:hAnsi="Times New Roman"/>
        </w:rPr>
        <w:t>Lanzona</w:t>
      </w:r>
      <w:proofErr w:type="spellEnd"/>
      <w:r w:rsidRPr="00FB16B1">
        <w:rPr>
          <w:rFonts w:ascii="Times New Roman" w:hAnsi="Times New Roman"/>
        </w:rPr>
        <w:t xml:space="preserve">, Leonardo A. “Effects of minimum wage on the Philippine economy.” </w:t>
      </w:r>
      <w:r w:rsidRPr="00FB16B1">
        <w:rPr>
          <w:rFonts w:ascii="Times New Roman" w:hAnsi="Times New Roman"/>
          <w:i/>
        </w:rPr>
        <w:t>Policy Notes</w:t>
      </w:r>
      <w:r w:rsidRPr="00FB16B1">
        <w:rPr>
          <w:rFonts w:ascii="Times New Roman" w:hAnsi="Times New Roman"/>
        </w:rPr>
        <w:t xml:space="preserve"> Aug. 2014. </w:t>
      </w:r>
      <w:hyperlink r:id="rId12" w:history="1">
        <w:r w:rsidRPr="00FB16B1">
          <w:rPr>
            <w:rStyle w:val="Hyperlink"/>
            <w:rFonts w:ascii="Times New Roman" w:hAnsi="Times New Roman"/>
          </w:rPr>
          <w:t>http://dirp4.pids.gov.ph/webportal/CDN/PUBLICATIONS/pidspn1415.pdf</w:t>
        </w:r>
      </w:hyperlink>
      <w:r w:rsidRPr="00FB16B1">
        <w:rPr>
          <w:rFonts w:ascii="Times New Roman" w:hAnsi="Times New Roman"/>
        </w:rPr>
        <w:t>)</w:t>
      </w:r>
    </w:p>
    <w:p w14:paraId="251A8756" w14:textId="77777777" w:rsidR="002D7343" w:rsidRPr="00FB16B1" w:rsidRDefault="002D7343" w:rsidP="00FB16B1">
      <w:pPr>
        <w:pStyle w:val="SmallText"/>
        <w:tabs>
          <w:tab w:val="left" w:pos="9360"/>
          <w:tab w:val="left" w:pos="9450"/>
        </w:tabs>
        <w:ind w:right="576"/>
        <w:rPr>
          <w:rFonts w:ascii="Times New Roman" w:hAnsi="Times New Roman"/>
        </w:rPr>
      </w:pPr>
      <w:r w:rsidRPr="00FB16B1">
        <w:rPr>
          <w:rStyle w:val="StyleBoldUnderline"/>
          <w:rFonts w:ascii="Times New Roman" w:hAnsi="Times New Roman"/>
        </w:rPr>
        <w:t>Minimum wages</w:t>
      </w:r>
      <w:r w:rsidRPr="00FB16B1">
        <w:rPr>
          <w:rFonts w:ascii="Times New Roman" w:hAnsi="Times New Roman"/>
        </w:rPr>
        <w:t xml:space="preserve">, more than other forms of regulation, </w:t>
      </w:r>
      <w:r w:rsidRPr="00FB16B1">
        <w:rPr>
          <w:rStyle w:val="StyleBoldUnderline"/>
          <w:rFonts w:ascii="Times New Roman" w:hAnsi="Times New Roman"/>
        </w:rPr>
        <w:t>are</w:t>
      </w:r>
      <w:r w:rsidRPr="00FB16B1">
        <w:rPr>
          <w:rFonts w:ascii="Times New Roman" w:hAnsi="Times New Roman"/>
        </w:rPr>
        <w:t xml:space="preserve"> more directly </w:t>
      </w:r>
      <w:r w:rsidRPr="00FB16B1">
        <w:rPr>
          <w:rStyle w:val="StyleBoldUnderline"/>
          <w:rFonts w:ascii="Times New Roman" w:hAnsi="Times New Roman"/>
        </w:rPr>
        <w:t>associated with unemployment</w:t>
      </w:r>
      <w:r w:rsidRPr="00FB16B1">
        <w:rPr>
          <w:rFonts w:ascii="Times New Roman" w:hAnsi="Times New Roman"/>
        </w:rPr>
        <w:t xml:space="preserve">. Maloney and Mendez (2004) pointed out that minimum wages could impose a restriction on the amount of benefits offered by firms. Workers carry part of the burden of higher minimum wages in the form of lower benefits (though somewhat mitigated by mandatory benefit restrictions) and reduced worker security. Both of these effects may result in greater incidence of unemployment or lower participation in the formal sector. </w:t>
      </w:r>
      <w:r w:rsidRPr="00FB16B1">
        <w:rPr>
          <w:rStyle w:val="StyleBoldUnderline"/>
          <w:rFonts w:ascii="Times New Roman" w:hAnsi="Times New Roman"/>
        </w:rPr>
        <w:t>If ever such distortions exist, employment</w:t>
      </w:r>
      <w:r w:rsidRPr="00FB16B1">
        <w:rPr>
          <w:rFonts w:ascii="Times New Roman" w:hAnsi="Times New Roman"/>
        </w:rPr>
        <w:t xml:space="preserve"> and output </w:t>
      </w:r>
      <w:r w:rsidRPr="00FB16B1">
        <w:rPr>
          <w:rStyle w:val="StyleBoldUnderline"/>
          <w:rFonts w:ascii="Times New Roman" w:hAnsi="Times New Roman"/>
        </w:rPr>
        <w:t>will be reduced</w:t>
      </w:r>
      <w:r w:rsidRPr="00FB16B1">
        <w:rPr>
          <w:rFonts w:ascii="Times New Roman" w:hAnsi="Times New Roman"/>
        </w:rPr>
        <w:t xml:space="preserve">. Nevertheless, it should also be stated that </w:t>
      </w:r>
      <w:r w:rsidRPr="00FB16B1">
        <w:rPr>
          <w:rStyle w:val="Emphasis"/>
          <w:rFonts w:eastAsiaTheme="majorEastAsia"/>
        </w:rPr>
        <w:t>these distortions affect industries and workers differently</w:t>
      </w:r>
      <w:r w:rsidRPr="00FB16B1">
        <w:rPr>
          <w:rFonts w:ascii="Times New Roman" w:hAnsi="Times New Roman"/>
        </w:rPr>
        <w:t xml:space="preserve">. </w:t>
      </w:r>
      <w:r w:rsidRPr="00FB16B1">
        <w:rPr>
          <w:rStyle w:val="StyleBoldUnderline"/>
          <w:rFonts w:ascii="Times New Roman" w:hAnsi="Times New Roman"/>
        </w:rPr>
        <w:t>Large</w:t>
      </w:r>
      <w:r w:rsidRPr="00FB16B1">
        <w:rPr>
          <w:rFonts w:ascii="Times New Roman" w:hAnsi="Times New Roman"/>
        </w:rPr>
        <w:t xml:space="preserve">, highly capitalized </w:t>
      </w:r>
      <w:r w:rsidRPr="00FB16B1">
        <w:rPr>
          <w:rStyle w:val="StyleBoldUnderline"/>
          <w:rFonts w:ascii="Times New Roman" w:hAnsi="Times New Roman"/>
        </w:rPr>
        <w:t>firms are</w:t>
      </w:r>
      <w:r w:rsidRPr="00FB16B1">
        <w:rPr>
          <w:rFonts w:ascii="Times New Roman" w:hAnsi="Times New Roman"/>
        </w:rPr>
        <w:t xml:space="preserve"> more </w:t>
      </w:r>
      <w:r w:rsidRPr="00FB16B1">
        <w:rPr>
          <w:rStyle w:val="StyleBoldUnderline"/>
          <w:rFonts w:ascii="Times New Roman" w:hAnsi="Times New Roman"/>
        </w:rPr>
        <w:t xml:space="preserve">able to absorb these </w:t>
      </w:r>
      <w:r w:rsidRPr="00FB16B1">
        <w:rPr>
          <w:rFonts w:ascii="Times New Roman" w:hAnsi="Times New Roman"/>
        </w:rPr>
        <w:t xml:space="preserve">distortions or </w:t>
      </w:r>
      <w:r w:rsidRPr="00FB16B1">
        <w:rPr>
          <w:rStyle w:val="StyleBoldUnderline"/>
          <w:rFonts w:ascii="Times New Roman" w:hAnsi="Times New Roman"/>
        </w:rPr>
        <w:t>costs and may be</w:t>
      </w:r>
      <w:r w:rsidRPr="00FB16B1">
        <w:rPr>
          <w:rFonts w:ascii="Times New Roman" w:hAnsi="Times New Roman"/>
        </w:rPr>
        <w:t xml:space="preserve"> largely </w:t>
      </w:r>
      <w:r w:rsidRPr="00FB16B1">
        <w:rPr>
          <w:rStyle w:val="StyleBoldUnderline"/>
          <w:rFonts w:ascii="Times New Roman" w:hAnsi="Times New Roman"/>
        </w:rPr>
        <w:t xml:space="preserve">unaffected </w:t>
      </w:r>
      <w:r w:rsidRPr="00FB16B1">
        <w:rPr>
          <w:rFonts w:ascii="Times New Roman" w:hAnsi="Times New Roman"/>
        </w:rPr>
        <w:t>by the policies.</w:t>
      </w:r>
      <w:r w:rsidRPr="00FB16B1">
        <w:rPr>
          <w:rStyle w:val="StyleBoldUnderline"/>
          <w:rFonts w:ascii="Times New Roman" w:hAnsi="Times New Roman"/>
        </w:rPr>
        <w:t xml:space="preserve"> Small firms can face greater costs, and are more adversely affected </w:t>
      </w:r>
      <w:r w:rsidRPr="00FB16B1">
        <w:rPr>
          <w:rFonts w:ascii="Times New Roman" w:hAnsi="Times New Roman"/>
        </w:rPr>
        <w:t>by these policies.</w:t>
      </w:r>
    </w:p>
    <w:p w14:paraId="05C6A95D" w14:textId="77777777" w:rsidR="002D7343" w:rsidRPr="00FB16B1" w:rsidRDefault="002D7343" w:rsidP="00FB16B1">
      <w:pPr>
        <w:tabs>
          <w:tab w:val="left" w:pos="9360"/>
          <w:tab w:val="left" w:pos="9450"/>
        </w:tabs>
        <w:spacing w:line="240" w:lineRule="auto"/>
        <w:ind w:right="576"/>
      </w:pPr>
    </w:p>
    <w:p w14:paraId="315C1453" w14:textId="77777777" w:rsidR="002D7343" w:rsidRPr="00FB16B1" w:rsidRDefault="002D7343" w:rsidP="00FB16B1">
      <w:pPr>
        <w:tabs>
          <w:tab w:val="left" w:pos="9360"/>
          <w:tab w:val="left" w:pos="9450"/>
        </w:tabs>
        <w:spacing w:line="240" w:lineRule="auto"/>
        <w:ind w:right="576"/>
      </w:pPr>
      <w:r w:rsidRPr="00FB16B1">
        <w:t xml:space="preserve">End quote. This means that weighing and link ground differs significantly depending on the industry in question. Talking about poverty or unemployment from a generic whole-res perspective is nonsensical on this topic because the effects of living wages on unemployment and poverty change depending on the industry in question. This allows both the </w:t>
      </w:r>
      <w:proofErr w:type="spellStart"/>
      <w:r w:rsidRPr="00FB16B1">
        <w:t>aff</w:t>
      </w:r>
      <w:proofErr w:type="spellEnd"/>
      <w:r w:rsidRPr="00FB16B1">
        <w:t xml:space="preserve"> and </w:t>
      </w:r>
      <w:proofErr w:type="spellStart"/>
      <w:r w:rsidRPr="00FB16B1">
        <w:t>neg</w:t>
      </w:r>
      <w:proofErr w:type="spellEnd"/>
      <w:r w:rsidRPr="00FB16B1">
        <w:t xml:space="preserve"> to generate more specific links to the topic. Quality ground key to fairness because it is the mechanism by which we construct good arguments to affirm or negate the topic. </w:t>
      </w:r>
    </w:p>
    <w:p w14:paraId="39A52D8E" w14:textId="6B601D84" w:rsidR="00F529B9" w:rsidRPr="00FB16B1" w:rsidRDefault="002D7343" w:rsidP="00FB16B1">
      <w:pPr>
        <w:tabs>
          <w:tab w:val="left" w:pos="9360"/>
          <w:tab w:val="left" w:pos="9450"/>
        </w:tabs>
        <w:spacing w:line="240" w:lineRule="auto"/>
        <w:ind w:right="576"/>
      </w:pPr>
      <w:r w:rsidRPr="00FB16B1">
        <w:t>Also fosters more real world discussion on the topic, because talking about living wages and poverty from a whole-res perspective oversimplifies the issue at hand. Real world education is valuable because it’s the only portable knowledge we will take with us post-high school.</w:t>
      </w:r>
    </w:p>
    <w:p w14:paraId="3FC1BA59" w14:textId="37C81D18" w:rsidR="00A82E2A" w:rsidRPr="00FB16B1" w:rsidRDefault="00032873" w:rsidP="00FB16B1">
      <w:pPr>
        <w:tabs>
          <w:tab w:val="left" w:pos="9360"/>
          <w:tab w:val="left" w:pos="9450"/>
        </w:tabs>
        <w:spacing w:line="240" w:lineRule="auto"/>
        <w:ind w:right="576"/>
        <w:rPr>
          <w:rStyle w:val="StyleStyleBold12pt"/>
        </w:rPr>
      </w:pPr>
      <w:r w:rsidRPr="00FB16B1">
        <w:t>3</w:t>
      </w:r>
      <w:r w:rsidR="00A82E2A" w:rsidRPr="00FB16B1">
        <w:t xml:space="preserve">.Topic lit --- </w:t>
      </w:r>
      <w:r w:rsidR="00A82E2A" w:rsidRPr="00FB16B1">
        <w:rPr>
          <w:rStyle w:val="StyleStyleBold12pt"/>
        </w:rPr>
        <w:t>Bernstein 04</w:t>
      </w:r>
    </w:p>
    <w:p w14:paraId="0616B0CB" w14:textId="77777777" w:rsidR="00A82E2A" w:rsidRPr="00FB16B1" w:rsidRDefault="00A82E2A" w:rsidP="00FB16B1">
      <w:pPr>
        <w:tabs>
          <w:tab w:val="left" w:pos="9360"/>
          <w:tab w:val="left" w:pos="9450"/>
        </w:tabs>
        <w:spacing w:line="240" w:lineRule="auto"/>
        <w:ind w:right="576"/>
        <w:rPr>
          <w:sz w:val="16"/>
          <w:szCs w:val="16"/>
        </w:rPr>
      </w:pPr>
      <w:r w:rsidRPr="00FB16B1">
        <w:rPr>
          <w:sz w:val="16"/>
          <w:szCs w:val="16"/>
        </w:rPr>
        <w:t>Bernstein, Jared. "The Living Wage Movement. What Is It, Why Is It, and What’s Known about Its Impact</w:t>
      </w:r>
      <w:proofErr w:type="gramStart"/>
      <w:r w:rsidRPr="00FB16B1">
        <w:rPr>
          <w:sz w:val="16"/>
          <w:szCs w:val="16"/>
        </w:rPr>
        <w:t>?.</w:t>
      </w:r>
      <w:proofErr w:type="gramEnd"/>
      <w:r w:rsidRPr="00FB16B1">
        <w:rPr>
          <w:sz w:val="16"/>
          <w:szCs w:val="16"/>
        </w:rPr>
        <w:t xml:space="preserve">" </w:t>
      </w:r>
      <w:proofErr w:type="gramStart"/>
      <w:r w:rsidRPr="00FB16B1">
        <w:rPr>
          <w:sz w:val="16"/>
          <w:szCs w:val="16"/>
        </w:rPr>
        <w:t>Emerging labor market institutions for the twenty-first century.</w:t>
      </w:r>
      <w:proofErr w:type="gramEnd"/>
      <w:r w:rsidRPr="00FB16B1">
        <w:rPr>
          <w:sz w:val="16"/>
          <w:szCs w:val="16"/>
        </w:rPr>
        <w:t xml:space="preserve"> </w:t>
      </w:r>
      <w:proofErr w:type="gramStart"/>
      <w:r w:rsidRPr="00FB16B1">
        <w:rPr>
          <w:sz w:val="16"/>
          <w:szCs w:val="16"/>
        </w:rPr>
        <w:t>University of Chicago Press, 2004.</w:t>
      </w:r>
      <w:proofErr w:type="gramEnd"/>
      <w:r w:rsidRPr="00FB16B1">
        <w:rPr>
          <w:sz w:val="16"/>
          <w:szCs w:val="16"/>
        </w:rPr>
        <w:t xml:space="preserve"> 99-140.</w:t>
      </w:r>
    </w:p>
    <w:p w14:paraId="2F8901A9" w14:textId="77777777" w:rsidR="00A82E2A" w:rsidRPr="00FB16B1" w:rsidRDefault="00A82E2A" w:rsidP="00FB16B1">
      <w:pPr>
        <w:tabs>
          <w:tab w:val="left" w:pos="9360"/>
          <w:tab w:val="left" w:pos="9450"/>
        </w:tabs>
        <w:spacing w:line="240" w:lineRule="auto"/>
        <w:ind w:right="576"/>
      </w:pPr>
      <w:r w:rsidRPr="00FB16B1">
        <w:rPr>
          <w:sz w:val="16"/>
          <w:szCs w:val="16"/>
        </w:rPr>
        <w:t>Although living wage movements have appeared throughout this century (Glickman 1997)</w:t>
      </w:r>
      <w:r w:rsidRPr="00FB16B1">
        <w:t xml:space="preserve"> </w:t>
      </w:r>
      <w:r w:rsidRPr="00FB16B1">
        <w:rPr>
          <w:rStyle w:val="StyleBoldUnderline"/>
        </w:rPr>
        <w:t>the contemporary movement is centered on a specific policy: passing a local ordinance to raise the wage floor for a specified group of workers covered by the ordinance</w:t>
      </w:r>
      <w:proofErr w:type="gramStart"/>
      <w:r w:rsidRPr="00FB16B1">
        <w:rPr>
          <w:rStyle w:val="StyleBoldUnderline"/>
        </w:rPr>
        <w:t>.</w:t>
      </w:r>
      <w:r w:rsidRPr="00FB16B1">
        <w:t>¶</w:t>
      </w:r>
      <w:proofErr w:type="gramEnd"/>
      <w:r w:rsidRPr="00FB16B1">
        <w:t xml:space="preserve"> </w:t>
      </w:r>
      <w:r w:rsidRPr="00FB16B1">
        <w:rPr>
          <w:sz w:val="16"/>
          <w:szCs w:val="16"/>
        </w:rPr>
        <w:t>Since the mid-1990s, such ordinances have proliferated. According to a recent review by Brenner (2003b),</w:t>
      </w:r>
      <w:r w:rsidRPr="00FB16B1">
        <w:t xml:space="preserve"> </w:t>
      </w:r>
      <w:r w:rsidRPr="00FB16B1">
        <w:rPr>
          <w:rStyle w:val="StyleBoldUnderline"/>
        </w:rPr>
        <w:t xml:space="preserve">more than 100 cities, counties, or other entities </w:t>
      </w:r>
      <w:r w:rsidRPr="00FB16B1">
        <w:rPr>
          <w:sz w:val="16"/>
          <w:szCs w:val="16"/>
        </w:rPr>
        <w:t>had enacted living wage laws by the end of 2002</w:t>
      </w:r>
      <w:r w:rsidRPr="00FB16B1">
        <w:rPr>
          <w:rStyle w:val="StyleBoldUnderline"/>
          <w:sz w:val="16"/>
          <w:szCs w:val="16"/>
        </w:rPr>
        <w:t>.</w:t>
      </w:r>
      <w:r w:rsidRPr="00FB16B1">
        <w:rPr>
          <w:sz w:val="16"/>
          <w:szCs w:val="16"/>
        </w:rPr>
        <w:t xml:space="preserve"> The community- organizing group Association of Community Organizations for Reform Now (ACORN), prominent living wage advocates, reports that as of mid- 2003 there are seventy-two ongoing living wage campaigns. University students have also mobilized recently on behalf of low-wage workers, calling for ordinances to raise the pay of support staff.</w:t>
      </w:r>
    </w:p>
    <w:p w14:paraId="5FFDEBF7" w14:textId="1F83F96A" w:rsidR="00A82E2A" w:rsidRPr="00FB16B1" w:rsidRDefault="00A82E2A" w:rsidP="00FB16B1">
      <w:pPr>
        <w:tabs>
          <w:tab w:val="left" w:pos="9360"/>
          <w:tab w:val="left" w:pos="9450"/>
        </w:tabs>
        <w:spacing w:line="240" w:lineRule="auto"/>
        <w:ind w:right="576"/>
      </w:pPr>
      <w:r w:rsidRPr="00FB16B1">
        <w:t xml:space="preserve">End quote. Prefer Bernstein because A) that’s the definition that he presents after looking at the 100 cities that already have the living wage; B) He cites multiple authors about recent living wage laws who define the living wage as being group specific, in conjunction to being consistent with the Mullin evidence from the </w:t>
      </w:r>
      <w:proofErr w:type="spellStart"/>
      <w:r w:rsidRPr="00FB16B1">
        <w:t>interp</w:t>
      </w:r>
      <w:proofErr w:type="spellEnd"/>
      <w:r w:rsidRPr="00FB16B1">
        <w:t xml:space="preserve"> AND C) he analyzes the historical evolution of the concept of living wages, so he is most temporally sensitive to the question of what living wages entail.</w:t>
      </w:r>
    </w:p>
    <w:p w14:paraId="10D174CF" w14:textId="55990BA2" w:rsidR="00F529B9" w:rsidRPr="00FB16B1" w:rsidRDefault="00032873" w:rsidP="00FB16B1">
      <w:pPr>
        <w:tabs>
          <w:tab w:val="left" w:pos="9450"/>
        </w:tabs>
        <w:spacing w:line="240" w:lineRule="auto"/>
        <w:ind w:right="576"/>
      </w:pPr>
      <w:r w:rsidRPr="00FB16B1">
        <w:t xml:space="preserve">Topic lit key to questions of what words mean in the resolution, since it is the basis by which we research the resolution. Also key to predictability, since it’s the only mutually agreed upon basis for pre-round prep. </w:t>
      </w:r>
    </w:p>
    <w:p w14:paraId="0D4D3823" w14:textId="32D9E656" w:rsidR="00FB16B1" w:rsidRPr="00FB16B1" w:rsidRDefault="00FB16B1" w:rsidP="00FB16B1">
      <w:pPr>
        <w:spacing w:line="240" w:lineRule="auto"/>
      </w:pPr>
      <w:r w:rsidRPr="00FB16B1">
        <w:t xml:space="preserve">4) </w:t>
      </w:r>
      <w:r w:rsidRPr="00FB16B1">
        <w:rPr>
          <w:rFonts w:eastAsiaTheme="majorEastAsia"/>
          <w:bCs/>
          <w:iCs/>
        </w:rPr>
        <w:t xml:space="preserve">Advocacy shift --- </w:t>
      </w:r>
      <w:r w:rsidRPr="00FB16B1">
        <w:t xml:space="preserve">Without specifying, the </w:t>
      </w:r>
      <w:proofErr w:type="spellStart"/>
      <w:r w:rsidRPr="00FB16B1">
        <w:t>aff</w:t>
      </w:r>
      <w:proofErr w:type="spellEnd"/>
      <w:r w:rsidRPr="00FB16B1">
        <w:t xml:space="preserve"> can make no link arguments in the 1AR and permute any </w:t>
      </w:r>
      <w:proofErr w:type="spellStart"/>
      <w:r w:rsidRPr="00FB16B1">
        <w:t>neg</w:t>
      </w:r>
      <w:proofErr w:type="spellEnd"/>
      <w:r w:rsidRPr="00FB16B1">
        <w:t xml:space="preserve"> argument since they could change their vague advocacy, claiming that they were not explicit in the AC. Even in a whole-res interpretation of the resolution, there is no stable advocacy because what qualifies as a moral obligation, the extent of said moral obligation, and whether the consequences are relevant are unclear after the reading of the 1AC. Because </w:t>
      </w:r>
      <w:proofErr w:type="gramStart"/>
      <w:r w:rsidRPr="00FB16B1">
        <w:t>whole res implies</w:t>
      </w:r>
      <w:proofErr w:type="gramEnd"/>
      <w:r w:rsidRPr="00FB16B1">
        <w:t xml:space="preserve"> no action, there is no clear text or advocacy to hold the </w:t>
      </w:r>
      <w:proofErr w:type="spellStart"/>
      <w:r w:rsidRPr="00FB16B1">
        <w:t>aff</w:t>
      </w:r>
      <w:proofErr w:type="spellEnd"/>
      <w:r w:rsidRPr="00FB16B1">
        <w:t xml:space="preserve"> to. Philosophical arguments still endorse shift because there are minor nuances between different authors’ perceptions on particular philosophies and their application to questions like the one posited in the resolution, allowing the </w:t>
      </w:r>
      <w:proofErr w:type="spellStart"/>
      <w:r w:rsidRPr="00FB16B1">
        <w:t>aff</w:t>
      </w:r>
      <w:proofErr w:type="spellEnd"/>
      <w:r w:rsidRPr="00FB16B1">
        <w:t xml:space="preserve"> to shift in the 1AR to whichever interpretation is the most strategic. </w:t>
      </w:r>
    </w:p>
    <w:p w14:paraId="666F4432" w14:textId="77777777" w:rsidR="00FB16B1" w:rsidRPr="00FB16B1" w:rsidRDefault="00FB16B1" w:rsidP="00FB16B1">
      <w:pPr>
        <w:spacing w:line="240" w:lineRule="auto"/>
      </w:pPr>
      <w:r w:rsidRPr="00FB16B1">
        <w:t xml:space="preserve">This is the </w:t>
      </w:r>
      <w:r w:rsidRPr="00FB16B1">
        <w:rPr>
          <w:b/>
        </w:rPr>
        <w:t>strongest internal link to fairness</w:t>
      </w:r>
      <w:r w:rsidRPr="00FB16B1">
        <w:t xml:space="preserve"> because the </w:t>
      </w:r>
      <w:proofErr w:type="spellStart"/>
      <w:r w:rsidRPr="00FB16B1">
        <w:t>aff’s</w:t>
      </w:r>
      <w:proofErr w:type="spellEnd"/>
      <w:r w:rsidRPr="00FB16B1">
        <w:t xml:space="preserve"> advocacy is the cornerstone of the </w:t>
      </w:r>
      <w:proofErr w:type="spellStart"/>
      <w:r w:rsidRPr="00FB16B1">
        <w:t>neg</w:t>
      </w:r>
      <w:proofErr w:type="spellEnd"/>
      <w:r w:rsidRPr="00FB16B1">
        <w:t xml:space="preserve"> ground; if the </w:t>
      </w:r>
      <w:proofErr w:type="spellStart"/>
      <w:r w:rsidRPr="00FB16B1">
        <w:t>aff</w:t>
      </w:r>
      <w:proofErr w:type="spellEnd"/>
      <w:r w:rsidRPr="00FB16B1">
        <w:t xml:space="preserve"> doesn’t have a stable advocacy or is very vague without a plan text, it destroys the </w:t>
      </w:r>
      <w:proofErr w:type="spellStart"/>
      <w:r w:rsidRPr="00FB16B1">
        <w:t>neg’s</w:t>
      </w:r>
      <w:proofErr w:type="spellEnd"/>
      <w:r w:rsidRPr="00FB16B1">
        <w:t xml:space="preserve"> ability to run disadvantages, counterplans, or any offensive argument, because the lack of </w:t>
      </w:r>
      <w:proofErr w:type="spellStart"/>
      <w:r w:rsidRPr="00FB16B1">
        <w:t>aff</w:t>
      </w:r>
      <w:proofErr w:type="spellEnd"/>
      <w:r w:rsidRPr="00FB16B1">
        <w:t xml:space="preserve"> specificity destroys their links. This also harms education--an unstable advocacy ruins the potential for there to be a substantive, topical discussion since either the 1ar just extends past the NC or the NC didn't even understand the AC in the first place. </w:t>
      </w:r>
    </w:p>
    <w:p w14:paraId="559815D1" w14:textId="77777777" w:rsidR="00FB16B1" w:rsidRPr="0047353F" w:rsidRDefault="00FB16B1" w:rsidP="00FB16B1">
      <w:pPr>
        <w:rPr>
          <w:rFonts w:eastAsiaTheme="majorEastAsia"/>
          <w:bCs/>
          <w:iCs/>
        </w:rPr>
      </w:pPr>
    </w:p>
    <w:p w14:paraId="40F3386B" w14:textId="4DC83BD5" w:rsidR="00FB16B1" w:rsidRPr="00F529B9" w:rsidRDefault="00FB16B1" w:rsidP="00032873">
      <w:pPr>
        <w:tabs>
          <w:tab w:val="left" w:pos="9450"/>
        </w:tabs>
        <w:ind w:right="576"/>
      </w:pPr>
    </w:p>
    <w:sectPr w:rsidR="00FB16B1" w:rsidRPr="00F529B9" w:rsidSect="00032873">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2BDEE" w14:textId="77777777" w:rsidR="00A82E2A" w:rsidRDefault="00A82E2A" w:rsidP="00E46E7E">
      <w:r>
        <w:separator/>
      </w:r>
    </w:p>
  </w:endnote>
  <w:endnote w:type="continuationSeparator" w:id="0">
    <w:p w14:paraId="0DD21210" w14:textId="77777777" w:rsidR="00A82E2A" w:rsidRDefault="00A82E2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AE2F8" w14:textId="77777777" w:rsidR="00A82E2A" w:rsidRDefault="00A82E2A" w:rsidP="00E46E7E">
      <w:r>
        <w:separator/>
      </w:r>
    </w:p>
  </w:footnote>
  <w:footnote w:type="continuationSeparator" w:id="0">
    <w:p w14:paraId="5E654885" w14:textId="77777777" w:rsidR="00A82E2A" w:rsidRDefault="00A82E2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D3E4782"/>
    <w:multiLevelType w:val="hybridMultilevel"/>
    <w:tmpl w:val="C032D59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4F3915"/>
    <w:multiLevelType w:val="hybridMultilevel"/>
    <w:tmpl w:val="EE84E21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33301AB"/>
    <w:multiLevelType w:val="hybridMultilevel"/>
    <w:tmpl w:val="3C9CB4C4"/>
    <w:lvl w:ilvl="0" w:tplc="F544BD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9FC01B4"/>
    <w:multiLevelType w:val="hybridMultilevel"/>
    <w:tmpl w:val="D024B2B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6F30178"/>
    <w:multiLevelType w:val="hybridMultilevel"/>
    <w:tmpl w:val="480C73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71D6B4E"/>
    <w:multiLevelType w:val="multilevel"/>
    <w:tmpl w:val="3C9CB4C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898429A"/>
    <w:multiLevelType w:val="hybridMultilevel"/>
    <w:tmpl w:val="BC08EF3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016E09"/>
    <w:multiLevelType w:val="hybridMultilevel"/>
    <w:tmpl w:val="64801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9A0FF8"/>
    <w:multiLevelType w:val="hybridMultilevel"/>
    <w:tmpl w:val="B67E8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14"/>
  </w:num>
  <w:num w:numId="4">
    <w:abstractNumId w:val="19"/>
  </w:num>
  <w:num w:numId="5">
    <w:abstractNumId w:val="18"/>
  </w:num>
  <w:num w:numId="6">
    <w:abstractNumId w:val="23"/>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6"/>
  </w:num>
  <w:num w:numId="19">
    <w:abstractNumId w:val="13"/>
  </w:num>
  <w:num w:numId="20">
    <w:abstractNumId w:val="20"/>
  </w:num>
  <w:num w:numId="21">
    <w:abstractNumId w:val="21"/>
  </w:num>
  <w:num w:numId="22">
    <w:abstractNumId w:val="11"/>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346"/>
    <w:rsid w:val="000140EC"/>
    <w:rsid w:val="00016A35"/>
    <w:rsid w:val="00032873"/>
    <w:rsid w:val="000C16B3"/>
    <w:rsid w:val="00104C25"/>
    <w:rsid w:val="001408C0"/>
    <w:rsid w:val="00143FD7"/>
    <w:rsid w:val="001463FB"/>
    <w:rsid w:val="001710E3"/>
    <w:rsid w:val="00186DB7"/>
    <w:rsid w:val="001D7626"/>
    <w:rsid w:val="002613DA"/>
    <w:rsid w:val="002646EB"/>
    <w:rsid w:val="002B6353"/>
    <w:rsid w:val="002B68C8"/>
    <w:rsid w:val="002D7343"/>
    <w:rsid w:val="002F35F4"/>
    <w:rsid w:val="002F3E28"/>
    <w:rsid w:val="002F40E6"/>
    <w:rsid w:val="00303E5B"/>
    <w:rsid w:val="00313226"/>
    <w:rsid w:val="0031425E"/>
    <w:rsid w:val="00325059"/>
    <w:rsid w:val="00357719"/>
    <w:rsid w:val="00374144"/>
    <w:rsid w:val="003B3EC7"/>
    <w:rsid w:val="003F42AF"/>
    <w:rsid w:val="00412F6D"/>
    <w:rsid w:val="0042635A"/>
    <w:rsid w:val="00463346"/>
    <w:rsid w:val="00466B6F"/>
    <w:rsid w:val="004B3188"/>
    <w:rsid w:val="004B3DB3"/>
    <w:rsid w:val="004C63B5"/>
    <w:rsid w:val="004D461E"/>
    <w:rsid w:val="00517479"/>
    <w:rsid w:val="005A0BE5"/>
    <w:rsid w:val="005C0E1F"/>
    <w:rsid w:val="005E0D2B"/>
    <w:rsid w:val="005E2C99"/>
    <w:rsid w:val="00672258"/>
    <w:rsid w:val="0067575B"/>
    <w:rsid w:val="00692C26"/>
    <w:rsid w:val="006F258F"/>
    <w:rsid w:val="006F2D3D"/>
    <w:rsid w:val="00700835"/>
    <w:rsid w:val="00726F87"/>
    <w:rsid w:val="007333B9"/>
    <w:rsid w:val="00791B7D"/>
    <w:rsid w:val="007A3515"/>
    <w:rsid w:val="007D7924"/>
    <w:rsid w:val="007E470C"/>
    <w:rsid w:val="007E5F71"/>
    <w:rsid w:val="00821415"/>
    <w:rsid w:val="0083768F"/>
    <w:rsid w:val="0091595A"/>
    <w:rsid w:val="009165EA"/>
    <w:rsid w:val="009235B9"/>
    <w:rsid w:val="009829F2"/>
    <w:rsid w:val="00993F61"/>
    <w:rsid w:val="009B0746"/>
    <w:rsid w:val="009C198B"/>
    <w:rsid w:val="009D207E"/>
    <w:rsid w:val="009E5822"/>
    <w:rsid w:val="009E691A"/>
    <w:rsid w:val="00A074CB"/>
    <w:rsid w:val="00A17B18"/>
    <w:rsid w:val="00A369C4"/>
    <w:rsid w:val="00A47986"/>
    <w:rsid w:val="00A82E2A"/>
    <w:rsid w:val="00A91A24"/>
    <w:rsid w:val="00AC0E99"/>
    <w:rsid w:val="00AF1E67"/>
    <w:rsid w:val="00AF5046"/>
    <w:rsid w:val="00AF70D4"/>
    <w:rsid w:val="00B169A1"/>
    <w:rsid w:val="00B33E0C"/>
    <w:rsid w:val="00B45FE9"/>
    <w:rsid w:val="00B55D49"/>
    <w:rsid w:val="00B65E97"/>
    <w:rsid w:val="00B7143E"/>
    <w:rsid w:val="00B84180"/>
    <w:rsid w:val="00BA72CA"/>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529B9"/>
    <w:rsid w:val="00FA538E"/>
    <w:rsid w:val="00FB16B1"/>
    <w:rsid w:val="00FD028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64A3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529B9"/>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F529B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529B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529B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529B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
    <w:basedOn w:val="DefaultParagraphFont"/>
    <w:uiPriority w:val="7"/>
    <w:qFormat/>
    <w:rsid w:val="00F529B9"/>
    <w:rPr>
      <w:rFonts w:ascii="Times New Roman" w:hAnsi="Times New Roman" w:cs="Times New Roman"/>
      <w:b/>
      <w:i w:val="0"/>
      <w:iCs/>
      <w:sz w:val="22"/>
      <w:u w:val="single"/>
      <w:bdr w:val="single" w:sz="8" w:space="0" w:color="auto"/>
    </w:rPr>
  </w:style>
  <w:style w:type="character" w:customStyle="1" w:styleId="Heading1Char">
    <w:name w:val="Heading 1 Char"/>
    <w:aliases w:val="Pocket Char"/>
    <w:basedOn w:val="DefaultParagraphFont"/>
    <w:link w:val="Heading1"/>
    <w:uiPriority w:val="9"/>
    <w:rsid w:val="00F529B9"/>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F529B9"/>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F529B9"/>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F529B9"/>
    <w:rPr>
      <w:rFonts w:ascii="Times New Roman" w:eastAsiaTheme="majorEastAsia" w:hAnsi="Times New Roman" w:cstheme="majorBidi"/>
      <w:b/>
      <w:bCs/>
      <w:sz w:val="26"/>
      <w:szCs w:val="26"/>
    </w:rPr>
  </w:style>
  <w:style w:type="paragraph" w:styleId="NoSpacing">
    <w:name w:val="No Spacing"/>
    <w:aliases w:val="Debate Text,No Spacing11,No Spacing2,Read stuff,No Spacing111,No Spacing21,No Spacing3,No Spacing4,No Spacing1111,Tag and Cite,No Spacing51,No Spacing31,Card Format,No Spacing112"/>
    <w:uiPriority w:val="99"/>
    <w:rsid w:val="00B7143E"/>
  </w:style>
  <w:style w:type="character" w:customStyle="1" w:styleId="StyleStyleBold12pt">
    <w:name w:val="Style Style Bold + 12 pt"/>
    <w:aliases w:val="Cite,Style 13 pt Bold,Style Style Bold + 12pt,Style Style Bold,Style Style + 12 pt,Style Style Bo... +,Old Cite,Style Style Bold + 10 pt,Style Style Bold + 13 pt,tagld + 12 pt,Style Style Bold + 11 pt,tag + 12 pt,Not..."/>
    <w:basedOn w:val="DefaultParagraphFont"/>
    <w:uiPriority w:val="1"/>
    <w:qFormat/>
    <w:rsid w:val="00F529B9"/>
    <w:rPr>
      <w:b/>
      <w:sz w:val="26"/>
      <w:u w:val="none"/>
    </w:rPr>
  </w:style>
  <w:style w:type="character" w:customStyle="1" w:styleId="StyleBoldUnderline">
    <w:name w:val="Style Bold Underline"/>
    <w:aliases w:val="Underline,Style Underline,Intense Emphasis1,apple-style-span + 6 pt,Bold,Kern at 16 pt,Intense Emphasis11,Intense Emphasis111,Intense Emphasis1111,Intense Emphasis2,Intense Emphasis3,Intense Emphasis31,Intense Emphasis311,Style,c"/>
    <w:basedOn w:val="DefaultParagraphFont"/>
    <w:uiPriority w:val="1"/>
    <w:qFormat/>
    <w:rsid w:val="00F529B9"/>
    <w:rPr>
      <w:b/>
      <w:sz w:val="24"/>
      <w:u w:val="single"/>
    </w:rPr>
  </w:style>
  <w:style w:type="paragraph" w:styleId="DocumentMap">
    <w:name w:val="Document Map"/>
    <w:basedOn w:val="Normal"/>
    <w:link w:val="DocumentMapChar"/>
    <w:uiPriority w:val="99"/>
    <w:semiHidden/>
    <w:unhideWhenUsed/>
    <w:rsid w:val="00F529B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F529B9"/>
    <w:rPr>
      <w:rFonts w:ascii="Lucida Grande" w:hAnsi="Lucida Grande" w:cs="Lucida Grande"/>
    </w:rPr>
  </w:style>
  <w:style w:type="paragraph" w:styleId="ListParagraph">
    <w:name w:val="List Paragraph"/>
    <w:basedOn w:val="Normal"/>
    <w:uiPriority w:val="34"/>
    <w:qFormat/>
    <w:rsid w:val="00B7143E"/>
    <w:pPr>
      <w:ind w:left="720"/>
      <w:contextualSpacing/>
    </w:pPr>
  </w:style>
  <w:style w:type="paragraph" w:styleId="Header">
    <w:name w:val="header"/>
    <w:basedOn w:val="Normal"/>
    <w:link w:val="HeaderChar"/>
    <w:uiPriority w:val="99"/>
    <w:unhideWhenUsed/>
    <w:rsid w:val="00B7143E"/>
    <w:pPr>
      <w:tabs>
        <w:tab w:val="center" w:pos="4320"/>
        <w:tab w:val="right" w:pos="8640"/>
      </w:tabs>
    </w:pPr>
  </w:style>
  <w:style w:type="character" w:customStyle="1" w:styleId="HeaderChar">
    <w:name w:val="Header Char"/>
    <w:basedOn w:val="DefaultParagraphFont"/>
    <w:link w:val="Header"/>
    <w:uiPriority w:val="99"/>
    <w:rsid w:val="00B7143E"/>
    <w:rPr>
      <w:rFonts w:ascii="Times New Roman" w:hAnsi="Times New Roman" w:cs="Times New Roman"/>
    </w:rPr>
  </w:style>
  <w:style w:type="paragraph" w:styleId="Footer">
    <w:name w:val="footer"/>
    <w:basedOn w:val="Normal"/>
    <w:link w:val="FooterChar"/>
    <w:uiPriority w:val="99"/>
    <w:unhideWhenUsed/>
    <w:rsid w:val="00B7143E"/>
    <w:pPr>
      <w:tabs>
        <w:tab w:val="center" w:pos="4320"/>
        <w:tab w:val="right" w:pos="8640"/>
      </w:tabs>
    </w:pPr>
  </w:style>
  <w:style w:type="character" w:customStyle="1" w:styleId="FooterChar">
    <w:name w:val="Footer Char"/>
    <w:basedOn w:val="DefaultParagraphFont"/>
    <w:link w:val="Footer"/>
    <w:uiPriority w:val="99"/>
    <w:rsid w:val="00B7143E"/>
    <w:rPr>
      <w:rFonts w:ascii="Times New Roman" w:hAnsi="Times New Roman" w:cs="Times New Roman"/>
    </w:rPr>
  </w:style>
  <w:style w:type="character" w:styleId="PageNumber">
    <w:name w:val="page number"/>
    <w:basedOn w:val="DefaultParagraphFont"/>
    <w:uiPriority w:val="99"/>
    <w:semiHidden/>
    <w:unhideWhenUsed/>
    <w:rsid w:val="00B7143E"/>
  </w:style>
  <w:style w:type="character" w:styleId="Hyperlink">
    <w:name w:val="Hyperlink"/>
    <w:aliases w:val="heading 1 (block title),Important,Read,Internet Link,Card Text"/>
    <w:basedOn w:val="DefaultParagraphFont"/>
    <w:uiPriority w:val="99"/>
    <w:unhideWhenUsed/>
    <w:rsid w:val="00F529B9"/>
    <w:rPr>
      <w:color w:val="auto"/>
      <w:u w:val="none"/>
    </w:rPr>
  </w:style>
  <w:style w:type="character" w:styleId="FollowedHyperlink">
    <w:name w:val="FollowedHyperlink"/>
    <w:basedOn w:val="DefaultParagraphFont"/>
    <w:uiPriority w:val="99"/>
    <w:semiHidden/>
    <w:unhideWhenUsed/>
    <w:rsid w:val="00F529B9"/>
    <w:rPr>
      <w:color w:val="auto"/>
      <w:u w:val="none"/>
    </w:rPr>
  </w:style>
  <w:style w:type="paragraph" w:customStyle="1" w:styleId="SmallText">
    <w:name w:val="Small Text"/>
    <w:next w:val="NoSpacing"/>
    <w:autoRedefine/>
    <w:qFormat/>
    <w:rsid w:val="002D7343"/>
    <w:rPr>
      <w:rFonts w:ascii="Calibri" w:eastAsia="Times New Roman" w:hAnsi="Calibri" w:cs="Times New Roman"/>
      <w:sz w:val="1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529B9"/>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F529B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529B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529B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529B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
    <w:basedOn w:val="DefaultParagraphFont"/>
    <w:uiPriority w:val="7"/>
    <w:qFormat/>
    <w:rsid w:val="00F529B9"/>
    <w:rPr>
      <w:rFonts w:ascii="Times New Roman" w:hAnsi="Times New Roman" w:cs="Times New Roman"/>
      <w:b/>
      <w:i w:val="0"/>
      <w:iCs/>
      <w:sz w:val="22"/>
      <w:u w:val="single"/>
      <w:bdr w:val="single" w:sz="8" w:space="0" w:color="auto"/>
    </w:rPr>
  </w:style>
  <w:style w:type="character" w:customStyle="1" w:styleId="Heading1Char">
    <w:name w:val="Heading 1 Char"/>
    <w:aliases w:val="Pocket Char"/>
    <w:basedOn w:val="DefaultParagraphFont"/>
    <w:link w:val="Heading1"/>
    <w:uiPriority w:val="9"/>
    <w:rsid w:val="00F529B9"/>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F529B9"/>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F529B9"/>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F529B9"/>
    <w:rPr>
      <w:rFonts w:ascii="Times New Roman" w:eastAsiaTheme="majorEastAsia" w:hAnsi="Times New Roman" w:cstheme="majorBidi"/>
      <w:b/>
      <w:bCs/>
      <w:sz w:val="26"/>
      <w:szCs w:val="26"/>
    </w:rPr>
  </w:style>
  <w:style w:type="paragraph" w:styleId="NoSpacing">
    <w:name w:val="No Spacing"/>
    <w:aliases w:val="Debate Text,No Spacing11,No Spacing2,Read stuff,No Spacing111,No Spacing21,No Spacing3,No Spacing4,No Spacing1111,Tag and Cite,No Spacing51,No Spacing31,Card Format,No Spacing112"/>
    <w:uiPriority w:val="99"/>
    <w:rsid w:val="00B7143E"/>
  </w:style>
  <w:style w:type="character" w:customStyle="1" w:styleId="StyleStyleBold12pt">
    <w:name w:val="Style Style Bold + 12 pt"/>
    <w:aliases w:val="Cite,Style 13 pt Bold,Style Style Bold + 12pt,Style Style Bold,Style Style + 12 pt,Style Style Bo... +,Old Cite,Style Style Bold + 10 pt,Style Style Bold + 13 pt,tagld + 12 pt,Style Style Bold + 11 pt,tag + 12 pt,Not..."/>
    <w:basedOn w:val="DefaultParagraphFont"/>
    <w:uiPriority w:val="1"/>
    <w:qFormat/>
    <w:rsid w:val="00F529B9"/>
    <w:rPr>
      <w:b/>
      <w:sz w:val="26"/>
      <w:u w:val="none"/>
    </w:rPr>
  </w:style>
  <w:style w:type="character" w:customStyle="1" w:styleId="StyleBoldUnderline">
    <w:name w:val="Style Bold Underline"/>
    <w:aliases w:val="Underline,Style Underline,Intense Emphasis1,apple-style-span + 6 pt,Bold,Kern at 16 pt,Intense Emphasis11,Intense Emphasis111,Intense Emphasis1111,Intense Emphasis2,Intense Emphasis3,Intense Emphasis31,Intense Emphasis311,Style,c"/>
    <w:basedOn w:val="DefaultParagraphFont"/>
    <w:uiPriority w:val="1"/>
    <w:qFormat/>
    <w:rsid w:val="00F529B9"/>
    <w:rPr>
      <w:b/>
      <w:sz w:val="24"/>
      <w:u w:val="single"/>
    </w:rPr>
  </w:style>
  <w:style w:type="paragraph" w:styleId="DocumentMap">
    <w:name w:val="Document Map"/>
    <w:basedOn w:val="Normal"/>
    <w:link w:val="DocumentMapChar"/>
    <w:uiPriority w:val="99"/>
    <w:semiHidden/>
    <w:unhideWhenUsed/>
    <w:rsid w:val="00F529B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F529B9"/>
    <w:rPr>
      <w:rFonts w:ascii="Lucida Grande" w:hAnsi="Lucida Grande" w:cs="Lucida Grande"/>
    </w:rPr>
  </w:style>
  <w:style w:type="paragraph" w:styleId="ListParagraph">
    <w:name w:val="List Paragraph"/>
    <w:basedOn w:val="Normal"/>
    <w:uiPriority w:val="34"/>
    <w:qFormat/>
    <w:rsid w:val="00B7143E"/>
    <w:pPr>
      <w:ind w:left="720"/>
      <w:contextualSpacing/>
    </w:pPr>
  </w:style>
  <w:style w:type="paragraph" w:styleId="Header">
    <w:name w:val="header"/>
    <w:basedOn w:val="Normal"/>
    <w:link w:val="HeaderChar"/>
    <w:uiPriority w:val="99"/>
    <w:unhideWhenUsed/>
    <w:rsid w:val="00B7143E"/>
    <w:pPr>
      <w:tabs>
        <w:tab w:val="center" w:pos="4320"/>
        <w:tab w:val="right" w:pos="8640"/>
      </w:tabs>
    </w:pPr>
  </w:style>
  <w:style w:type="character" w:customStyle="1" w:styleId="HeaderChar">
    <w:name w:val="Header Char"/>
    <w:basedOn w:val="DefaultParagraphFont"/>
    <w:link w:val="Header"/>
    <w:uiPriority w:val="99"/>
    <w:rsid w:val="00B7143E"/>
    <w:rPr>
      <w:rFonts w:ascii="Times New Roman" w:hAnsi="Times New Roman" w:cs="Times New Roman"/>
    </w:rPr>
  </w:style>
  <w:style w:type="paragraph" w:styleId="Footer">
    <w:name w:val="footer"/>
    <w:basedOn w:val="Normal"/>
    <w:link w:val="FooterChar"/>
    <w:uiPriority w:val="99"/>
    <w:unhideWhenUsed/>
    <w:rsid w:val="00B7143E"/>
    <w:pPr>
      <w:tabs>
        <w:tab w:val="center" w:pos="4320"/>
        <w:tab w:val="right" w:pos="8640"/>
      </w:tabs>
    </w:pPr>
  </w:style>
  <w:style w:type="character" w:customStyle="1" w:styleId="FooterChar">
    <w:name w:val="Footer Char"/>
    <w:basedOn w:val="DefaultParagraphFont"/>
    <w:link w:val="Footer"/>
    <w:uiPriority w:val="99"/>
    <w:rsid w:val="00B7143E"/>
    <w:rPr>
      <w:rFonts w:ascii="Times New Roman" w:hAnsi="Times New Roman" w:cs="Times New Roman"/>
    </w:rPr>
  </w:style>
  <w:style w:type="character" w:styleId="PageNumber">
    <w:name w:val="page number"/>
    <w:basedOn w:val="DefaultParagraphFont"/>
    <w:uiPriority w:val="99"/>
    <w:semiHidden/>
    <w:unhideWhenUsed/>
    <w:rsid w:val="00B7143E"/>
  </w:style>
  <w:style w:type="character" w:styleId="Hyperlink">
    <w:name w:val="Hyperlink"/>
    <w:aliases w:val="heading 1 (block title),Important,Read,Internet Link,Card Text"/>
    <w:basedOn w:val="DefaultParagraphFont"/>
    <w:uiPriority w:val="99"/>
    <w:unhideWhenUsed/>
    <w:rsid w:val="00F529B9"/>
    <w:rPr>
      <w:color w:val="auto"/>
      <w:u w:val="none"/>
    </w:rPr>
  </w:style>
  <w:style w:type="character" w:styleId="FollowedHyperlink">
    <w:name w:val="FollowedHyperlink"/>
    <w:basedOn w:val="DefaultParagraphFont"/>
    <w:uiPriority w:val="99"/>
    <w:semiHidden/>
    <w:unhideWhenUsed/>
    <w:rsid w:val="00F529B9"/>
    <w:rPr>
      <w:color w:val="auto"/>
      <w:u w:val="none"/>
    </w:rPr>
  </w:style>
  <w:style w:type="paragraph" w:customStyle="1" w:styleId="SmallText">
    <w:name w:val="Small Text"/>
    <w:next w:val="NoSpacing"/>
    <w:autoRedefine/>
    <w:qFormat/>
    <w:rsid w:val="002D7343"/>
    <w:rPr>
      <w:rFonts w:ascii="Calibri" w:eastAsia="Times New Roman" w:hAnsi="Calibri"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866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iencedaily.com/releases/2009/03/090305131814.htm" TargetMode="External"/><Relationship Id="rId12" Type="http://schemas.openxmlformats.org/officeDocument/2006/relationships/hyperlink" Target="http://dirp4.pids.gov.ph/webportal/CDN/PUBLICATIONS/pidspn1415.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SSD:Users:ishantimals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3</Pages>
  <Words>1543</Words>
  <Characters>8798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Timalsina</dc:creator>
  <cp:keywords/>
  <dc:description/>
  <cp:lastModifiedBy>Paras Kumar</cp:lastModifiedBy>
  <cp:revision>4</cp:revision>
  <dcterms:created xsi:type="dcterms:W3CDTF">2015-02-06T06:24:00Z</dcterms:created>
  <dcterms:modified xsi:type="dcterms:W3CDTF">2015-02-07T00:07:00Z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