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1855" w14:textId="77777777" w:rsidR="00B45FE9" w:rsidRDefault="007A78FE" w:rsidP="007A78FE">
      <w:pPr>
        <w:pStyle w:val="Heading1"/>
      </w:pPr>
      <w:r>
        <w:t>TOC- Enforcement PIC</w:t>
      </w:r>
    </w:p>
    <w:p w14:paraId="1F04323F" w14:textId="77777777" w:rsidR="007A78FE" w:rsidRDefault="007A78FE" w:rsidP="007A78FE"/>
    <w:p w14:paraId="4384CB80" w14:textId="3172FE28" w:rsidR="00232E61" w:rsidRDefault="00F31ECD" w:rsidP="00F31ECD">
      <w:pPr>
        <w:pStyle w:val="Heading2"/>
      </w:pPr>
      <w:r>
        <w:lastRenderedPageBreak/>
        <w:t>1NC</w:t>
      </w:r>
    </w:p>
    <w:p w14:paraId="45F70B22" w14:textId="77777777" w:rsidR="00F31ECD" w:rsidRPr="00F31ECD" w:rsidRDefault="00F31ECD" w:rsidP="00F31ECD"/>
    <w:p w14:paraId="1DDFC171" w14:textId="475AB3F3" w:rsidR="00DE4C2A" w:rsidRDefault="00285730" w:rsidP="00D31A1E">
      <w:pPr>
        <w:pStyle w:val="Heading4"/>
      </w:pPr>
      <w:r>
        <w:t xml:space="preserve">CP Text: </w:t>
      </w:r>
      <w:proofErr w:type="spellStart"/>
      <w:r>
        <w:t>Aff</w:t>
      </w:r>
      <w:proofErr w:type="spellEnd"/>
      <w:r>
        <w:t xml:space="preserve"> actor should require employers to pay a living wage, but shouldn’t punish employers who don’t pay a living wage.</w:t>
      </w:r>
    </w:p>
    <w:p w14:paraId="2CCCC97E" w14:textId="77777777" w:rsidR="00285730" w:rsidRDefault="00285730" w:rsidP="00285730"/>
    <w:p w14:paraId="7DB64E8F" w14:textId="55F0C99F" w:rsidR="00285730" w:rsidRPr="00285730" w:rsidRDefault="00285730" w:rsidP="00285730">
      <w:pPr>
        <w:pStyle w:val="Heading4"/>
      </w:pPr>
      <w:r>
        <w:t xml:space="preserve">Solves the </w:t>
      </w:r>
      <w:proofErr w:type="spellStart"/>
      <w:r>
        <w:t>aff</w:t>
      </w:r>
      <w:proofErr w:type="spellEnd"/>
      <w:r>
        <w:t xml:space="preserve"> because firms will still be incentivized to participate in the formal sector- net benefit is greater economic output and lower unemployment because small firms are able to operate without increased labor costs</w:t>
      </w:r>
      <w:bookmarkStart w:id="0" w:name="_GoBack"/>
      <w:bookmarkEnd w:id="0"/>
    </w:p>
    <w:p w14:paraId="12BC3E55" w14:textId="5AAFFCDF" w:rsidR="00D31A1E" w:rsidRPr="00D31A1E" w:rsidRDefault="00D31A1E" w:rsidP="00D31A1E">
      <w:pPr>
        <w:pStyle w:val="Heading4"/>
        <w:rPr>
          <w:rFonts w:ascii="Calibri" w:hAnsi="Calibri"/>
          <w:sz w:val="20"/>
        </w:rPr>
      </w:pPr>
      <w:r>
        <w:t xml:space="preserve">ROGERS AND SWINNERTON 04 </w:t>
      </w:r>
      <w:r>
        <w:rPr>
          <w:rStyle w:val="StyleStyleBold12pt"/>
        </w:rPr>
        <w:t xml:space="preserve">[Carol Ann Roger (Econ professor at Georgetown) and Kenneth A. </w:t>
      </w:r>
      <w:proofErr w:type="spellStart"/>
      <w:r>
        <w:rPr>
          <w:rStyle w:val="StyleStyleBold12pt"/>
        </w:rPr>
        <w:t>Swinnerton</w:t>
      </w:r>
      <w:proofErr w:type="spellEnd"/>
      <w:r>
        <w:rPr>
          <w:rStyle w:val="StyleStyleBold12pt"/>
        </w:rPr>
        <w:t xml:space="preserve"> (U.S. </w:t>
      </w:r>
      <w:proofErr w:type="spellStart"/>
      <w:r>
        <w:rPr>
          <w:rStyle w:val="StyleStyleBold12pt"/>
        </w:rPr>
        <w:t>Dept</w:t>
      </w:r>
      <w:proofErr w:type="spellEnd"/>
      <w:r>
        <w:rPr>
          <w:rStyle w:val="StyleStyleBold12pt"/>
        </w:rPr>
        <w:t xml:space="preserve"> of Labor, Bureau of International Labor Affairs), “A Model of Informal Sector Labor Markets” December 3, 2004, DDA]</w:t>
      </w:r>
    </w:p>
    <w:p w14:paraId="6DB31A54" w14:textId="6E24FD9C" w:rsidR="00680C9E" w:rsidRPr="00A276B5" w:rsidRDefault="00867AD0" w:rsidP="00680C9E">
      <w:pPr>
        <w:rPr>
          <w:rStyle w:val="StyleBoldUnderline"/>
          <w:highlight w:val="yellow"/>
        </w:rPr>
      </w:pPr>
      <w:r w:rsidRPr="000C13E3">
        <w:rPr>
          <w:sz w:val="10"/>
        </w:rPr>
        <w:t xml:space="preserve">A small and growing literature questions these presumptions, by showing that </w:t>
      </w:r>
      <w:r w:rsidRPr="001231CA">
        <w:rPr>
          <w:rStyle w:val="StyleBoldUnderline"/>
        </w:rPr>
        <w:t>formal firms may voluntarily choose formality</w:t>
      </w:r>
      <w:r w:rsidRPr="000C13E3">
        <w:rPr>
          <w:sz w:val="10"/>
        </w:rPr>
        <w:t xml:space="preserve"> so as </w:t>
      </w:r>
      <w:r w:rsidRPr="001231CA">
        <w:rPr>
          <w:rStyle w:val="StyleBoldUnderline"/>
        </w:rPr>
        <w:t>to</w:t>
      </w:r>
      <w:r w:rsidRPr="000C13E3">
        <w:rPr>
          <w:sz w:val="10"/>
        </w:rPr>
        <w:t xml:space="preserve"> </w:t>
      </w:r>
      <w:r w:rsidRPr="001231CA">
        <w:rPr>
          <w:rStyle w:val="StyleBoldUnderline"/>
        </w:rPr>
        <w:t>receive</w:t>
      </w:r>
      <w:r w:rsidRPr="000C13E3">
        <w:rPr>
          <w:sz w:val="10"/>
        </w:rPr>
        <w:t xml:space="preserve"> some </w:t>
      </w:r>
      <w:r w:rsidRPr="001231CA">
        <w:rPr>
          <w:rStyle w:val="StyleBoldUnderline"/>
        </w:rPr>
        <w:t>positive benefit,</w:t>
      </w:r>
      <w:r w:rsidRPr="000C13E3">
        <w:rPr>
          <w:sz w:val="10"/>
        </w:rPr>
        <w:t xml:space="preserve"> and that </w:t>
      </w:r>
      <w:r w:rsidRPr="00CE0F87">
        <w:rPr>
          <w:rStyle w:val="StyleBoldUnderline"/>
          <w:highlight w:val="yellow"/>
        </w:rPr>
        <w:t>the informal sector has</w:t>
      </w:r>
      <w:r w:rsidRPr="000C13E3">
        <w:rPr>
          <w:sz w:val="10"/>
          <w:highlight w:val="yellow"/>
        </w:rPr>
        <w:t xml:space="preserve"> </w:t>
      </w:r>
      <w:r w:rsidRPr="000C13E3">
        <w:rPr>
          <w:sz w:val="10"/>
        </w:rPr>
        <w:t xml:space="preserve">some </w:t>
      </w:r>
      <w:r w:rsidRPr="001231CA">
        <w:rPr>
          <w:rStyle w:val="StyleBoldUnderline"/>
        </w:rPr>
        <w:t xml:space="preserve">intrinsic </w:t>
      </w:r>
      <w:r w:rsidRPr="00CE0F87">
        <w:rPr>
          <w:rStyle w:val="StyleBoldUnderline"/>
          <w:highlight w:val="yellow"/>
        </w:rPr>
        <w:t>value to the economy</w:t>
      </w:r>
      <w:r w:rsidRPr="001231CA">
        <w:rPr>
          <w:rStyle w:val="StyleBoldUnderline"/>
        </w:rPr>
        <w:t>.</w:t>
      </w:r>
      <w:r w:rsidRPr="000C13E3">
        <w:rPr>
          <w:sz w:val="10"/>
        </w:rPr>
        <w:t xml:space="preserve">2 Alec R. </w:t>
      </w:r>
      <w:proofErr w:type="spellStart"/>
      <w:r w:rsidRPr="000C13E3">
        <w:rPr>
          <w:sz w:val="10"/>
        </w:rPr>
        <w:t>Levenson</w:t>
      </w:r>
      <w:proofErr w:type="spellEnd"/>
      <w:r w:rsidRPr="000C13E3">
        <w:rPr>
          <w:sz w:val="10"/>
        </w:rPr>
        <w:t xml:space="preserve"> and William F. Maloney (1998) develop a model in which </w:t>
      </w:r>
      <w:r w:rsidRPr="00CE0F87">
        <w:rPr>
          <w:rStyle w:val="StyleBoldUnderline"/>
          <w:highlight w:val="yellow"/>
        </w:rPr>
        <w:t xml:space="preserve">allowing informal operation encourages the start up of new business. Over time, the most productive </w:t>
      </w:r>
      <w:r w:rsidRPr="001231CA">
        <w:rPr>
          <w:rStyle w:val="StyleBoldUnderline"/>
        </w:rPr>
        <w:t xml:space="preserve">of these new </w:t>
      </w:r>
      <w:r w:rsidRPr="00CE0F87">
        <w:rPr>
          <w:rStyle w:val="StyleBoldUnderline"/>
          <w:highlight w:val="yellow"/>
        </w:rPr>
        <w:t xml:space="preserve">firms grow and the least productive shut down. Growing firms evolve into formal firms as the benefits of formality </w:t>
      </w:r>
      <w:r w:rsidRPr="001231CA">
        <w:rPr>
          <w:rStyle w:val="StyleBoldUnderline"/>
        </w:rPr>
        <w:t xml:space="preserve">- - </w:t>
      </w:r>
      <w:r w:rsidRPr="00CE0F87">
        <w:rPr>
          <w:rStyle w:val="StyleBoldUnderline"/>
          <w:highlight w:val="yellow"/>
        </w:rPr>
        <w:t>such as access to</w:t>
      </w:r>
      <w:r w:rsidRPr="001231CA">
        <w:rPr>
          <w:rStyle w:val="StyleBoldUnderline"/>
        </w:rPr>
        <w:t xml:space="preserve"> </w:t>
      </w:r>
      <w:r w:rsidRPr="000C13E3">
        <w:rPr>
          <w:sz w:val="10"/>
        </w:rPr>
        <w:t xml:space="preserve">various </w:t>
      </w:r>
      <w:r w:rsidRPr="00CE0F87">
        <w:rPr>
          <w:rStyle w:val="StyleBoldUnderline"/>
          <w:highlight w:val="yellow"/>
        </w:rPr>
        <w:t xml:space="preserve">legal protections for </w:t>
      </w:r>
      <w:r w:rsidRPr="001231CA">
        <w:rPr>
          <w:rStyle w:val="StyleBoldUnderline"/>
        </w:rPr>
        <w:t xml:space="preserve">increasingly complex </w:t>
      </w:r>
      <w:r w:rsidRPr="00CE0F87">
        <w:rPr>
          <w:rStyle w:val="StyleBoldUnderline"/>
          <w:highlight w:val="yellow"/>
        </w:rPr>
        <w:t>business relationships</w:t>
      </w:r>
      <w:r w:rsidRPr="000C13E3">
        <w:rPr>
          <w:sz w:val="10"/>
          <w:highlight w:val="yellow"/>
        </w:rPr>
        <w:t xml:space="preserve"> </w:t>
      </w:r>
      <w:r w:rsidRPr="000C13E3">
        <w:rPr>
          <w:sz w:val="10"/>
        </w:rPr>
        <w:t xml:space="preserve">- - </w:t>
      </w:r>
      <w:r w:rsidRPr="00CE0F87">
        <w:rPr>
          <w:rStyle w:val="StyleBoldUnderline"/>
          <w:highlight w:val="yellow"/>
        </w:rPr>
        <w:t>become more important to them</w:t>
      </w:r>
      <w:r w:rsidRPr="000C13E3">
        <w:rPr>
          <w:sz w:val="10"/>
        </w:rPr>
        <w:t xml:space="preserve">. Yoshiaki </w:t>
      </w:r>
      <w:r w:rsidRPr="005059C7">
        <w:rPr>
          <w:rStyle w:val="StyleBoldUnderline"/>
        </w:rPr>
        <w:t>Azuma and</w:t>
      </w:r>
      <w:r w:rsidRPr="000C13E3">
        <w:rPr>
          <w:sz w:val="10"/>
        </w:rPr>
        <w:t xml:space="preserve"> Herschel </w:t>
      </w:r>
      <w:r w:rsidRPr="005059C7">
        <w:rPr>
          <w:rStyle w:val="StyleBoldUnderline"/>
        </w:rPr>
        <w:t>Grossman</w:t>
      </w:r>
      <w:r w:rsidRPr="000C13E3">
        <w:rPr>
          <w:sz w:val="10"/>
        </w:rPr>
        <w:t xml:space="preserve"> (2002) </w:t>
      </w:r>
      <w:r w:rsidRPr="005059C7">
        <w:rPr>
          <w:rStyle w:val="StyleBoldUnderline"/>
        </w:rPr>
        <w:t xml:space="preserve">develop a model in which </w:t>
      </w:r>
      <w:r w:rsidRPr="005059C7">
        <w:rPr>
          <w:rStyle w:val="StyleBoldUnderline"/>
          <w:highlight w:val="yellow"/>
        </w:rPr>
        <w:t>allowing an informal sector to opt out of paying taxes</w:t>
      </w:r>
      <w:r w:rsidRPr="000C13E3">
        <w:rPr>
          <w:sz w:val="10"/>
          <w:highlight w:val="yellow"/>
        </w:rPr>
        <w:t xml:space="preserve"> may </w:t>
      </w:r>
      <w:r w:rsidRPr="005059C7">
        <w:rPr>
          <w:rStyle w:val="StyleBoldUnderline"/>
          <w:highlight w:val="yellow"/>
        </w:rPr>
        <w:t>increase government revenues and aggregate output</w:t>
      </w:r>
      <w:r w:rsidRPr="00232E61">
        <w:rPr>
          <w:rStyle w:val="StyleBoldUnderline"/>
        </w:rPr>
        <w:t>.</w:t>
      </w:r>
      <w:r w:rsidRPr="000C13E3">
        <w:rPr>
          <w:sz w:val="10"/>
        </w:rPr>
        <w:t xml:space="preserve"> In their model, there is a distribution of productivity across firms and each firm has strictly private information about its own productivity. </w:t>
      </w:r>
      <w:r w:rsidRPr="00232E61">
        <w:rPr>
          <w:rStyle w:val="StyleBoldUnderline"/>
        </w:rPr>
        <w:t>A high tax coupled with the provision of government services only to firms that choose to pay can be</w:t>
      </w:r>
      <w:r w:rsidRPr="000C13E3">
        <w:rPr>
          <w:sz w:val="10"/>
        </w:rPr>
        <w:t xml:space="preserve"> Pareto </w:t>
      </w:r>
      <w:r w:rsidRPr="00232E61">
        <w:rPr>
          <w:rStyle w:val="StyleBoldUnderline"/>
        </w:rPr>
        <w:t>superior to a lower tax forcibly levied on all firms.</w:t>
      </w:r>
      <w:r w:rsidR="000437A3">
        <w:rPr>
          <w:rStyle w:val="StyleBoldUnderline"/>
        </w:rPr>
        <w:t xml:space="preserve"> </w:t>
      </w:r>
      <w:r w:rsidRPr="000C13E3">
        <w:rPr>
          <w:sz w:val="10"/>
        </w:rPr>
        <w:t xml:space="preserve">Our paper expands this literature by showing that </w:t>
      </w:r>
      <w:r w:rsidRPr="005059C7">
        <w:rPr>
          <w:rStyle w:val="StyleBoldUnderline"/>
          <w:highlight w:val="yellow"/>
        </w:rPr>
        <w:t>when labor regulation is coupled with voluntary compliance that allows firms to self-select without penalty into the formal and informal sectors, this can lead to Pareto-improving market outcomes</w:t>
      </w:r>
      <w:r w:rsidRPr="00232E61">
        <w:rPr>
          <w:rStyle w:val="StyleBoldUnderline"/>
        </w:rPr>
        <w:t>.</w:t>
      </w:r>
      <w:r w:rsidRPr="000C13E3">
        <w:rPr>
          <w:sz w:val="10"/>
        </w:rPr>
        <w:t xml:space="preserve"> We work with a simple search model. It is a known feature of search (e.g., Kenneth A. </w:t>
      </w:r>
      <w:proofErr w:type="spellStart"/>
      <w:r w:rsidRPr="000C13E3">
        <w:rPr>
          <w:sz w:val="10"/>
        </w:rPr>
        <w:t>Swinnerton</w:t>
      </w:r>
      <w:proofErr w:type="spellEnd"/>
      <w:r w:rsidRPr="000C13E3">
        <w:rPr>
          <w:sz w:val="10"/>
        </w:rPr>
        <w:t xml:space="preserve">, 1996; Gerard J. van der Berg, 2003) and other models giving firms some degree of labor-market monopsony power (e.g., George Stigler, 1946; V. </w:t>
      </w:r>
      <w:proofErr w:type="spellStart"/>
      <w:r w:rsidRPr="000C13E3">
        <w:rPr>
          <w:sz w:val="10"/>
        </w:rPr>
        <w:t>Bhaskar</w:t>
      </w:r>
      <w:proofErr w:type="spellEnd"/>
      <w:r w:rsidRPr="000C13E3">
        <w:rPr>
          <w:sz w:val="10"/>
        </w:rPr>
        <w:t xml:space="preserve"> and Theodore To, 1999), that the imposition of universally enforced labor-cost-increasing regulation can have beneficial effects on aggregate welfare. What has yet to be clarified is the fact that </w:t>
      </w:r>
      <w:r w:rsidRPr="00232E61">
        <w:rPr>
          <w:rStyle w:val="StyleBoldUnderline"/>
        </w:rPr>
        <w:t xml:space="preserve">there are instances when </w:t>
      </w:r>
      <w:r w:rsidRPr="000C13E3">
        <w:rPr>
          <w:rStyle w:val="StyleBoldUnderline"/>
        </w:rPr>
        <w:t>allowing firms to choose—without penalty—about whether or not to comply with this regulation can yield an even greater benefit.</w:t>
      </w:r>
      <w:r w:rsidR="001F75DF" w:rsidRPr="000C13E3">
        <w:rPr>
          <w:rStyle w:val="StyleBoldUnderline"/>
        </w:rPr>
        <w:t xml:space="preserve"> </w:t>
      </w:r>
      <w:r w:rsidRPr="000C13E3">
        <w:rPr>
          <w:sz w:val="10"/>
        </w:rPr>
        <w:t xml:space="preserve">In our model, </w:t>
      </w:r>
      <w:r w:rsidRPr="00A442A3">
        <w:rPr>
          <w:rStyle w:val="StyleBoldUnderline"/>
          <w:highlight w:val="yellow"/>
        </w:rPr>
        <w:t>firms differ in productivity, and there are diminishing returns to labor.</w:t>
      </w:r>
      <w:r w:rsidRPr="00A442A3">
        <w:rPr>
          <w:rStyle w:val="StyleBoldUnderline"/>
        </w:rPr>
        <w:t xml:space="preserve"> Random search in the labor market by homogeneous workers implies that </w:t>
      </w:r>
      <w:r w:rsidRPr="00A442A3">
        <w:rPr>
          <w:rStyle w:val="StyleBoldUnderline"/>
          <w:highlight w:val="yellow"/>
        </w:rPr>
        <w:t xml:space="preserve">in the absence of </w:t>
      </w:r>
      <w:r w:rsidRPr="000C13E3">
        <w:t>any</w:t>
      </w:r>
      <w:r w:rsidRPr="000C13E3">
        <w:rPr>
          <w:rStyle w:val="StyleBoldUnderline"/>
        </w:rPr>
        <w:t xml:space="preserve"> </w:t>
      </w:r>
      <w:r w:rsidRPr="00A442A3">
        <w:rPr>
          <w:rStyle w:val="StyleBoldUnderline"/>
          <w:highlight w:val="yellow"/>
        </w:rPr>
        <w:t>labor standards the most productive firms face chronic labor shortages. The government sets labor standards and publicizes the identity of firms that choose to</w:t>
      </w:r>
      <w:r w:rsidR="00680C9E" w:rsidRPr="00A442A3">
        <w:rPr>
          <w:rStyle w:val="StyleBoldUnderline"/>
          <w:highlight w:val="yellow"/>
        </w:rPr>
        <w:t xml:space="preserve"> comply with the standards. The government does nothing to penalize firms that do not comply. This combination of labor standards and </w:t>
      </w:r>
      <w:r w:rsidR="00680C9E" w:rsidRPr="000C13E3">
        <w:rPr>
          <w:rStyle w:val="StyleBoldUnderline"/>
        </w:rPr>
        <w:t xml:space="preserve">an “enforcement policy” of </w:t>
      </w:r>
      <w:r w:rsidR="00680C9E" w:rsidRPr="00A442A3">
        <w:rPr>
          <w:rStyle w:val="StyleBoldUnderline"/>
          <w:highlight w:val="yellow"/>
        </w:rPr>
        <w:t xml:space="preserve">identifying the firms that </w:t>
      </w:r>
      <w:r w:rsidR="00680C9E" w:rsidRPr="00830517">
        <w:rPr>
          <w:rStyle w:val="StyleBoldUnderline"/>
          <w:highlight w:val="yellow"/>
        </w:rPr>
        <w:t>comply can raise aggregate output and employment through two channels. First, the most productive firms will</w:t>
      </w:r>
      <w:r w:rsidR="00680C9E" w:rsidRPr="00830517">
        <w:rPr>
          <w:rStyle w:val="StyleBoldUnderline"/>
        </w:rPr>
        <w:t xml:space="preserve"> choose to </w:t>
      </w:r>
      <w:r w:rsidR="00680C9E" w:rsidRPr="00AF0130">
        <w:rPr>
          <w:rStyle w:val="StyleBoldUnderline"/>
          <w:highlight w:val="yellow"/>
        </w:rPr>
        <w:t xml:space="preserve">comply, because </w:t>
      </w:r>
      <w:r w:rsidR="00680C9E" w:rsidRPr="00830517">
        <w:rPr>
          <w:rStyle w:val="StyleBoldUnderline"/>
          <w:highlight w:val="yellow"/>
        </w:rPr>
        <w:t>doing so relieves the labor shortage</w:t>
      </w:r>
      <w:r w:rsidR="00680C9E" w:rsidRPr="000C13E3">
        <w:rPr>
          <w:sz w:val="10"/>
        </w:rPr>
        <w:t xml:space="preserve"> they face. </w:t>
      </w:r>
      <w:r w:rsidR="00680C9E" w:rsidRPr="00A276B5">
        <w:rPr>
          <w:rStyle w:val="StyleBoldUnderline"/>
          <w:highlight w:val="yellow"/>
        </w:rPr>
        <w:t>Once they have been identified as formal firms, workers will look for jobs with them first. This will increase</w:t>
      </w:r>
      <w:r w:rsidR="00680C9E" w:rsidRPr="000C13E3">
        <w:rPr>
          <w:sz w:val="10"/>
          <w:highlight w:val="yellow"/>
        </w:rPr>
        <w:t xml:space="preserve"> </w:t>
      </w:r>
      <w:r w:rsidR="00680C9E" w:rsidRPr="000C13E3">
        <w:rPr>
          <w:sz w:val="10"/>
        </w:rPr>
        <w:t xml:space="preserve">the </w:t>
      </w:r>
      <w:r w:rsidR="00680C9E" w:rsidRPr="00B83A57">
        <w:rPr>
          <w:rStyle w:val="StyleBoldUnderline"/>
        </w:rPr>
        <w:t xml:space="preserve">average </w:t>
      </w:r>
      <w:r w:rsidR="00680C9E" w:rsidRPr="00A276B5">
        <w:rPr>
          <w:rStyle w:val="StyleBoldUnderline"/>
          <w:highlight w:val="yellow"/>
        </w:rPr>
        <w:t>productivity of the workforce, as a greater number of workers will go to the more productive firms. Second, the enforcement policy allows less productive firms, which do not face labor shortages, to opt out of compliance</w:t>
      </w:r>
      <w:r w:rsidR="00680C9E" w:rsidRPr="00B83A57">
        <w:rPr>
          <w:rStyle w:val="StyleBoldUnderline"/>
        </w:rPr>
        <w:t>.</w:t>
      </w:r>
      <w:r w:rsidR="00680C9E" w:rsidRPr="000C13E3">
        <w:rPr>
          <w:sz w:val="10"/>
        </w:rPr>
        <w:t xml:space="preserve"> For these firms, </w:t>
      </w:r>
      <w:r w:rsidR="00680C9E" w:rsidRPr="00B83A57">
        <w:rPr>
          <w:rStyle w:val="StyleBoldUnderline"/>
        </w:rPr>
        <w:t xml:space="preserve">the </w:t>
      </w:r>
      <w:r w:rsidR="00680C9E" w:rsidRPr="00A276B5">
        <w:rPr>
          <w:rStyle w:val="StyleBoldUnderline"/>
          <w:highlight w:val="yellow"/>
        </w:rPr>
        <w:t xml:space="preserve">increased labor costs associated with compliance with labor standards would have the </w:t>
      </w:r>
      <w:r w:rsidR="00680C9E" w:rsidRPr="000C13E3">
        <w:rPr>
          <w:sz w:val="10"/>
        </w:rPr>
        <w:t xml:space="preserve">typical neoclassical </w:t>
      </w:r>
      <w:r w:rsidR="00680C9E" w:rsidRPr="00A276B5">
        <w:rPr>
          <w:rStyle w:val="StyleBoldUnderline"/>
          <w:highlight w:val="yellow"/>
        </w:rPr>
        <w:t>effect of reducing employment and output. These firms provide “</w:t>
      </w:r>
      <w:proofErr w:type="spellStart"/>
      <w:r w:rsidR="00680C9E" w:rsidRPr="00A276B5">
        <w:rPr>
          <w:rStyle w:val="StyleBoldUnderline"/>
          <w:highlight w:val="yellow"/>
        </w:rPr>
        <w:t>fall-back</w:t>
      </w:r>
      <w:proofErr w:type="spellEnd"/>
      <w:r w:rsidR="00680C9E" w:rsidRPr="00A276B5">
        <w:rPr>
          <w:rStyle w:val="StyleBoldUnderline"/>
          <w:highlight w:val="yellow"/>
        </w:rPr>
        <w:t>” jobs for searchers who have yet to find formal- sector jobs. Allowing the terms of</w:t>
      </w:r>
      <w:r w:rsidR="00680C9E" w:rsidRPr="000C13E3">
        <w:rPr>
          <w:sz w:val="10"/>
          <w:highlight w:val="yellow"/>
        </w:rPr>
        <w:t xml:space="preserve"> </w:t>
      </w:r>
      <w:r w:rsidR="00680C9E" w:rsidRPr="00A276B5">
        <w:rPr>
          <w:rStyle w:val="StyleBoldUnderline"/>
          <w:highlight w:val="yellow"/>
        </w:rPr>
        <w:t>this employment to be less desirable than at formal- sector firms is better from an aggregate standpoint than regulating the informal sector away by enforcing 100% compliance with labor standards.</w:t>
      </w:r>
    </w:p>
    <w:p w14:paraId="5A4174B2" w14:textId="77777777" w:rsidR="00E53903" w:rsidRDefault="00E53903" w:rsidP="00680C9E">
      <w:pPr>
        <w:rPr>
          <w:rStyle w:val="StyleBoldUnderline"/>
        </w:rPr>
      </w:pPr>
    </w:p>
    <w:p w14:paraId="1C26BCA3" w14:textId="77777777" w:rsidR="00E53903" w:rsidRPr="00E53903" w:rsidRDefault="00E53903" w:rsidP="00680C9E">
      <w:pPr>
        <w:rPr>
          <w:rStyle w:val="StyleBoldUnderline"/>
        </w:rPr>
      </w:pPr>
    </w:p>
    <w:p w14:paraId="7F4D463F" w14:textId="77777777" w:rsidR="00867AD0" w:rsidRPr="007A78FE" w:rsidRDefault="00867AD0" w:rsidP="007A78FE"/>
    <w:sectPr w:rsidR="00867AD0" w:rsidRPr="007A78FE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EA3E2" w14:textId="77777777" w:rsidR="00285730" w:rsidRDefault="00285730" w:rsidP="00E46E7E">
      <w:r>
        <w:separator/>
      </w:r>
    </w:p>
  </w:endnote>
  <w:endnote w:type="continuationSeparator" w:id="0">
    <w:p w14:paraId="64BF6430" w14:textId="77777777" w:rsidR="00285730" w:rsidRDefault="0028573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CED1A" w14:textId="77777777" w:rsidR="00285730" w:rsidRDefault="00285730" w:rsidP="00E46E7E">
      <w:r>
        <w:separator/>
      </w:r>
    </w:p>
  </w:footnote>
  <w:footnote w:type="continuationSeparator" w:id="0">
    <w:p w14:paraId="19C1CA3B" w14:textId="77777777" w:rsidR="00285730" w:rsidRDefault="0028573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FE"/>
    <w:rsid w:val="000023C3"/>
    <w:rsid w:val="000140EC"/>
    <w:rsid w:val="00016A35"/>
    <w:rsid w:val="000437A3"/>
    <w:rsid w:val="00056339"/>
    <w:rsid w:val="000614A1"/>
    <w:rsid w:val="000643D0"/>
    <w:rsid w:val="000941F8"/>
    <w:rsid w:val="000C13E3"/>
    <w:rsid w:val="000C16B3"/>
    <w:rsid w:val="000D5AE3"/>
    <w:rsid w:val="0011173C"/>
    <w:rsid w:val="001231CA"/>
    <w:rsid w:val="00127B06"/>
    <w:rsid w:val="001408C0"/>
    <w:rsid w:val="00143FD7"/>
    <w:rsid w:val="001463FB"/>
    <w:rsid w:val="001710E3"/>
    <w:rsid w:val="00171145"/>
    <w:rsid w:val="00186DB7"/>
    <w:rsid w:val="001D7626"/>
    <w:rsid w:val="001F75DF"/>
    <w:rsid w:val="00232E61"/>
    <w:rsid w:val="002613DA"/>
    <w:rsid w:val="00285730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25449"/>
    <w:rsid w:val="00347A23"/>
    <w:rsid w:val="00357719"/>
    <w:rsid w:val="00374144"/>
    <w:rsid w:val="003B3EC7"/>
    <w:rsid w:val="003B71A3"/>
    <w:rsid w:val="003F42AF"/>
    <w:rsid w:val="00412F6D"/>
    <w:rsid w:val="0042635A"/>
    <w:rsid w:val="00445284"/>
    <w:rsid w:val="00456459"/>
    <w:rsid w:val="00466B6F"/>
    <w:rsid w:val="00476C42"/>
    <w:rsid w:val="004B3188"/>
    <w:rsid w:val="004B3DB3"/>
    <w:rsid w:val="004C63B5"/>
    <w:rsid w:val="004D461E"/>
    <w:rsid w:val="005059C7"/>
    <w:rsid w:val="00517479"/>
    <w:rsid w:val="005A0BE5"/>
    <w:rsid w:val="005C0E1F"/>
    <w:rsid w:val="005E0D2B"/>
    <w:rsid w:val="005E2C99"/>
    <w:rsid w:val="005F56A9"/>
    <w:rsid w:val="00672258"/>
    <w:rsid w:val="0067575B"/>
    <w:rsid w:val="00680C9E"/>
    <w:rsid w:val="00692C26"/>
    <w:rsid w:val="006B667F"/>
    <w:rsid w:val="006B69D9"/>
    <w:rsid w:val="006F2D3D"/>
    <w:rsid w:val="00700835"/>
    <w:rsid w:val="00726F87"/>
    <w:rsid w:val="007333B9"/>
    <w:rsid w:val="00791B7D"/>
    <w:rsid w:val="007A3515"/>
    <w:rsid w:val="007A78FE"/>
    <w:rsid w:val="007D7924"/>
    <w:rsid w:val="007E470C"/>
    <w:rsid w:val="007E5F71"/>
    <w:rsid w:val="00821415"/>
    <w:rsid w:val="00830517"/>
    <w:rsid w:val="0083768F"/>
    <w:rsid w:val="00867AD0"/>
    <w:rsid w:val="008B2E27"/>
    <w:rsid w:val="0091595A"/>
    <w:rsid w:val="009165EA"/>
    <w:rsid w:val="009829F2"/>
    <w:rsid w:val="00993F61"/>
    <w:rsid w:val="009B0746"/>
    <w:rsid w:val="009C198B"/>
    <w:rsid w:val="009C354D"/>
    <w:rsid w:val="009C4122"/>
    <w:rsid w:val="009D09C4"/>
    <w:rsid w:val="009D207E"/>
    <w:rsid w:val="009E5822"/>
    <w:rsid w:val="009E691A"/>
    <w:rsid w:val="00A074CB"/>
    <w:rsid w:val="00A276B5"/>
    <w:rsid w:val="00A369C4"/>
    <w:rsid w:val="00A442A3"/>
    <w:rsid w:val="00A47986"/>
    <w:rsid w:val="00A91A24"/>
    <w:rsid w:val="00AC0E99"/>
    <w:rsid w:val="00AF0130"/>
    <w:rsid w:val="00AF1E67"/>
    <w:rsid w:val="00AF5046"/>
    <w:rsid w:val="00AF70D4"/>
    <w:rsid w:val="00B0794C"/>
    <w:rsid w:val="00B169A1"/>
    <w:rsid w:val="00B32148"/>
    <w:rsid w:val="00B33E0C"/>
    <w:rsid w:val="00B45FE9"/>
    <w:rsid w:val="00B55D49"/>
    <w:rsid w:val="00B65E97"/>
    <w:rsid w:val="00B83A57"/>
    <w:rsid w:val="00B84180"/>
    <w:rsid w:val="00BE63EA"/>
    <w:rsid w:val="00C42A3C"/>
    <w:rsid w:val="00CD2C6D"/>
    <w:rsid w:val="00CE0F87"/>
    <w:rsid w:val="00CF100D"/>
    <w:rsid w:val="00CF1A0F"/>
    <w:rsid w:val="00D31A1E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4C2A"/>
    <w:rsid w:val="00DE627C"/>
    <w:rsid w:val="00DF1850"/>
    <w:rsid w:val="00E46E7E"/>
    <w:rsid w:val="00E53903"/>
    <w:rsid w:val="00E95631"/>
    <w:rsid w:val="00F1173B"/>
    <w:rsid w:val="00F31ECD"/>
    <w:rsid w:val="00F45F2E"/>
    <w:rsid w:val="00FA538E"/>
    <w:rsid w:val="00FB2D28"/>
    <w:rsid w:val="00FB423B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F3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173C"/>
    <w:pPr>
      <w:jc w:val="both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11173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11173C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11173C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11173C"/>
    <w:pPr>
      <w:keepNext/>
      <w:keepLines/>
      <w:contextualSpacing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11173C"/>
    <w:rPr>
      <w:rFonts w:ascii="Times" w:hAnsi="Times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11173C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11173C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11173C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11173C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11173C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11173C"/>
    <w:rPr>
      <w:rFonts w:ascii="Calibri" w:hAnsi="Calibri"/>
      <w:b w:val="0"/>
      <w:i w:val="0"/>
      <w:sz w:val="20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11173C"/>
    <w:rPr>
      <w:rFonts w:ascii="Calibri" w:hAnsi="Calibri"/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173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173C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111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3C"/>
    <w:rPr>
      <w:rFonts w:ascii="Times" w:hAnsi="Times"/>
      <w:sz w:val="22"/>
    </w:rPr>
  </w:style>
  <w:style w:type="paragraph" w:styleId="Footer">
    <w:name w:val="footer"/>
    <w:basedOn w:val="Normal"/>
    <w:link w:val="FooterChar"/>
    <w:uiPriority w:val="99"/>
    <w:unhideWhenUsed/>
    <w:rsid w:val="0011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3C"/>
    <w:rPr>
      <w:rFonts w:ascii="Times" w:hAnsi="Times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1173C"/>
  </w:style>
  <w:style w:type="character" w:styleId="Hyperlink">
    <w:name w:val="Hyperlink"/>
    <w:basedOn w:val="DefaultParagraphFont"/>
    <w:uiPriority w:val="99"/>
    <w:unhideWhenUsed/>
    <w:rsid w:val="00111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173C"/>
    <w:pPr>
      <w:jc w:val="both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11173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11173C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11173C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11173C"/>
    <w:pPr>
      <w:keepNext/>
      <w:keepLines/>
      <w:contextualSpacing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11173C"/>
    <w:rPr>
      <w:rFonts w:ascii="Times" w:hAnsi="Times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11173C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11173C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11173C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11173C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11173C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11173C"/>
    <w:rPr>
      <w:rFonts w:ascii="Calibri" w:hAnsi="Calibri"/>
      <w:b w:val="0"/>
      <w:i w:val="0"/>
      <w:sz w:val="20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11173C"/>
    <w:rPr>
      <w:rFonts w:ascii="Calibri" w:hAnsi="Calibri"/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173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173C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111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3C"/>
    <w:rPr>
      <w:rFonts w:ascii="Times" w:hAnsi="Times"/>
      <w:sz w:val="22"/>
    </w:rPr>
  </w:style>
  <w:style w:type="paragraph" w:styleId="Footer">
    <w:name w:val="footer"/>
    <w:basedOn w:val="Normal"/>
    <w:link w:val="FooterChar"/>
    <w:uiPriority w:val="99"/>
    <w:unhideWhenUsed/>
    <w:rsid w:val="0011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3C"/>
    <w:rPr>
      <w:rFonts w:ascii="Times" w:hAnsi="Times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1173C"/>
  </w:style>
  <w:style w:type="character" w:styleId="Hyperlink">
    <w:name w:val="Hyperlink"/>
    <w:basedOn w:val="DefaultParagraphFont"/>
    <w:uiPriority w:val="99"/>
    <w:unhideWhenUsed/>
    <w:rsid w:val="00111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alessandr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1" ma:contentTypeDescription="Create a new document." ma:contentTypeScope="" ma:versionID="b1c4dd3651af7c02f287c429a5abe6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799D0-7F22-4040-A242-DB17D1E0EA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73E28-685D-4D29-99C2-299804058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AC6A2-C1B3-48F4-BECF-81A98D717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21</TotalTime>
  <Pages>2</Pages>
  <Words>617</Words>
  <Characters>3522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Alessandro</dc:creator>
  <cp:keywords/>
  <dc:description/>
  <cp:lastModifiedBy>Daniel Alessandro</cp:lastModifiedBy>
  <cp:revision>17</cp:revision>
  <dcterms:created xsi:type="dcterms:W3CDTF">2015-04-24T16:24:00Z</dcterms:created>
  <dcterms:modified xsi:type="dcterms:W3CDTF">2015-04-29T04:18:00Z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