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10E09" w14:textId="18243841" w:rsidR="00C76BB5" w:rsidRDefault="00C76BB5" w:rsidP="00C76BB5">
      <w:pPr>
        <w:pStyle w:val="Heading3"/>
      </w:pPr>
      <w:r>
        <w:t>Extra T</w:t>
      </w:r>
    </w:p>
    <w:p w14:paraId="01A24800" w14:textId="7F0C8034" w:rsidR="00BE1FD6" w:rsidRDefault="00C76BB5" w:rsidP="00BE1FD6">
      <w:pPr>
        <w:pStyle w:val="Heading4"/>
        <w:numPr>
          <w:ilvl w:val="0"/>
          <w:numId w:val="14"/>
        </w:numPr>
      </w:pPr>
      <w:r>
        <w:t xml:space="preserve">Interpretation: </w:t>
      </w:r>
      <w:r w:rsidR="00BE1FD6">
        <w:t>the affirmative debater must only defend a handgun ban. They may not defend compensation for individuals whose guns are confiscated.</w:t>
      </w:r>
    </w:p>
    <w:p w14:paraId="79B710CD" w14:textId="049797E2" w:rsidR="00BE1FD6" w:rsidRDefault="00BE1FD6" w:rsidP="00BE1FD6">
      <w:r>
        <w:t>B:</w:t>
      </w:r>
    </w:p>
    <w:p w14:paraId="1D9F5549" w14:textId="108D788A" w:rsidR="00BE1FD6" w:rsidRDefault="00BE1FD6" w:rsidP="00BE1FD6">
      <w:r>
        <w:t>C.</w:t>
      </w:r>
    </w:p>
    <w:p w14:paraId="403B22B0" w14:textId="643E7CDE" w:rsidR="00755538" w:rsidRPr="00BE1FD6" w:rsidRDefault="00BE1FD6" w:rsidP="00755538">
      <w:r>
        <w:t xml:space="preserve">Precision: </w:t>
      </w:r>
      <w:r w:rsidR="00755538" w:rsidRPr="00755538">
        <w:rPr>
          <w:rStyle w:val="StyleUnderline"/>
        </w:rPr>
        <w:t>M</w:t>
      </w:r>
      <w:r w:rsidR="00755538">
        <w:rPr>
          <w:rStyle w:val="StyleUnderline"/>
        </w:rPr>
        <w:t xml:space="preserve">erriam </w:t>
      </w:r>
      <w:r w:rsidR="00755538" w:rsidRPr="00755538">
        <w:rPr>
          <w:rStyle w:val="StyleUnderline"/>
        </w:rPr>
        <w:t>Webster defines “ban”</w:t>
      </w:r>
      <w:r w:rsidR="00755538" w:rsidRPr="00755538">
        <w:rPr>
          <w:sz w:val="16"/>
        </w:rPr>
        <w:t xml:space="preserve"> http://www.merriam-webster.com/dictionary/ban</w:t>
      </w:r>
    </w:p>
    <w:p w14:paraId="1555F191" w14:textId="23654D1B" w:rsidR="00C76BB5" w:rsidRPr="00755538" w:rsidRDefault="00755538" w:rsidP="00755538">
      <w:pPr>
        <w:rPr>
          <w:sz w:val="16"/>
        </w:rPr>
      </w:pPr>
      <w:proofErr w:type="gramStart"/>
      <w:r w:rsidRPr="002B5F50">
        <w:rPr>
          <w:b/>
          <w:u w:val="single"/>
        </w:rPr>
        <w:t>to</w:t>
      </w:r>
      <w:proofErr w:type="gramEnd"/>
      <w:r w:rsidRPr="002B5F50">
        <w:rPr>
          <w:b/>
          <w:u w:val="single"/>
        </w:rPr>
        <w:t xml:space="preserve"> prohibit especially by legal means </w:t>
      </w:r>
      <w:r w:rsidRPr="002B5F50">
        <w:rPr>
          <w:sz w:val="16"/>
        </w:rPr>
        <w:t xml:space="preserve">&lt;ban discrimination&gt;; also :  to prohibit </w:t>
      </w:r>
      <w:r w:rsidRPr="002B5F50">
        <w:rPr>
          <w:b/>
          <w:u w:val="single"/>
        </w:rPr>
        <w:t>the use, performance, or distribution of </w:t>
      </w:r>
      <w:r w:rsidRPr="002B5F50">
        <w:rPr>
          <w:sz w:val="16"/>
        </w:rPr>
        <w:t>&lt;ban a book&gt; &lt;ban a pesticide&gt;</w:t>
      </w:r>
    </w:p>
    <w:p w14:paraId="3519FA03" w14:textId="4C493580" w:rsidR="002B5F50" w:rsidRDefault="00755538" w:rsidP="00755538">
      <w:pPr>
        <w:pStyle w:val="Heading4"/>
      </w:pPr>
      <w:r>
        <w:t>Banning guns does not mandate compensation- that’s an external policy option. Court precedents prove</w:t>
      </w:r>
    </w:p>
    <w:p w14:paraId="40990D9F" w14:textId="77777777" w:rsidR="002B5F50" w:rsidRPr="002B5F50" w:rsidRDefault="002B5F50" w:rsidP="002B5F50">
      <w:pPr>
        <w:rPr>
          <w:sz w:val="16"/>
        </w:rPr>
      </w:pPr>
      <w:r w:rsidRPr="002B5F50">
        <w:rPr>
          <w:rStyle w:val="Style13ptBold"/>
        </w:rPr>
        <w:t>SGL 13</w:t>
      </w:r>
      <w:r w:rsidRPr="002B5F50">
        <w:rPr>
          <w:sz w:val="16"/>
        </w:rPr>
        <w:t xml:space="preserve">. Claiming </w:t>
      </w:r>
      <w:proofErr w:type="gramStart"/>
      <w:r w:rsidRPr="002B5F50">
        <w:rPr>
          <w:sz w:val="16"/>
        </w:rPr>
        <w:t>That</w:t>
      </w:r>
      <w:proofErr w:type="gramEnd"/>
      <w:r w:rsidRPr="002B5F50">
        <w:rPr>
          <w:sz w:val="16"/>
        </w:rPr>
        <w:t>, 9-9-2013, "The Takings Clause: Not An Obstacle To Smart Gun Laws," Law Center to Prevent Gun Violence, http://smartgunlaws.org/the-takings-clause-not-an-obstacle-to-smart-gun-laws/, accessed 2-3-2016. NP.</w:t>
      </w:r>
    </w:p>
    <w:p w14:paraId="51EBFEFF" w14:textId="4EB17D1D" w:rsidR="002B5F50" w:rsidRDefault="002B5F50" w:rsidP="00A47C3C">
      <w:r w:rsidRPr="002B5F50">
        <w:rPr>
          <w:rStyle w:val="StyleUnderline"/>
          <w:highlight w:val="cyan"/>
        </w:rPr>
        <w:t>Laws banning dangerous guns</w:t>
      </w:r>
      <w:r w:rsidRPr="002B5F50">
        <w:rPr>
          <w:sz w:val="16"/>
        </w:rPr>
        <w:t>—such as assault weapons—</w:t>
      </w:r>
      <w:r w:rsidRPr="002B5F50">
        <w:rPr>
          <w:rStyle w:val="StyleUnderline"/>
        </w:rPr>
        <w:t>and large capacity ammunition magazines a</w:t>
      </w:r>
      <w:r w:rsidRPr="002B5F50">
        <w:rPr>
          <w:sz w:val="16"/>
        </w:rPr>
        <w:t xml:space="preserve">re not takings </w:t>
      </w:r>
      <w:r w:rsidRPr="002B5F50">
        <w:rPr>
          <w:rStyle w:val="StyleUnderline"/>
        </w:rPr>
        <w:t xml:space="preserve">and </w:t>
      </w:r>
      <w:r w:rsidRPr="002B5F50">
        <w:rPr>
          <w:rStyle w:val="StyleUnderline"/>
          <w:highlight w:val="cyan"/>
        </w:rPr>
        <w:t>do not require compensation.  The Supreme Court and lower courts have</w:t>
      </w:r>
      <w:r w:rsidRPr="002B5F50">
        <w:rPr>
          <w:rStyle w:val="StyleUnderline"/>
        </w:rPr>
        <w:t xml:space="preserve"> </w:t>
      </w:r>
      <w:r w:rsidRPr="002B5F50">
        <w:rPr>
          <w:sz w:val="16"/>
        </w:rPr>
        <w:t>long</w:t>
      </w:r>
      <w:r w:rsidRPr="002B5F50">
        <w:rPr>
          <w:rStyle w:val="StyleUnderline"/>
        </w:rPr>
        <w:t xml:space="preserve"> </w:t>
      </w:r>
      <w:r w:rsidRPr="002B5F50">
        <w:rPr>
          <w:rStyle w:val="StyleUnderline"/>
          <w:highlight w:val="cyan"/>
        </w:rPr>
        <w:t>made a distinction between takings of property for public usage</w:t>
      </w:r>
      <w:r w:rsidRPr="002B5F50">
        <w:rPr>
          <w:rStyle w:val="StyleUnderline"/>
        </w:rPr>
        <w:t xml:space="preserve">, which are takings, </w:t>
      </w:r>
      <w:r w:rsidRPr="002B5F50">
        <w:rPr>
          <w:rStyle w:val="StyleUnderline"/>
          <w:highlight w:val="cyan"/>
        </w:rPr>
        <w:t>and legitimate exercises of state police power that result in a ban or limitation on property that is a threat to public safety or health</w:t>
      </w:r>
      <w:r w:rsidRPr="002B5F50">
        <w:rPr>
          <w:sz w:val="16"/>
        </w:rPr>
        <w:t xml:space="preserve">, which are not takings.3 Recognizing this distinction, </w:t>
      </w:r>
      <w:r w:rsidRPr="002B5F50">
        <w:rPr>
          <w:rStyle w:val="StyleUnderline"/>
          <w:highlight w:val="cyan"/>
        </w:rPr>
        <w:t>several courts have rejected Takings Clause challenges to laws banning the possession of dangerous weapons</w:t>
      </w:r>
      <w:r w:rsidRPr="002B5F50">
        <w:rPr>
          <w:sz w:val="16"/>
        </w:rPr>
        <w:t xml:space="preserve">.  For example, </w:t>
      </w:r>
      <w:r w:rsidRPr="002B5F50">
        <w:rPr>
          <w:rStyle w:val="StyleUnderline"/>
        </w:rPr>
        <w:t xml:space="preserve">in </w:t>
      </w:r>
      <w:proofErr w:type="spellStart"/>
      <w:r w:rsidRPr="002B5F50">
        <w:rPr>
          <w:rStyle w:val="StyleUnderline"/>
        </w:rPr>
        <w:t>Fesjian</w:t>
      </w:r>
      <w:proofErr w:type="spellEnd"/>
      <w:r w:rsidRPr="002B5F50">
        <w:rPr>
          <w:rStyle w:val="StyleUnderline"/>
        </w:rPr>
        <w:t xml:space="preserve"> v. Jefferson, the District of Columbia Court of Appeals upheld a </w:t>
      </w:r>
      <w:r w:rsidRPr="002B5F50">
        <w:rPr>
          <w:sz w:val="16"/>
        </w:rPr>
        <w:t xml:space="preserve">District of Columbia </w:t>
      </w:r>
      <w:r w:rsidRPr="002B5F50">
        <w:rPr>
          <w:rStyle w:val="StyleUnderline"/>
        </w:rPr>
        <w:t xml:space="preserve">law that effectively banned machine </w:t>
      </w:r>
      <w:proofErr w:type="gramStart"/>
      <w:r w:rsidRPr="002B5F50">
        <w:rPr>
          <w:rStyle w:val="StyleUnderline"/>
        </w:rPr>
        <w:t>guns</w:t>
      </w:r>
      <w:r w:rsidRPr="002B5F50">
        <w:rPr>
          <w:sz w:val="16"/>
        </w:rPr>
        <w:t xml:space="preserve">.4  </w:t>
      </w:r>
      <w:r w:rsidRPr="002B5F50">
        <w:rPr>
          <w:rStyle w:val="StyleUnderline"/>
        </w:rPr>
        <w:t>The</w:t>
      </w:r>
      <w:proofErr w:type="gramEnd"/>
      <w:r w:rsidRPr="002B5F50">
        <w:rPr>
          <w:rStyle w:val="StyleUnderline"/>
        </w:rPr>
        <w:t xml:space="preserve"> court found</w:t>
      </w:r>
      <w:r w:rsidRPr="002B5F50">
        <w:rPr>
          <w:sz w:val="16"/>
        </w:rPr>
        <w:t xml:space="preserve"> that “</w:t>
      </w:r>
      <w:r w:rsidRPr="002B5F50">
        <w:rPr>
          <w:rStyle w:val="StyleUnderline"/>
        </w:rPr>
        <w:t xml:space="preserve">the statute </w:t>
      </w:r>
      <w:r w:rsidRPr="002B5F50">
        <w:rPr>
          <w:sz w:val="16"/>
        </w:rPr>
        <w:t xml:space="preserve">in question </w:t>
      </w:r>
      <w:r w:rsidRPr="002B5F50">
        <w:rPr>
          <w:rStyle w:val="StyleUnderline"/>
        </w:rPr>
        <w:t>is an exercise of legislative police power</w:t>
      </w:r>
      <w:r w:rsidRPr="002B5F50">
        <w:rPr>
          <w:sz w:val="16"/>
        </w:rPr>
        <w:t xml:space="preserve"> and </w:t>
      </w:r>
      <w:r w:rsidRPr="002B5F50">
        <w:rPr>
          <w:rStyle w:val="StyleUnderline"/>
        </w:rPr>
        <w:t>not</w:t>
      </w:r>
      <w:r w:rsidRPr="002B5F50">
        <w:rPr>
          <w:sz w:val="16"/>
        </w:rPr>
        <w:t xml:space="preserve"> of </w:t>
      </w:r>
      <w:r w:rsidRPr="002B5F50">
        <w:rPr>
          <w:rStyle w:val="StyleUnderline"/>
        </w:rPr>
        <w:t>eminent domain</w:t>
      </w:r>
      <w:r w:rsidRPr="002B5F50">
        <w:rPr>
          <w:sz w:val="16"/>
        </w:rPr>
        <w:t>” and therefore did not constitute a taking, even though it contained no “grandfather clause.”</w:t>
      </w:r>
      <w:proofErr w:type="gramStart"/>
      <w:r w:rsidRPr="002B5F50">
        <w:rPr>
          <w:sz w:val="16"/>
        </w:rPr>
        <w:t>5  Similarly</w:t>
      </w:r>
      <w:proofErr w:type="gramEnd"/>
      <w:r w:rsidRPr="002B5F50">
        <w:rPr>
          <w:sz w:val="16"/>
        </w:rPr>
        <w:t xml:space="preserve">, the Eleventh Circuit in Gun South, Inc. v. Brady rejected a Takings Clause challenge to a temporary suspension on the importation of certain assault weapons, noting that the government in that case was acting “in a purely regulatory capacity and d[id] not profit from its actions.”6 Courts have also upheld such laws on the grounds that they do not deprive the owners of the entire value of these weapons.  For example, </w:t>
      </w:r>
      <w:r w:rsidRPr="002B5F50">
        <w:rPr>
          <w:rStyle w:val="StyleUnderline"/>
          <w:highlight w:val="cyan"/>
        </w:rPr>
        <w:t xml:space="preserve">in </w:t>
      </w:r>
      <w:proofErr w:type="spellStart"/>
      <w:r w:rsidRPr="002B5F50">
        <w:rPr>
          <w:rStyle w:val="StyleUnderline"/>
          <w:highlight w:val="cyan"/>
        </w:rPr>
        <w:t>Quilici</w:t>
      </w:r>
      <w:proofErr w:type="spellEnd"/>
      <w:r w:rsidRPr="002B5F50">
        <w:rPr>
          <w:rStyle w:val="StyleUnderline"/>
          <w:highlight w:val="cyan"/>
        </w:rPr>
        <w:t xml:space="preserve"> v. Village of Morton Grove, the court rejected a takings challenge to an ordinance banning handgun possession</w:t>
      </w:r>
      <w:r w:rsidRPr="002B5F50">
        <w:rPr>
          <w:sz w:val="16"/>
        </w:rPr>
        <w:t xml:space="preserve"> within a city, </w:t>
      </w:r>
      <w:r w:rsidRPr="002B5F50">
        <w:rPr>
          <w:rStyle w:val="StyleUnderline"/>
        </w:rPr>
        <w:t xml:space="preserve">noting that “gun owners who wish to may sell or otherwise dispose of their handguns outside of” the </w:t>
      </w:r>
      <w:proofErr w:type="gramStart"/>
      <w:r w:rsidRPr="002B5F50">
        <w:rPr>
          <w:rStyle w:val="StyleUnderline"/>
        </w:rPr>
        <w:t>city.</w:t>
      </w:r>
      <w:r w:rsidRPr="002B5F50">
        <w:rPr>
          <w:sz w:val="16"/>
        </w:rPr>
        <w:t>7  In</w:t>
      </w:r>
      <w:proofErr w:type="gramEnd"/>
      <w:r w:rsidRPr="002B5F50">
        <w:rPr>
          <w:sz w:val="16"/>
        </w:rPr>
        <w:t xml:space="preserve"> </w:t>
      </w:r>
      <w:proofErr w:type="spellStart"/>
      <w:r w:rsidRPr="002B5F50">
        <w:rPr>
          <w:sz w:val="16"/>
        </w:rPr>
        <w:t>Silvera</w:t>
      </w:r>
      <w:proofErr w:type="spellEnd"/>
      <w:r w:rsidRPr="002B5F50">
        <w:rPr>
          <w:sz w:val="16"/>
        </w:rPr>
        <w:t xml:space="preserve"> v. </w:t>
      </w:r>
      <w:proofErr w:type="spellStart"/>
      <w:r w:rsidRPr="002B5F50">
        <w:rPr>
          <w:sz w:val="16"/>
        </w:rPr>
        <w:t>Lockyer</w:t>
      </w:r>
      <w:proofErr w:type="spellEnd"/>
      <w:r w:rsidRPr="002B5F50">
        <w:rPr>
          <w:sz w:val="16"/>
        </w:rPr>
        <w:t>, the Ninth Circuit upheld California’s assault weapons ban, noting that the banned weapons still retained some value.8 In short, because laws banning dangerous guns and ammunition seek to protect the public rather than to confiscate private property for public use, they are perfectly consistent with the Takings Clause of the Fifth Amendment.</w:t>
      </w:r>
    </w:p>
    <w:p w14:paraId="7DBD2932" w14:textId="6E698DE1" w:rsidR="00BE1FD6" w:rsidRPr="00BE1FD6" w:rsidRDefault="00BE1FD6" w:rsidP="00BE1FD6">
      <w:r>
        <w:t xml:space="preserve">SGL outweighs – A. historical precedent – courts reference compensation as a separate policy from buyback, which means most of the topic literature is on them as separate policies. B. </w:t>
      </w:r>
      <w:proofErr w:type="gramStart"/>
      <w:r>
        <w:t>legal</w:t>
      </w:r>
      <w:proofErr w:type="gramEnd"/>
      <w:r>
        <w:t xml:space="preserve"> context – any policy would be passed by governmental actors – this evidence takes into account the way they perceive the relation between the two policies </w:t>
      </w:r>
      <w:proofErr w:type="spellStart"/>
      <w:r>
        <w:t>policies</w:t>
      </w:r>
      <w:proofErr w:type="spellEnd"/>
      <w:r>
        <w:t xml:space="preserve">. C. </w:t>
      </w:r>
      <w:r w:rsidR="00A47C3C">
        <w:t>Even</w:t>
      </w:r>
      <w:r w:rsidR="002B5F50">
        <w:t xml:space="preserve"> your author</w:t>
      </w:r>
      <w:r w:rsidR="00A47C3C">
        <w:t>s</w:t>
      </w:r>
      <w:r w:rsidR="002B5F50">
        <w:t xml:space="preserve"> </w:t>
      </w:r>
      <w:proofErr w:type="gramStart"/>
      <w:r w:rsidR="002B5F50">
        <w:t>acknowledges</w:t>
      </w:r>
      <w:proofErr w:type="gramEnd"/>
      <w:r w:rsidR="002B5F50">
        <w:t xml:space="preserve"> a distinction between the ban and the buyback program</w:t>
      </w:r>
      <w:r w:rsidR="00365C6F">
        <w:t xml:space="preserve"> – they don’t use the rhetoric “banned guns by implementing a buyback program</w:t>
      </w:r>
      <w:r w:rsidR="00A47C3C">
        <w:t>.</w:t>
      </w:r>
      <w:r w:rsidR="00365C6F">
        <w:t>”</w:t>
      </w:r>
      <w:r>
        <w:t xml:space="preserve"> Precision’s is key: A. A</w:t>
      </w:r>
      <w:r w:rsidRPr="004B35C8">
        <w:t xml:space="preserve"> vague topic means that what counts as a topical </w:t>
      </w:r>
      <w:proofErr w:type="spellStart"/>
      <w:r w:rsidRPr="004B35C8">
        <w:t>aff</w:t>
      </w:r>
      <w:proofErr w:type="spellEnd"/>
      <w:r w:rsidRPr="004B35C8">
        <w:t xml:space="preserve"> is </w:t>
      </w:r>
      <w:r>
        <w:t xml:space="preserve">unclear which kills </w:t>
      </w:r>
      <w:proofErr w:type="spellStart"/>
      <w:r>
        <w:t>preround</w:t>
      </w:r>
      <w:proofErr w:type="spellEnd"/>
      <w:r>
        <w:t xml:space="preserve"> prep and clash. This kills education – engagement with high quality arguments lets us question our arguments, and fairness since inability to engage means </w:t>
      </w:r>
      <w:proofErr w:type="spellStart"/>
      <w:r>
        <w:t>aff</w:t>
      </w:r>
      <w:proofErr w:type="spellEnd"/>
      <w:r>
        <w:t xml:space="preserve"> always wins since they have infinite prep and leeway to interpret the resolution.  B. Resolvability- debaters lose and win arguments, having a precise res is the only way to determine which ones implicate the ballot, which is key to fairness since judges will otherwise vote randomly. C. </w:t>
      </w:r>
      <w:r>
        <w:rPr>
          <w:rFonts w:ascii="Georgia" w:hAnsi="Georgia"/>
        </w:rPr>
        <w:t>Precise interp</w:t>
      </w:r>
      <w:r w:rsidR="00CD2851">
        <w:rPr>
          <w:rFonts w:ascii="Georgia" w:hAnsi="Georgia"/>
        </w:rPr>
        <w:t xml:space="preserve">retations of the resolution are </w:t>
      </w:r>
      <w:r>
        <w:rPr>
          <w:rFonts w:ascii="Georgia" w:hAnsi="Georgia"/>
        </w:rPr>
        <w:t xml:space="preserve">key </w:t>
      </w:r>
      <w:r w:rsidR="002865FE">
        <w:rPr>
          <w:rFonts w:ascii="Georgia" w:hAnsi="Georgia"/>
        </w:rPr>
        <w:t>–</w:t>
      </w:r>
      <w:r>
        <w:rPr>
          <w:rFonts w:ascii="Georgia" w:hAnsi="Georgia"/>
        </w:rPr>
        <w:t xml:space="preserve"> otherwise</w:t>
      </w:r>
      <w:r w:rsidR="002865FE">
        <w:rPr>
          <w:rFonts w:ascii="Georgia" w:hAnsi="Georgia"/>
        </w:rPr>
        <w:t xml:space="preserve"> the affirmative can constantly shift the resolution’s meaning, preventing engagement</w:t>
      </w:r>
    </w:p>
    <w:p w14:paraId="5CE26CE1" w14:textId="77777777" w:rsidR="00BE1FD6" w:rsidRPr="006B63F6" w:rsidRDefault="00BE1FD6" w:rsidP="00BE1FD6">
      <w:pPr>
        <w:rPr>
          <w:rFonts w:ascii="Georgia" w:hAnsi="Georgia"/>
          <w:sz w:val="16"/>
        </w:rPr>
      </w:pPr>
      <w:proofErr w:type="spellStart"/>
      <w:r w:rsidRPr="006B63F6">
        <w:rPr>
          <w:rStyle w:val="StyleUnderline"/>
          <w:rFonts w:ascii="Georgia" w:hAnsi="Georgia"/>
        </w:rPr>
        <w:t>Nebel</w:t>
      </w:r>
      <w:proofErr w:type="spellEnd"/>
      <w:r w:rsidRPr="006B63F6">
        <w:rPr>
          <w:rStyle w:val="StyleUnderline"/>
          <w:rFonts w:ascii="Georgia" w:hAnsi="Georgia"/>
        </w:rPr>
        <w:t xml:space="preserve"> 4</w:t>
      </w:r>
      <w:r w:rsidRPr="006B63F6">
        <w:rPr>
          <w:rFonts w:ascii="Georgia" w:hAnsi="Georgia"/>
          <w:sz w:val="16"/>
        </w:rPr>
        <w:t xml:space="preserve"> Jake </w:t>
      </w:r>
      <w:proofErr w:type="spellStart"/>
      <w:r w:rsidRPr="006B63F6">
        <w:rPr>
          <w:rFonts w:ascii="Georgia" w:hAnsi="Georgia"/>
          <w:sz w:val="16"/>
        </w:rPr>
        <w:t>Nebel</w:t>
      </w:r>
      <w:proofErr w:type="spellEnd"/>
      <w:r w:rsidRPr="006B63F6">
        <w:rPr>
          <w:rFonts w:ascii="Georgia" w:hAnsi="Georgia"/>
          <w:sz w:val="16"/>
        </w:rPr>
        <w:t xml:space="preserve"> (debate coach his students have won the TOC, NDCA, </w:t>
      </w:r>
      <w:proofErr w:type="spellStart"/>
      <w:r w:rsidRPr="006B63F6">
        <w:rPr>
          <w:rFonts w:ascii="Georgia" w:hAnsi="Georgia"/>
          <w:sz w:val="16"/>
        </w:rPr>
        <w:t>Glenbrooks</w:t>
      </w:r>
      <w:proofErr w:type="spellEnd"/>
      <w:r w:rsidRPr="006B63F6">
        <w:rPr>
          <w:rFonts w:ascii="Georgia" w:hAnsi="Georgia"/>
          <w:sz w:val="16"/>
        </w:rPr>
        <w:t xml:space="preserve">, Bronx, Emory, TFA State, and the Harvard Round Robin. As a debater, he won six </w:t>
      </w:r>
      <w:proofErr w:type="spellStart"/>
      <w:r w:rsidRPr="006B63F6">
        <w:rPr>
          <w:rFonts w:ascii="Georgia" w:hAnsi="Georgia"/>
          <w:sz w:val="16"/>
        </w:rPr>
        <w:t>octos</w:t>
      </w:r>
      <w:proofErr w:type="spellEnd"/>
      <w:r w:rsidRPr="006B63F6">
        <w:rPr>
          <w:rFonts w:ascii="Georgia" w:hAnsi="Georgia"/>
          <w:sz w:val="16"/>
        </w:rPr>
        <w:t xml:space="preserve">-bid championships and was top speaker at the TOC and ten other major tournaments) “The Priority of </w:t>
      </w:r>
      <w:proofErr w:type="spellStart"/>
      <w:r w:rsidRPr="006B63F6">
        <w:rPr>
          <w:rFonts w:ascii="Georgia" w:hAnsi="Georgia"/>
          <w:sz w:val="16"/>
        </w:rPr>
        <w:t>Resolutional</w:t>
      </w:r>
      <w:proofErr w:type="spellEnd"/>
      <w:r w:rsidRPr="006B63F6">
        <w:rPr>
          <w:rFonts w:ascii="Georgia" w:hAnsi="Georgia"/>
          <w:sz w:val="16"/>
        </w:rPr>
        <w:t xml:space="preserve"> Semantics by Jake </w:t>
      </w:r>
      <w:proofErr w:type="spellStart"/>
      <w:r w:rsidRPr="006B63F6">
        <w:rPr>
          <w:rFonts w:ascii="Georgia" w:hAnsi="Georgia"/>
          <w:sz w:val="16"/>
        </w:rPr>
        <w:t>Nebel</w:t>
      </w:r>
      <w:proofErr w:type="spellEnd"/>
      <w:r w:rsidRPr="006B63F6">
        <w:rPr>
          <w:rFonts w:ascii="Georgia" w:hAnsi="Georgia"/>
          <w:sz w:val="16"/>
        </w:rPr>
        <w:t xml:space="preserve">” </w:t>
      </w:r>
      <w:proofErr w:type="spellStart"/>
      <w:r w:rsidRPr="006B63F6">
        <w:rPr>
          <w:rFonts w:ascii="Georgia" w:hAnsi="Georgia"/>
          <w:sz w:val="16"/>
        </w:rPr>
        <w:t>VBriefly</w:t>
      </w:r>
      <w:proofErr w:type="spellEnd"/>
      <w:r w:rsidRPr="006B63F6">
        <w:rPr>
          <w:rFonts w:ascii="Georgia" w:hAnsi="Georgia"/>
          <w:sz w:val="16"/>
        </w:rPr>
        <w:t xml:space="preserve"> February 20</w:t>
      </w:r>
      <w:r w:rsidRPr="006B63F6">
        <w:rPr>
          <w:rFonts w:ascii="Georgia" w:hAnsi="Georgia"/>
          <w:sz w:val="16"/>
          <w:vertAlign w:val="superscript"/>
        </w:rPr>
        <w:t>th</w:t>
      </w:r>
      <w:r w:rsidRPr="006B63F6">
        <w:rPr>
          <w:rFonts w:ascii="Georgia" w:hAnsi="Georgia"/>
          <w:sz w:val="16"/>
        </w:rPr>
        <w:t xml:space="preserve"> 2015 </w:t>
      </w:r>
      <w:hyperlink r:id="rId9" w:history="1">
        <w:r w:rsidRPr="006B63F6">
          <w:rPr>
            <w:rStyle w:val="Hyperlink"/>
            <w:rFonts w:ascii="Georgia" w:hAnsi="Georgia"/>
            <w:sz w:val="16"/>
          </w:rPr>
          <w:t>http://vbriefly.com/2015/02/20/the-priority-of-resolutional-semantics-by-jake-nebel/</w:t>
        </w:r>
      </w:hyperlink>
      <w:r w:rsidRPr="006B63F6">
        <w:rPr>
          <w:rStyle w:val="Hyperlink"/>
          <w:rFonts w:ascii="Georgia" w:hAnsi="Georgia"/>
          <w:sz w:val="16"/>
        </w:rPr>
        <w:t xml:space="preserve"> JW 2/20/15</w:t>
      </w:r>
    </w:p>
    <w:p w14:paraId="38F4551D" w14:textId="7B2AD020" w:rsidR="00C67664" w:rsidRPr="00C67664" w:rsidRDefault="00BE1FD6" w:rsidP="00950AB3">
      <w:pPr>
        <w:rPr>
          <w:rFonts w:ascii="Georgia" w:hAnsi="Georgia"/>
          <w:sz w:val="16"/>
        </w:rPr>
      </w:pPr>
      <w:r w:rsidRPr="006B63F6">
        <w:rPr>
          <w:rFonts w:ascii="Georgia" w:hAnsi="Georgia"/>
          <w:sz w:val="16"/>
        </w:rPr>
        <w:t xml:space="preserve">One way admits that such </w:t>
      </w:r>
      <w:r w:rsidRPr="00BE1FD6">
        <w:rPr>
          <w:rStyle w:val="StyleUnderline"/>
          <w:rFonts w:ascii="Georgia" w:hAnsi="Georgia"/>
        </w:rPr>
        <w:t>pragmatic considerations</w:t>
      </w:r>
      <w:r w:rsidRPr="006B63F6">
        <w:rPr>
          <w:rStyle w:val="StyleUnderline"/>
          <w:rFonts w:ascii="Georgia" w:hAnsi="Georgia"/>
        </w:rPr>
        <w:t xml:space="preserve"> are relevant</w:t>
      </w:r>
      <w:r w:rsidRPr="006B63F6">
        <w:rPr>
          <w:rFonts w:ascii="Georgia" w:hAnsi="Georgia"/>
          <w:sz w:val="16"/>
        </w:rPr>
        <w:t>—i.e., they are reasons to change the topic—</w:t>
      </w:r>
      <w:r w:rsidRPr="006B63F6">
        <w:rPr>
          <w:rStyle w:val="StyleUnderline"/>
          <w:rFonts w:ascii="Georgia" w:hAnsi="Georgia"/>
        </w:rPr>
        <w:t>but</w:t>
      </w:r>
      <w:r w:rsidRPr="006B63F6">
        <w:rPr>
          <w:rFonts w:ascii="Georgia" w:hAnsi="Georgia"/>
          <w:sz w:val="16"/>
        </w:rPr>
        <w:t xml:space="preserve"> holds that </w:t>
      </w:r>
      <w:r w:rsidRPr="006B63F6">
        <w:rPr>
          <w:rStyle w:val="StyleUnderline"/>
          <w:rFonts w:ascii="Georgia" w:hAnsi="Georgia"/>
        </w:rPr>
        <w:t xml:space="preserve">they are outweighed by the reasons for the topicality rule. </w:t>
      </w:r>
      <w:r w:rsidRPr="00BE1FD6">
        <w:rPr>
          <w:rStyle w:val="StyleUnderline"/>
          <w:rFonts w:ascii="Georgia" w:hAnsi="Georgia"/>
          <w:highlight w:val="cyan"/>
        </w:rPr>
        <w:t>It would be better if everyone debated the resolution as worded</w:t>
      </w:r>
      <w:r w:rsidRPr="006B63F6">
        <w:rPr>
          <w:rFonts w:ascii="Georgia" w:hAnsi="Georgia"/>
          <w:sz w:val="16"/>
        </w:rPr>
        <w:t xml:space="preserve">, whatever it is, </w:t>
      </w:r>
      <w:r w:rsidRPr="006B63F6">
        <w:rPr>
          <w:rStyle w:val="StyleUnderline"/>
          <w:rFonts w:ascii="Georgia" w:hAnsi="Georgia"/>
        </w:rPr>
        <w:t xml:space="preserve">than </w:t>
      </w:r>
      <w:r w:rsidRPr="00BE1FD6">
        <w:rPr>
          <w:rStyle w:val="StyleUnderline"/>
          <w:rFonts w:ascii="Georgia" w:hAnsi="Georgia"/>
          <w:highlight w:val="cyan"/>
        </w:rPr>
        <w:t>if everyone debated whatever subtle</w:t>
      </w:r>
      <w:r w:rsidRPr="006B63F6">
        <w:rPr>
          <w:rStyle w:val="StyleUnderline"/>
          <w:rFonts w:ascii="Georgia" w:hAnsi="Georgia"/>
        </w:rPr>
        <w:t xml:space="preserve"> </w:t>
      </w:r>
      <w:r w:rsidRPr="00BE1FD6">
        <w:rPr>
          <w:rStyle w:val="StyleUnderline"/>
          <w:rFonts w:ascii="Georgia" w:hAnsi="Georgia"/>
          <w:highlight w:val="cyan"/>
        </w:rPr>
        <w:t>variation</w:t>
      </w:r>
      <w:r w:rsidRPr="006B63F6">
        <w:rPr>
          <w:rFonts w:ascii="Georgia" w:hAnsi="Georgia"/>
          <w:sz w:val="16"/>
        </w:rPr>
        <w:t xml:space="preserve"> on the resolution </w:t>
      </w:r>
      <w:r w:rsidRPr="00BE1FD6">
        <w:rPr>
          <w:rStyle w:val="StyleUnderline"/>
          <w:rFonts w:ascii="Georgia" w:hAnsi="Georgia"/>
          <w:highlight w:val="cyan"/>
        </w:rPr>
        <w:t>they favored. Affirmatives</w:t>
      </w:r>
      <w:r w:rsidRPr="00BE1FD6">
        <w:rPr>
          <w:rFonts w:ascii="Georgia" w:hAnsi="Georgia"/>
          <w:sz w:val="16"/>
          <w:highlight w:val="cyan"/>
        </w:rPr>
        <w:t xml:space="preserve"> </w:t>
      </w:r>
      <w:r w:rsidRPr="00BE1FD6">
        <w:rPr>
          <w:rFonts w:ascii="Georgia" w:hAnsi="Georgia"/>
          <w:sz w:val="16"/>
        </w:rPr>
        <w:t xml:space="preserve">would </w:t>
      </w:r>
      <w:r w:rsidRPr="00BE1FD6">
        <w:rPr>
          <w:rStyle w:val="StyleUnderline"/>
          <w:rFonts w:ascii="Georgia" w:hAnsi="Georgia"/>
        </w:rPr>
        <w:t xml:space="preserve">unfairly </w:t>
      </w:r>
      <w:r w:rsidRPr="00BE1FD6">
        <w:rPr>
          <w:rStyle w:val="StyleUnderline"/>
          <w:rFonts w:ascii="Georgia" w:hAnsi="Georgia"/>
          <w:highlight w:val="cyan"/>
        </w:rPr>
        <w:t>abuse</w:t>
      </w:r>
      <w:r w:rsidRPr="00BE1FD6">
        <w:rPr>
          <w:rFonts w:ascii="Georgia" w:hAnsi="Georgia"/>
          <w:sz w:val="16"/>
          <w:highlight w:val="cyan"/>
        </w:rPr>
        <w:t xml:space="preserve"> </w:t>
      </w:r>
      <w:r w:rsidRPr="00BE1FD6">
        <w:rPr>
          <w:rFonts w:ascii="Georgia" w:hAnsi="Georgia"/>
          <w:sz w:val="16"/>
        </w:rPr>
        <w:t xml:space="preserve">(and </w:t>
      </w:r>
      <w:proofErr w:type="gramStart"/>
      <w:r w:rsidRPr="00BE1FD6">
        <w:rPr>
          <w:rFonts w:ascii="Georgia" w:hAnsi="Georgia"/>
          <w:sz w:val="16"/>
        </w:rPr>
        <w:t>have</w:t>
      </w:r>
      <w:proofErr w:type="gramEnd"/>
      <w:r w:rsidRPr="00BE1FD6">
        <w:rPr>
          <w:rFonts w:ascii="Georgia" w:hAnsi="Georgia"/>
          <w:sz w:val="16"/>
        </w:rPr>
        <w:t xml:space="preserve"> already abused) </w:t>
      </w:r>
      <w:r w:rsidRPr="00BE1FD6">
        <w:rPr>
          <w:rStyle w:val="StyleUnderline"/>
          <w:rFonts w:ascii="Georgia" w:hAnsi="Georgia"/>
          <w:highlight w:val="cyan"/>
        </w:rPr>
        <w:t>the entitlement</w:t>
      </w:r>
      <w:r w:rsidRPr="00BE1FD6">
        <w:rPr>
          <w:rFonts w:ascii="Georgia" w:hAnsi="Georgia"/>
          <w:sz w:val="16"/>
          <w:highlight w:val="cyan"/>
          <w:u w:val="single"/>
        </w:rPr>
        <w:t xml:space="preserve"> </w:t>
      </w:r>
      <w:r w:rsidRPr="00BE1FD6">
        <w:rPr>
          <w:rFonts w:ascii="Georgia" w:hAnsi="Georgia"/>
          <w:b/>
          <w:sz w:val="24"/>
          <w:szCs w:val="24"/>
          <w:highlight w:val="cyan"/>
          <w:u w:val="single"/>
        </w:rPr>
        <w:t>to choose their own unpredictable adventure</w:t>
      </w:r>
      <w:r w:rsidRPr="00BE1FD6">
        <w:rPr>
          <w:rFonts w:ascii="Georgia" w:hAnsi="Georgia"/>
          <w:b/>
          <w:sz w:val="24"/>
          <w:szCs w:val="24"/>
          <w:u w:val="single"/>
        </w:rPr>
        <w:t>,</w:t>
      </w:r>
      <w:r w:rsidRPr="006B63F6">
        <w:rPr>
          <w:rFonts w:ascii="Georgia" w:hAnsi="Georgia"/>
          <w:sz w:val="16"/>
        </w:rPr>
        <w:t xml:space="preserve"> </w:t>
      </w:r>
      <w:r w:rsidRPr="006B63F6">
        <w:rPr>
          <w:rStyle w:val="StyleUnderline"/>
          <w:rFonts w:ascii="Georgia" w:hAnsi="Georgia"/>
        </w:rPr>
        <w:t xml:space="preserve">and </w:t>
      </w:r>
      <w:r w:rsidRPr="00BE1FD6">
        <w:rPr>
          <w:rStyle w:val="StyleUnderline"/>
          <w:rFonts w:ascii="Georgia" w:hAnsi="Georgia"/>
          <w:highlight w:val="cyan"/>
        </w:rPr>
        <w:t>negatives would respond</w:t>
      </w:r>
      <w:r w:rsidRPr="006B63F6">
        <w:rPr>
          <w:rFonts w:ascii="Georgia" w:hAnsi="Georgia"/>
          <w:sz w:val="16"/>
        </w:rPr>
        <w:t xml:space="preserve"> (and have already responded) </w:t>
      </w:r>
      <w:r w:rsidRPr="00BE1FD6">
        <w:rPr>
          <w:rStyle w:val="StyleUnderline"/>
          <w:rFonts w:ascii="Georgia" w:hAnsi="Georgia"/>
          <w:highlight w:val="cyan"/>
        </w:rPr>
        <w:t>with strategies</w:t>
      </w:r>
      <w:r w:rsidRPr="006B63F6">
        <w:rPr>
          <w:rFonts w:ascii="Georgia" w:hAnsi="Georgia"/>
          <w:sz w:val="16"/>
        </w:rPr>
        <w:t xml:space="preserve"> that are </w:t>
      </w:r>
      <w:r w:rsidRPr="00BE1FD6">
        <w:rPr>
          <w:rStyle w:val="StyleUnderline"/>
          <w:rFonts w:ascii="Georgia" w:hAnsi="Georgia"/>
          <w:highlight w:val="cyan"/>
        </w:rPr>
        <w:t>designed to avoid clash</w:t>
      </w:r>
      <w:r w:rsidRPr="006B63F6">
        <w:rPr>
          <w:rFonts w:ascii="Georgia" w:hAnsi="Georgia"/>
          <w:sz w:val="16"/>
        </w:rPr>
        <w:t xml:space="preserve">—including an essentially </w:t>
      </w:r>
      <w:proofErr w:type="spellStart"/>
      <w:r w:rsidRPr="006B63F6">
        <w:rPr>
          <w:rFonts w:ascii="Georgia" w:hAnsi="Georgia"/>
          <w:sz w:val="16"/>
        </w:rPr>
        <w:t>vigilantist</w:t>
      </w:r>
      <w:proofErr w:type="spellEnd"/>
      <w:r w:rsidRPr="006B63F6">
        <w:rPr>
          <w:rFonts w:ascii="Georgia" w:hAnsi="Georgia"/>
          <w:sz w:val="16"/>
        </w:rPr>
        <w:t xml:space="preserve"> approach to topicality in which debaters enforce their own pet resolutions on an arbitrary, round-by-round basis. </w:t>
      </w:r>
      <w:r w:rsidRPr="006B63F6">
        <w:rPr>
          <w:rStyle w:val="StyleUnderline"/>
          <w:rFonts w:ascii="Georgia" w:hAnsi="Georgia"/>
        </w:rPr>
        <w:t>Think here of the utilitarian case for internalizing rules</w:t>
      </w:r>
      <w:r w:rsidRPr="006B63F6">
        <w:rPr>
          <w:rFonts w:ascii="Georgia" w:hAnsi="Georgia"/>
          <w:sz w:val="16"/>
        </w:rPr>
        <w:t xml:space="preserve"> against lying, murder, and other intuitively wrong acts. As the great utilitarian Henry </w:t>
      </w:r>
      <w:proofErr w:type="spellStart"/>
      <w:r w:rsidRPr="006B63F6">
        <w:rPr>
          <w:rFonts w:ascii="Georgia" w:hAnsi="Georgia"/>
          <w:sz w:val="16"/>
        </w:rPr>
        <w:t>Sidgwick</w:t>
      </w:r>
      <w:proofErr w:type="spellEnd"/>
      <w:r w:rsidRPr="006B63F6">
        <w:rPr>
          <w:rFonts w:ascii="Georgia" w:hAnsi="Georgia"/>
          <w:sz w:val="16"/>
        </w:rPr>
        <w:t xml:space="preserve"> argued, </w:t>
      </w:r>
      <w:r w:rsidRPr="00BE1FD6">
        <w:rPr>
          <w:rStyle w:val="StyleUnderline"/>
          <w:rFonts w:ascii="Georgia" w:hAnsi="Georgia"/>
          <w:highlight w:val="cyan"/>
        </w:rPr>
        <w:t>wellbeing is maximized</w:t>
      </w:r>
      <w:r w:rsidRPr="006B63F6">
        <w:rPr>
          <w:rStyle w:val="StyleUnderline"/>
          <w:rFonts w:ascii="Georgia" w:hAnsi="Georgia"/>
        </w:rPr>
        <w:t xml:space="preserve"> not by everyone doing what they think maximizes wellbeing, but</w:t>
      </w:r>
      <w:r w:rsidRPr="006B63F6">
        <w:rPr>
          <w:rFonts w:ascii="Georgia" w:hAnsi="Georgia"/>
          <w:sz w:val="16"/>
        </w:rPr>
        <w:t xml:space="preserve"> rather (in general) </w:t>
      </w:r>
      <w:r w:rsidRPr="00BE1FD6">
        <w:rPr>
          <w:rStyle w:val="StyleUnderline"/>
          <w:rFonts w:ascii="Georgia" w:hAnsi="Georgia"/>
          <w:highlight w:val="cyan"/>
        </w:rPr>
        <w:t>by people sticking to the rules of common sense</w:t>
      </w:r>
      <w:r w:rsidRPr="00BE1FD6">
        <w:rPr>
          <w:rFonts w:ascii="Georgia" w:hAnsi="Georgia"/>
          <w:sz w:val="16"/>
          <w:highlight w:val="cyan"/>
        </w:rPr>
        <w:t xml:space="preserve"> </w:t>
      </w:r>
      <w:r w:rsidRPr="00BE1FD6">
        <w:rPr>
          <w:rFonts w:ascii="Georgia" w:hAnsi="Georgia"/>
          <w:sz w:val="16"/>
        </w:rPr>
        <w:t>morality. Otherwise, people are more likely to act on mistaken utility</w:t>
      </w:r>
      <w:r w:rsidRPr="006B63F6">
        <w:rPr>
          <w:rFonts w:ascii="Georgia" w:hAnsi="Georgia"/>
          <w:sz w:val="16"/>
        </w:rPr>
        <w:t xml:space="preserve"> calculations and engage in self-serving violations of useful rules, thereby undermining social practices that promote wellbeing in the long run. That is exactly what happens if we reject the topicality rule in favor of direct appeals to pragmatic considerations. Sticking to a rule that applies regardless of the topic, of the debaters’ preferred variations on the topic, and of debaters’ familiarity with the national circuit’s flavor of the week, avoids these problems.</w:t>
      </w:r>
      <w:bookmarkStart w:id="0" w:name="_GoBack"/>
      <w:bookmarkEnd w:id="0"/>
    </w:p>
    <w:p w14:paraId="320589FC" w14:textId="44301659" w:rsidR="002B5F50" w:rsidRPr="00CF67E2" w:rsidRDefault="00670A54" w:rsidP="00950AB3">
      <w:r>
        <w:t xml:space="preserve">2. </w:t>
      </w:r>
      <w:r w:rsidR="002865FE">
        <w:t>Substantive engagement</w:t>
      </w:r>
      <w:r>
        <w:t xml:space="preserve"> – A. you can nullify </w:t>
      </w:r>
      <w:proofErr w:type="spellStart"/>
      <w:r>
        <w:t>disads</w:t>
      </w:r>
      <w:proofErr w:type="spellEnd"/>
      <w:r>
        <w:t xml:space="preserve"> about illicit gun usage by using funding to argue people will give up guns, which is key </w:t>
      </w:r>
      <w:proofErr w:type="spellStart"/>
      <w:r>
        <w:t>neg</w:t>
      </w:r>
      <w:proofErr w:type="spellEnd"/>
      <w:r>
        <w:t xml:space="preserve"> ground since I need access to solvency indicts to solve back for infinite </w:t>
      </w:r>
      <w:proofErr w:type="spellStart"/>
      <w:r>
        <w:t>aff</w:t>
      </w:r>
      <w:proofErr w:type="spellEnd"/>
      <w:r>
        <w:t xml:space="preserve"> prep</w:t>
      </w:r>
      <w:r w:rsidR="002865FE">
        <w:t xml:space="preserve">, which kills my ability to </w:t>
      </w:r>
      <w:proofErr w:type="spellStart"/>
      <w:r w:rsidR="002865FE">
        <w:t>engge</w:t>
      </w:r>
      <w:proofErr w:type="spellEnd"/>
      <w:r w:rsidR="002865FE">
        <w:t xml:space="preserve"> the </w:t>
      </w:r>
      <w:proofErr w:type="spellStart"/>
      <w:r w:rsidR="002865FE">
        <w:t>aff</w:t>
      </w:r>
      <w:proofErr w:type="spellEnd"/>
      <w:r w:rsidR="002865FE">
        <w:t>.</w:t>
      </w:r>
      <w:r>
        <w:t xml:space="preserve"> B. </w:t>
      </w:r>
      <w:r w:rsidR="002865FE">
        <w:t>You</w:t>
      </w:r>
      <w:r>
        <w:t xml:space="preserve"> get offense about how Australia’s policy was super successful even though success didn’t link to the handgun ban, but other aspects </w:t>
      </w:r>
      <w:r w:rsidR="002865FE">
        <w:t>of it</w:t>
      </w:r>
      <w:r>
        <w:t>, which means you shift discussion away from most relevant ground since lit on bans in general unifies the topic literature</w:t>
      </w:r>
      <w:r w:rsidR="002865FE">
        <w:t>, which is key to fairness and education since access to lit gives us equal ability to prepare for round and make high quality arguments.</w:t>
      </w:r>
    </w:p>
    <w:p w14:paraId="198B6696" w14:textId="24995354" w:rsidR="002B5F50" w:rsidRDefault="00C67664" w:rsidP="00C67664">
      <w:pPr>
        <w:pStyle w:val="Heading1"/>
      </w:pPr>
      <w:r>
        <w:t>2nr</w:t>
      </w:r>
    </w:p>
    <w:p w14:paraId="63445A8F" w14:textId="5052FDC2" w:rsidR="00C67664" w:rsidRDefault="00C67664" w:rsidP="00C67664">
      <w:pPr>
        <w:pStyle w:val="Heading3"/>
      </w:pPr>
      <w:r>
        <w:t>A2 Generics Solve</w:t>
      </w:r>
    </w:p>
    <w:p w14:paraId="433C874B" w14:textId="3815670E" w:rsidR="00C67664" w:rsidRDefault="00C67664" w:rsidP="00C67664">
      <w:pPr>
        <w:pStyle w:val="ListParagraph"/>
        <w:numPr>
          <w:ilvl w:val="0"/>
          <w:numId w:val="15"/>
        </w:numPr>
      </w:pPr>
      <w:r w:rsidRPr="00C67664">
        <w:t xml:space="preserve">Granting the </w:t>
      </w:r>
      <w:proofErr w:type="spellStart"/>
      <w:r w:rsidRPr="00C67664">
        <w:t>aff</w:t>
      </w:r>
      <w:proofErr w:type="spellEnd"/>
      <w:r w:rsidRPr="00C67664">
        <w:t xml:space="preserve"> ability to manipulate and expand the topic kills ground-you can fiat the </w:t>
      </w:r>
      <w:proofErr w:type="spellStart"/>
      <w:r w:rsidRPr="00C67664">
        <w:t>aff</w:t>
      </w:r>
      <w:proofErr w:type="spellEnd"/>
      <w:r w:rsidRPr="00C67664">
        <w:t xml:space="preserve"> and any other policy to avoid </w:t>
      </w:r>
      <w:proofErr w:type="spellStart"/>
      <w:r w:rsidRPr="00C67664">
        <w:t>disads</w:t>
      </w:r>
      <w:proofErr w:type="spellEnd"/>
      <w:r w:rsidRPr="00C67664">
        <w:t xml:space="preserve"> and turns to the </w:t>
      </w:r>
      <w:proofErr w:type="spellStart"/>
      <w:r w:rsidRPr="00C67664">
        <w:t>aff</w:t>
      </w:r>
      <w:proofErr w:type="spellEnd"/>
      <w:r w:rsidRPr="00C67664">
        <w:t xml:space="preserve"> and make your off</w:t>
      </w:r>
      <w:r>
        <w:t>ense hyper specific and viable.</w:t>
      </w:r>
    </w:p>
    <w:p w14:paraId="22BF6BDA" w14:textId="286B56F9" w:rsidR="00C67664" w:rsidRPr="00C67664" w:rsidRDefault="00C67664" w:rsidP="00C67664">
      <w:pPr>
        <w:pStyle w:val="ListParagraph"/>
        <w:numPr>
          <w:ilvl w:val="0"/>
          <w:numId w:val="15"/>
        </w:numPr>
      </w:pPr>
      <w:r w:rsidRPr="00C67664">
        <w:t xml:space="preserve">There’s no way to prepare for the </w:t>
      </w:r>
      <w:proofErr w:type="spellStart"/>
      <w:r w:rsidRPr="00C67664">
        <w:t>aff</w:t>
      </w:r>
      <w:proofErr w:type="spellEnd"/>
      <w:r w:rsidRPr="00C67664">
        <w:t xml:space="preserve"> if you don’t defend the resolution-you have infinite time to frontline offense and come up with new things to defend. This fairness-I can’t structurally engage in t</w:t>
      </w:r>
      <w:r>
        <w:t xml:space="preserve">he </w:t>
      </w:r>
      <w:proofErr w:type="spellStart"/>
      <w:r>
        <w:t>aff</w:t>
      </w:r>
      <w:proofErr w:type="spellEnd"/>
      <w:r>
        <w:t>-I don’t know it’s coming.</w:t>
      </w:r>
    </w:p>
    <w:sectPr w:rsidR="00C67664" w:rsidRPr="00C67664"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60B33" w14:textId="77777777" w:rsidR="002865FE" w:rsidRDefault="002865FE" w:rsidP="002B5F50">
      <w:r>
        <w:separator/>
      </w:r>
    </w:p>
  </w:endnote>
  <w:endnote w:type="continuationSeparator" w:id="0">
    <w:p w14:paraId="28167A35" w14:textId="77777777" w:rsidR="002865FE" w:rsidRDefault="002865FE" w:rsidP="002B5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53498" w14:textId="77777777" w:rsidR="002865FE" w:rsidRDefault="002865FE" w:rsidP="002B5F50">
      <w:r>
        <w:separator/>
      </w:r>
    </w:p>
  </w:footnote>
  <w:footnote w:type="continuationSeparator" w:id="0">
    <w:p w14:paraId="2DAD0C06" w14:textId="77777777" w:rsidR="002865FE" w:rsidRDefault="002865FE" w:rsidP="002B5F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040D1FA8"/>
    <w:multiLevelType w:val="multilevel"/>
    <w:tmpl w:val="33C2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125E09"/>
    <w:multiLevelType w:val="multilevel"/>
    <w:tmpl w:val="8582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1F5512"/>
    <w:multiLevelType w:val="hybridMultilevel"/>
    <w:tmpl w:val="CAAE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0304F8"/>
    <w:multiLevelType w:val="hybridMultilevel"/>
    <w:tmpl w:val="A614CD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RibbonPointer" w:val="122641432"/>
    <w:docVar w:name="VerbatimMac" w:val="True"/>
    <w:docVar w:name="VerbatimVersion" w:val="5.0"/>
  </w:docVars>
  <w:rsids>
    <w:rsidRoot w:val="00FB3DD1"/>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785F"/>
    <w:rsid w:val="00090CBE"/>
    <w:rsid w:val="000A2D8A"/>
    <w:rsid w:val="000B6BD4"/>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45D2A"/>
    <w:rsid w:val="002502CF"/>
    <w:rsid w:val="00267EBB"/>
    <w:rsid w:val="0027023B"/>
    <w:rsid w:val="00274EDB"/>
    <w:rsid w:val="0027729E"/>
    <w:rsid w:val="00284ED6"/>
    <w:rsid w:val="002865FE"/>
    <w:rsid w:val="00290C5A"/>
    <w:rsid w:val="0029647A"/>
    <w:rsid w:val="00296504"/>
    <w:rsid w:val="002B5511"/>
    <w:rsid w:val="002B5F50"/>
    <w:rsid w:val="002B7ACF"/>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5C6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5F4C"/>
    <w:rsid w:val="003D5EA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7B10"/>
    <w:rsid w:val="00452EE4"/>
    <w:rsid w:val="004536D6"/>
    <w:rsid w:val="00457224"/>
    <w:rsid w:val="0048047E"/>
    <w:rsid w:val="00482AF9"/>
    <w:rsid w:val="004B37B4"/>
    <w:rsid w:val="004C0314"/>
    <w:rsid w:val="004C0D3D"/>
    <w:rsid w:val="004C13C8"/>
    <w:rsid w:val="004C213E"/>
    <w:rsid w:val="004C376C"/>
    <w:rsid w:val="004C657F"/>
    <w:rsid w:val="004D17D8"/>
    <w:rsid w:val="004E355B"/>
    <w:rsid w:val="004E6D2D"/>
    <w:rsid w:val="005028E5"/>
    <w:rsid w:val="00503735"/>
    <w:rsid w:val="0051378C"/>
    <w:rsid w:val="005224F2"/>
    <w:rsid w:val="00536D8B"/>
    <w:rsid w:val="005379C3"/>
    <w:rsid w:val="005519C2"/>
    <w:rsid w:val="005523E0"/>
    <w:rsid w:val="0055320F"/>
    <w:rsid w:val="0055699B"/>
    <w:rsid w:val="00563D3D"/>
    <w:rsid w:val="005659AA"/>
    <w:rsid w:val="005676E8"/>
    <w:rsid w:val="00581048"/>
    <w:rsid w:val="00581203"/>
    <w:rsid w:val="0058349C"/>
    <w:rsid w:val="00585FBE"/>
    <w:rsid w:val="005870E8"/>
    <w:rsid w:val="005921C3"/>
    <w:rsid w:val="005A4D4E"/>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438CB"/>
    <w:rsid w:val="006529B9"/>
    <w:rsid w:val="00654695"/>
    <w:rsid w:val="0065500A"/>
    <w:rsid w:val="00655217"/>
    <w:rsid w:val="0065727C"/>
    <w:rsid w:val="00670A54"/>
    <w:rsid w:val="00674A78"/>
    <w:rsid w:val="00696A16"/>
    <w:rsid w:val="006A4840"/>
    <w:rsid w:val="006A7E1D"/>
    <w:rsid w:val="006C3A56"/>
    <w:rsid w:val="006D13F4"/>
    <w:rsid w:val="006D6AED"/>
    <w:rsid w:val="006E5A04"/>
    <w:rsid w:val="006E6D0B"/>
    <w:rsid w:val="006F126E"/>
    <w:rsid w:val="006F3834"/>
    <w:rsid w:val="006F5693"/>
    <w:rsid w:val="00717B01"/>
    <w:rsid w:val="007227D9"/>
    <w:rsid w:val="0072491F"/>
    <w:rsid w:val="007374A1"/>
    <w:rsid w:val="00752712"/>
    <w:rsid w:val="00753A84"/>
    <w:rsid w:val="00755538"/>
    <w:rsid w:val="007611F5"/>
    <w:rsid w:val="007619E4"/>
    <w:rsid w:val="00761E75"/>
    <w:rsid w:val="0076495E"/>
    <w:rsid w:val="00765FC8"/>
    <w:rsid w:val="00793F46"/>
    <w:rsid w:val="007A1325"/>
    <w:rsid w:val="007A1A18"/>
    <w:rsid w:val="007B53D8"/>
    <w:rsid w:val="007C22C5"/>
    <w:rsid w:val="007C57E1"/>
    <w:rsid w:val="007C5811"/>
    <w:rsid w:val="007D2DF5"/>
    <w:rsid w:val="007D451A"/>
    <w:rsid w:val="007D5E3E"/>
    <w:rsid w:val="007D7596"/>
    <w:rsid w:val="007E242C"/>
    <w:rsid w:val="007E6631"/>
    <w:rsid w:val="00803A12"/>
    <w:rsid w:val="008266F9"/>
    <w:rsid w:val="00826A9B"/>
    <w:rsid w:val="00834842"/>
    <w:rsid w:val="00840E7B"/>
    <w:rsid w:val="00847E9E"/>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20E6A"/>
    <w:rsid w:val="00931816"/>
    <w:rsid w:val="00932C71"/>
    <w:rsid w:val="009509D5"/>
    <w:rsid w:val="00950AB3"/>
    <w:rsid w:val="009538F5"/>
    <w:rsid w:val="00957187"/>
    <w:rsid w:val="009603E1"/>
    <w:rsid w:val="00961C9D"/>
    <w:rsid w:val="00963065"/>
    <w:rsid w:val="0097151F"/>
    <w:rsid w:val="00973777"/>
    <w:rsid w:val="00976E78"/>
    <w:rsid w:val="009775C0"/>
    <w:rsid w:val="009866B5"/>
    <w:rsid w:val="00990634"/>
    <w:rsid w:val="00991733"/>
    <w:rsid w:val="00992078"/>
    <w:rsid w:val="009A1467"/>
    <w:rsid w:val="009A6464"/>
    <w:rsid w:val="009B69F5"/>
    <w:rsid w:val="009C5FF7"/>
    <w:rsid w:val="009C6292"/>
    <w:rsid w:val="009D15DB"/>
    <w:rsid w:val="009E26C5"/>
    <w:rsid w:val="009F1CBB"/>
    <w:rsid w:val="009F3305"/>
    <w:rsid w:val="009F6FB2"/>
    <w:rsid w:val="00A06881"/>
    <w:rsid w:val="00A071C0"/>
    <w:rsid w:val="00A22670"/>
    <w:rsid w:val="00A24B35"/>
    <w:rsid w:val="00A271BA"/>
    <w:rsid w:val="00A27F86"/>
    <w:rsid w:val="00A431C6"/>
    <w:rsid w:val="00A47C3C"/>
    <w:rsid w:val="00A53A37"/>
    <w:rsid w:val="00A54315"/>
    <w:rsid w:val="00A60FBC"/>
    <w:rsid w:val="00A65C0B"/>
    <w:rsid w:val="00A81FD2"/>
    <w:rsid w:val="00A8441A"/>
    <w:rsid w:val="00A8674A"/>
    <w:rsid w:val="00AA6F6E"/>
    <w:rsid w:val="00AB48D3"/>
    <w:rsid w:val="00AD5B88"/>
    <w:rsid w:val="00AE2124"/>
    <w:rsid w:val="00AE24BC"/>
    <w:rsid w:val="00AE3E3F"/>
    <w:rsid w:val="00AF4760"/>
    <w:rsid w:val="00AF55D4"/>
    <w:rsid w:val="00B05C2D"/>
    <w:rsid w:val="00B12933"/>
    <w:rsid w:val="00B12B88"/>
    <w:rsid w:val="00B13BC8"/>
    <w:rsid w:val="00B24662"/>
    <w:rsid w:val="00B3569C"/>
    <w:rsid w:val="00B43676"/>
    <w:rsid w:val="00B60125"/>
    <w:rsid w:val="00B611FF"/>
    <w:rsid w:val="00B6656B"/>
    <w:rsid w:val="00B71625"/>
    <w:rsid w:val="00B75C54"/>
    <w:rsid w:val="00B92A93"/>
    <w:rsid w:val="00BA17A8"/>
    <w:rsid w:val="00BA3C33"/>
    <w:rsid w:val="00BB0878"/>
    <w:rsid w:val="00BB1879"/>
    <w:rsid w:val="00BC0ABE"/>
    <w:rsid w:val="00BC30DB"/>
    <w:rsid w:val="00BC64FF"/>
    <w:rsid w:val="00BC7C37"/>
    <w:rsid w:val="00BD2244"/>
    <w:rsid w:val="00BE1FD6"/>
    <w:rsid w:val="00BE35D4"/>
    <w:rsid w:val="00BE6472"/>
    <w:rsid w:val="00BF29B8"/>
    <w:rsid w:val="00BF46EA"/>
    <w:rsid w:val="00C02234"/>
    <w:rsid w:val="00C07D05"/>
    <w:rsid w:val="00C10856"/>
    <w:rsid w:val="00C203FA"/>
    <w:rsid w:val="00C3164F"/>
    <w:rsid w:val="00C31B5E"/>
    <w:rsid w:val="00C34D3E"/>
    <w:rsid w:val="00C35B37"/>
    <w:rsid w:val="00C3747A"/>
    <w:rsid w:val="00C56DCC"/>
    <w:rsid w:val="00C57075"/>
    <w:rsid w:val="00C67664"/>
    <w:rsid w:val="00C72AFE"/>
    <w:rsid w:val="00C76BB5"/>
    <w:rsid w:val="00C81619"/>
    <w:rsid w:val="00CA013C"/>
    <w:rsid w:val="00CA499C"/>
    <w:rsid w:val="00CA6D6D"/>
    <w:rsid w:val="00CC7A4E"/>
    <w:rsid w:val="00CD1359"/>
    <w:rsid w:val="00CD2851"/>
    <w:rsid w:val="00CD4C83"/>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15CC"/>
    <w:rsid w:val="00D77956"/>
    <w:rsid w:val="00D80F0C"/>
    <w:rsid w:val="00D92077"/>
    <w:rsid w:val="00D951E2"/>
    <w:rsid w:val="00D9565A"/>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353A2"/>
    <w:rsid w:val="00E36881"/>
    <w:rsid w:val="00E42E4C"/>
    <w:rsid w:val="00E47013"/>
    <w:rsid w:val="00E541F9"/>
    <w:rsid w:val="00E57B79"/>
    <w:rsid w:val="00E63419"/>
    <w:rsid w:val="00E6430B"/>
    <w:rsid w:val="00E64496"/>
    <w:rsid w:val="00E8322E"/>
    <w:rsid w:val="00E903E0"/>
    <w:rsid w:val="00EA1115"/>
    <w:rsid w:val="00EA39EB"/>
    <w:rsid w:val="00EA58CE"/>
    <w:rsid w:val="00EB33FF"/>
    <w:rsid w:val="00EC2759"/>
    <w:rsid w:val="00EC7106"/>
    <w:rsid w:val="00ED0120"/>
    <w:rsid w:val="00ED4E12"/>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73954"/>
    <w:rsid w:val="00F8601D"/>
    <w:rsid w:val="00F94060"/>
    <w:rsid w:val="00FA56F6"/>
    <w:rsid w:val="00FB329D"/>
    <w:rsid w:val="00FB3DD1"/>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69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C76BB5"/>
    <w:pPr>
      <w:spacing w:after="160" w:line="259" w:lineRule="auto"/>
    </w:pPr>
    <w:rPr>
      <w:rFonts w:ascii="Times New Roman" w:eastAsiaTheme="minorHAnsi" w:hAnsi="Times New Roman" w:cs="Times New Roman"/>
      <w:sz w:val="22"/>
      <w:szCs w:val="22"/>
    </w:rPr>
  </w:style>
  <w:style w:type="paragraph" w:styleId="Heading1">
    <w:name w:val="heading 1"/>
    <w:aliases w:val="Pocket"/>
    <w:basedOn w:val="Normal"/>
    <w:next w:val="Normal"/>
    <w:link w:val="Heading1Char"/>
    <w:autoRedefine/>
    <w:qFormat/>
    <w:rsid w:val="00C76BB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C76BB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C76BB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t,tag"/>
    <w:basedOn w:val="Normal"/>
    <w:next w:val="Normal"/>
    <w:link w:val="Heading4Char"/>
    <w:autoRedefine/>
    <w:uiPriority w:val="3"/>
    <w:unhideWhenUsed/>
    <w:qFormat/>
    <w:rsid w:val="00C76BB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C76BB5"/>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C76BB5"/>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C76BB5"/>
    <w:rPr>
      <w:rFonts w:ascii="Times New Roman" w:eastAsiaTheme="majorEastAsia" w:hAnsi="Times New Roman" w:cstheme="majorBidi"/>
      <w:b/>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3"/>
    <w:rsid w:val="00C76BB5"/>
    <w:rPr>
      <w:rFonts w:ascii="Times New Roman" w:eastAsiaTheme="majorEastAsia" w:hAnsi="Times New Roman" w:cstheme="majorBidi"/>
      <w:b/>
      <w:iCs/>
      <w:sz w:val="26"/>
      <w:szCs w:val="22"/>
    </w:rPr>
  </w:style>
  <w:style w:type="character" w:customStyle="1" w:styleId="Style13ptBold">
    <w:name w:val="Style 13 pt Bold"/>
    <w:aliases w:val="Cite"/>
    <w:basedOn w:val="DefaultParagraphFont"/>
    <w:uiPriority w:val="5"/>
    <w:qFormat/>
    <w:rsid w:val="00C76BB5"/>
    <w:rPr>
      <w:b/>
      <w:bCs/>
      <w:sz w:val="26"/>
      <w:u w:val="none"/>
    </w:rPr>
  </w:style>
  <w:style w:type="character" w:customStyle="1" w:styleId="StyleUnderline">
    <w:name w:val="Style Underline"/>
    <w:aliases w:val="Underline,Style Bold Underline,Cards + Font: 12 pt Char,Bold Cite Char,Heading 3 Char1 Char Char Char,cite,Intense Emphasis21,apple-style-span + 6 pt,Bold,Kern at 16 pt,Style,Intense Emphasis1,Intense Emphasis11,Intense Emphasis2,ci,c,B"/>
    <w:basedOn w:val="DefaultParagraphFont"/>
    <w:uiPriority w:val="1"/>
    <w:qFormat/>
    <w:rsid w:val="00C76BB5"/>
    <w:rPr>
      <w:b/>
      <w:sz w:val="22"/>
      <w:u w:val="single"/>
    </w:rPr>
  </w:style>
  <w:style w:type="character" w:styleId="Emphasis">
    <w:name w:val="Emphasis"/>
    <w:basedOn w:val="DefaultParagraphFont"/>
    <w:uiPriority w:val="7"/>
    <w:qFormat/>
    <w:rsid w:val="00C76BB5"/>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C76BB5"/>
    <w:rPr>
      <w:color w:val="auto"/>
      <w:u w:val="none"/>
    </w:rPr>
  </w:style>
  <w:style w:type="character" w:styleId="Hyperlink">
    <w:name w:val="Hyperlink"/>
    <w:basedOn w:val="DefaultParagraphFont"/>
    <w:uiPriority w:val="99"/>
    <w:unhideWhenUsed/>
    <w:rsid w:val="00C76BB5"/>
    <w:rPr>
      <w:color w:val="auto"/>
      <w:u w:val="none"/>
    </w:rPr>
  </w:style>
  <w:style w:type="paragraph" w:styleId="DocumentMap">
    <w:name w:val="Document Map"/>
    <w:basedOn w:val="Normal"/>
    <w:link w:val="DocumentMapChar"/>
    <w:uiPriority w:val="99"/>
    <w:semiHidden/>
    <w:unhideWhenUsed/>
    <w:rsid w:val="00245D2A"/>
    <w:rPr>
      <w:rFonts w:ascii="Lucida Grande" w:hAnsi="Lucida Grande" w:cs="Lucida Grande"/>
    </w:rPr>
  </w:style>
  <w:style w:type="character" w:customStyle="1" w:styleId="DocumentMapChar">
    <w:name w:val="Document Map Char"/>
    <w:basedOn w:val="DefaultParagraphFont"/>
    <w:link w:val="DocumentMap"/>
    <w:uiPriority w:val="99"/>
    <w:semiHidden/>
    <w:rsid w:val="00245D2A"/>
    <w:rPr>
      <w:rFonts w:ascii="Lucida Grande" w:hAnsi="Lucida Grande" w:cs="Lucida Grande"/>
    </w:rPr>
  </w:style>
  <w:style w:type="character" w:customStyle="1" w:styleId="apple-converted-space">
    <w:name w:val="apple-converted-space"/>
    <w:basedOn w:val="DefaultParagraphFont"/>
    <w:rsid w:val="002B5F50"/>
  </w:style>
  <w:style w:type="character" w:customStyle="1" w:styleId="hvr">
    <w:name w:val="hvr"/>
    <w:basedOn w:val="DefaultParagraphFont"/>
    <w:rsid w:val="002B5F50"/>
  </w:style>
  <w:style w:type="character" w:customStyle="1" w:styleId="illustration">
    <w:name w:val="illustration"/>
    <w:basedOn w:val="DefaultParagraphFont"/>
    <w:rsid w:val="002B5F50"/>
  </w:style>
  <w:style w:type="paragraph" w:customStyle="1" w:styleId="definition-inner-item">
    <w:name w:val="definition-inner-item"/>
    <w:basedOn w:val="Normal"/>
    <w:rsid w:val="002B5F50"/>
    <w:pPr>
      <w:spacing w:before="100" w:beforeAutospacing="1" w:after="100" w:afterAutospacing="1"/>
    </w:pPr>
    <w:rPr>
      <w:rFonts w:ascii="Times" w:hAnsi="Times"/>
      <w:sz w:val="20"/>
      <w:szCs w:val="20"/>
    </w:rPr>
  </w:style>
  <w:style w:type="character" w:customStyle="1" w:styleId="intro-colon">
    <w:name w:val="intro-colon"/>
    <w:basedOn w:val="DefaultParagraphFont"/>
    <w:rsid w:val="002B5F50"/>
  </w:style>
  <w:style w:type="paragraph" w:styleId="FootnoteText">
    <w:name w:val="footnote text"/>
    <w:basedOn w:val="Normal"/>
    <w:link w:val="FootnoteTextChar"/>
    <w:uiPriority w:val="99"/>
    <w:unhideWhenUsed/>
    <w:rsid w:val="002B5F50"/>
  </w:style>
  <w:style w:type="character" w:customStyle="1" w:styleId="FootnoteTextChar">
    <w:name w:val="Footnote Text Char"/>
    <w:basedOn w:val="DefaultParagraphFont"/>
    <w:link w:val="FootnoteText"/>
    <w:uiPriority w:val="99"/>
    <w:rsid w:val="002B5F50"/>
    <w:rPr>
      <w:rFonts w:ascii="Georgia" w:hAnsi="Georgia"/>
    </w:rPr>
  </w:style>
  <w:style w:type="character" w:styleId="FootnoteReference">
    <w:name w:val="footnote reference"/>
    <w:basedOn w:val="DefaultParagraphFont"/>
    <w:uiPriority w:val="99"/>
    <w:unhideWhenUsed/>
    <w:rsid w:val="002B5F50"/>
    <w:rPr>
      <w:vertAlign w:val="superscript"/>
    </w:rPr>
  </w:style>
  <w:style w:type="paragraph" w:styleId="ListParagraph">
    <w:name w:val="List Paragraph"/>
    <w:basedOn w:val="Normal"/>
    <w:uiPriority w:val="34"/>
    <w:qFormat/>
    <w:rsid w:val="00C676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C76BB5"/>
    <w:pPr>
      <w:spacing w:after="160" w:line="259" w:lineRule="auto"/>
    </w:pPr>
    <w:rPr>
      <w:rFonts w:ascii="Times New Roman" w:eastAsiaTheme="minorHAnsi" w:hAnsi="Times New Roman" w:cs="Times New Roman"/>
      <w:sz w:val="22"/>
      <w:szCs w:val="22"/>
    </w:rPr>
  </w:style>
  <w:style w:type="paragraph" w:styleId="Heading1">
    <w:name w:val="heading 1"/>
    <w:aliases w:val="Pocket"/>
    <w:basedOn w:val="Normal"/>
    <w:next w:val="Normal"/>
    <w:link w:val="Heading1Char"/>
    <w:autoRedefine/>
    <w:qFormat/>
    <w:rsid w:val="00C76BB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C76BB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C76BB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t,tag"/>
    <w:basedOn w:val="Normal"/>
    <w:next w:val="Normal"/>
    <w:link w:val="Heading4Char"/>
    <w:autoRedefine/>
    <w:uiPriority w:val="3"/>
    <w:unhideWhenUsed/>
    <w:qFormat/>
    <w:rsid w:val="00C76BB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C76BB5"/>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C76BB5"/>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C76BB5"/>
    <w:rPr>
      <w:rFonts w:ascii="Times New Roman" w:eastAsiaTheme="majorEastAsia" w:hAnsi="Times New Roman" w:cstheme="majorBidi"/>
      <w:b/>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3"/>
    <w:rsid w:val="00C76BB5"/>
    <w:rPr>
      <w:rFonts w:ascii="Times New Roman" w:eastAsiaTheme="majorEastAsia" w:hAnsi="Times New Roman" w:cstheme="majorBidi"/>
      <w:b/>
      <w:iCs/>
      <w:sz w:val="26"/>
      <w:szCs w:val="22"/>
    </w:rPr>
  </w:style>
  <w:style w:type="character" w:customStyle="1" w:styleId="Style13ptBold">
    <w:name w:val="Style 13 pt Bold"/>
    <w:aliases w:val="Cite"/>
    <w:basedOn w:val="DefaultParagraphFont"/>
    <w:uiPriority w:val="5"/>
    <w:qFormat/>
    <w:rsid w:val="00C76BB5"/>
    <w:rPr>
      <w:b/>
      <w:bCs/>
      <w:sz w:val="26"/>
      <w:u w:val="none"/>
    </w:rPr>
  </w:style>
  <w:style w:type="character" w:customStyle="1" w:styleId="StyleUnderline">
    <w:name w:val="Style Underline"/>
    <w:aliases w:val="Underline,Style Bold Underline,Cards + Font: 12 pt Char,Bold Cite Char,Heading 3 Char1 Char Char Char,cite,Intense Emphasis21,apple-style-span + 6 pt,Bold,Kern at 16 pt,Style,Intense Emphasis1,Intense Emphasis11,Intense Emphasis2,ci,c,B"/>
    <w:basedOn w:val="DefaultParagraphFont"/>
    <w:uiPriority w:val="1"/>
    <w:qFormat/>
    <w:rsid w:val="00C76BB5"/>
    <w:rPr>
      <w:b/>
      <w:sz w:val="22"/>
      <w:u w:val="single"/>
    </w:rPr>
  </w:style>
  <w:style w:type="character" w:styleId="Emphasis">
    <w:name w:val="Emphasis"/>
    <w:basedOn w:val="DefaultParagraphFont"/>
    <w:uiPriority w:val="7"/>
    <w:qFormat/>
    <w:rsid w:val="00C76BB5"/>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C76BB5"/>
    <w:rPr>
      <w:color w:val="auto"/>
      <w:u w:val="none"/>
    </w:rPr>
  </w:style>
  <w:style w:type="character" w:styleId="Hyperlink">
    <w:name w:val="Hyperlink"/>
    <w:basedOn w:val="DefaultParagraphFont"/>
    <w:uiPriority w:val="99"/>
    <w:unhideWhenUsed/>
    <w:rsid w:val="00C76BB5"/>
    <w:rPr>
      <w:color w:val="auto"/>
      <w:u w:val="none"/>
    </w:rPr>
  </w:style>
  <w:style w:type="paragraph" w:styleId="DocumentMap">
    <w:name w:val="Document Map"/>
    <w:basedOn w:val="Normal"/>
    <w:link w:val="DocumentMapChar"/>
    <w:uiPriority w:val="99"/>
    <w:semiHidden/>
    <w:unhideWhenUsed/>
    <w:rsid w:val="00245D2A"/>
    <w:rPr>
      <w:rFonts w:ascii="Lucida Grande" w:hAnsi="Lucida Grande" w:cs="Lucida Grande"/>
    </w:rPr>
  </w:style>
  <w:style w:type="character" w:customStyle="1" w:styleId="DocumentMapChar">
    <w:name w:val="Document Map Char"/>
    <w:basedOn w:val="DefaultParagraphFont"/>
    <w:link w:val="DocumentMap"/>
    <w:uiPriority w:val="99"/>
    <w:semiHidden/>
    <w:rsid w:val="00245D2A"/>
    <w:rPr>
      <w:rFonts w:ascii="Lucida Grande" w:hAnsi="Lucida Grande" w:cs="Lucida Grande"/>
    </w:rPr>
  </w:style>
  <w:style w:type="character" w:customStyle="1" w:styleId="apple-converted-space">
    <w:name w:val="apple-converted-space"/>
    <w:basedOn w:val="DefaultParagraphFont"/>
    <w:rsid w:val="002B5F50"/>
  </w:style>
  <w:style w:type="character" w:customStyle="1" w:styleId="hvr">
    <w:name w:val="hvr"/>
    <w:basedOn w:val="DefaultParagraphFont"/>
    <w:rsid w:val="002B5F50"/>
  </w:style>
  <w:style w:type="character" w:customStyle="1" w:styleId="illustration">
    <w:name w:val="illustration"/>
    <w:basedOn w:val="DefaultParagraphFont"/>
    <w:rsid w:val="002B5F50"/>
  </w:style>
  <w:style w:type="paragraph" w:customStyle="1" w:styleId="definition-inner-item">
    <w:name w:val="definition-inner-item"/>
    <w:basedOn w:val="Normal"/>
    <w:rsid w:val="002B5F50"/>
    <w:pPr>
      <w:spacing w:before="100" w:beforeAutospacing="1" w:after="100" w:afterAutospacing="1"/>
    </w:pPr>
    <w:rPr>
      <w:rFonts w:ascii="Times" w:hAnsi="Times"/>
      <w:sz w:val="20"/>
      <w:szCs w:val="20"/>
    </w:rPr>
  </w:style>
  <w:style w:type="character" w:customStyle="1" w:styleId="intro-colon">
    <w:name w:val="intro-colon"/>
    <w:basedOn w:val="DefaultParagraphFont"/>
    <w:rsid w:val="002B5F50"/>
  </w:style>
  <w:style w:type="paragraph" w:styleId="FootnoteText">
    <w:name w:val="footnote text"/>
    <w:basedOn w:val="Normal"/>
    <w:link w:val="FootnoteTextChar"/>
    <w:uiPriority w:val="99"/>
    <w:unhideWhenUsed/>
    <w:rsid w:val="002B5F50"/>
  </w:style>
  <w:style w:type="character" w:customStyle="1" w:styleId="FootnoteTextChar">
    <w:name w:val="Footnote Text Char"/>
    <w:basedOn w:val="DefaultParagraphFont"/>
    <w:link w:val="FootnoteText"/>
    <w:uiPriority w:val="99"/>
    <w:rsid w:val="002B5F50"/>
    <w:rPr>
      <w:rFonts w:ascii="Georgia" w:hAnsi="Georgia"/>
    </w:rPr>
  </w:style>
  <w:style w:type="character" w:styleId="FootnoteReference">
    <w:name w:val="footnote reference"/>
    <w:basedOn w:val="DefaultParagraphFont"/>
    <w:uiPriority w:val="99"/>
    <w:unhideWhenUsed/>
    <w:rsid w:val="002B5F50"/>
    <w:rPr>
      <w:vertAlign w:val="superscript"/>
    </w:rPr>
  </w:style>
  <w:style w:type="paragraph" w:styleId="ListParagraph">
    <w:name w:val="List Paragraph"/>
    <w:basedOn w:val="Normal"/>
    <w:uiPriority w:val="34"/>
    <w:qFormat/>
    <w:rsid w:val="00C67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70682">
      <w:bodyDiv w:val="1"/>
      <w:marLeft w:val="0"/>
      <w:marRight w:val="0"/>
      <w:marTop w:val="0"/>
      <w:marBottom w:val="0"/>
      <w:divBdr>
        <w:top w:val="none" w:sz="0" w:space="0" w:color="auto"/>
        <w:left w:val="none" w:sz="0" w:space="0" w:color="auto"/>
        <w:bottom w:val="none" w:sz="0" w:space="0" w:color="auto"/>
        <w:right w:val="none" w:sz="0" w:space="0" w:color="auto"/>
      </w:divBdr>
    </w:div>
    <w:div w:id="880821664">
      <w:bodyDiv w:val="1"/>
      <w:marLeft w:val="0"/>
      <w:marRight w:val="0"/>
      <w:marTop w:val="0"/>
      <w:marBottom w:val="0"/>
      <w:divBdr>
        <w:top w:val="none" w:sz="0" w:space="0" w:color="auto"/>
        <w:left w:val="none" w:sz="0" w:space="0" w:color="auto"/>
        <w:bottom w:val="none" w:sz="0" w:space="0" w:color="auto"/>
        <w:right w:val="none" w:sz="0" w:space="0" w:color="auto"/>
      </w:divBdr>
      <w:divsChild>
        <w:div w:id="1098792228">
          <w:marLeft w:val="567"/>
          <w:marRight w:val="0"/>
          <w:marTop w:val="0"/>
          <w:marBottom w:val="0"/>
          <w:divBdr>
            <w:top w:val="none" w:sz="0" w:space="0" w:color="auto"/>
            <w:left w:val="none" w:sz="0" w:space="0" w:color="auto"/>
            <w:bottom w:val="none" w:sz="0" w:space="0" w:color="auto"/>
            <w:right w:val="none" w:sz="0" w:space="0" w:color="auto"/>
          </w:divBdr>
        </w:div>
      </w:divsChild>
    </w:div>
    <w:div w:id="951017526">
      <w:bodyDiv w:val="1"/>
      <w:marLeft w:val="0"/>
      <w:marRight w:val="0"/>
      <w:marTop w:val="0"/>
      <w:marBottom w:val="0"/>
      <w:divBdr>
        <w:top w:val="none" w:sz="0" w:space="0" w:color="auto"/>
        <w:left w:val="none" w:sz="0" w:space="0" w:color="auto"/>
        <w:bottom w:val="none" w:sz="0" w:space="0" w:color="auto"/>
        <w:right w:val="none" w:sz="0" w:space="0" w:color="auto"/>
      </w:divBdr>
    </w:div>
    <w:div w:id="1118064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briefly.com/2015/02/20/the-priority-of-resolutional-semantics-by-jake-nebe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70EEE-4831-A24A-B9D7-B597CF29A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\Users\Jack\AppData\Roaming\Microsoft\Templates\Debate.dotm</Template>
  <TotalTime>3</TotalTime>
  <Pages>1</Pages>
  <Words>1072</Words>
  <Characters>6111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7169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6</cp:revision>
  <dcterms:created xsi:type="dcterms:W3CDTF">2016-03-14T02:59:00Z</dcterms:created>
  <dcterms:modified xsi:type="dcterms:W3CDTF">2016-03-16T18:20:00Z</dcterms:modified>
  <cp:category/>
</cp:coreProperties>
</file>