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9" w:rsidRDefault="00960A09" w:rsidP="00960A09">
      <w:pPr>
        <w:pStyle w:val="Heading1"/>
      </w:pPr>
      <w:r>
        <w:t>Interp</w:t>
      </w:r>
    </w:p>
    <w:p w:rsidR="00960A09" w:rsidRDefault="00960A09" w:rsidP="00960A09">
      <w:pPr>
        <w:pStyle w:val="Citation"/>
      </w:pPr>
      <w:r>
        <w:t xml:space="preserve">A </w:t>
      </w:r>
      <w:r>
        <w:t>Interpretation – The affirmative m</w:t>
      </w:r>
      <w:r>
        <w:t>ust fiat the living wage as a minimum wage hike across the board if they read a u</w:t>
      </w:r>
      <w:r>
        <w:t xml:space="preserve">tilitarian </w:t>
      </w:r>
      <w:r>
        <w:t>f</w:t>
      </w:r>
      <w:r>
        <w:t xml:space="preserve">ramework </w:t>
      </w:r>
    </w:p>
    <w:p w:rsidR="00960A09" w:rsidRDefault="00960A09" w:rsidP="00960A09">
      <w:pPr>
        <w:pStyle w:val="Citation"/>
      </w:pPr>
    </w:p>
    <w:p w:rsidR="00960A09" w:rsidRDefault="00960A09" w:rsidP="00960A09">
      <w:pPr>
        <w:pStyle w:val="Citation"/>
      </w:pPr>
      <w:r>
        <w:t xml:space="preserve">B </w:t>
      </w:r>
      <w:r>
        <w:t>Violation</w:t>
      </w:r>
    </w:p>
    <w:p w:rsidR="00960A09" w:rsidRDefault="00960A09" w:rsidP="00960A09">
      <w:pPr>
        <w:pStyle w:val="Citation"/>
      </w:pPr>
    </w:p>
    <w:p w:rsidR="00960A09" w:rsidRDefault="00960A09" w:rsidP="00960A09">
      <w:pPr>
        <w:pStyle w:val="Citation"/>
      </w:pPr>
      <w:r>
        <w:t xml:space="preserve">C </w:t>
      </w:r>
      <w:r>
        <w:t xml:space="preserve">Standards </w:t>
      </w:r>
    </w:p>
    <w:p w:rsidR="00960A09" w:rsidRDefault="00960A09" w:rsidP="00960A09">
      <w:pPr>
        <w:pStyle w:val="Citation"/>
      </w:pPr>
    </w:p>
    <w:p w:rsidR="00960A09" w:rsidRDefault="00960A09" w:rsidP="00960A09">
      <w:pPr>
        <w:pStyle w:val="Citation"/>
        <w:numPr>
          <w:ilvl w:val="0"/>
          <w:numId w:val="14"/>
        </w:numPr>
      </w:pPr>
      <w:r>
        <w:t xml:space="preserve">Topic lit- </w:t>
      </w:r>
      <w:r>
        <w:t xml:space="preserve">the a point is that </w:t>
      </w:r>
      <w:r>
        <w:t>the lit uniquely looks at the living wage as a higher minimum wage. Amadeo</w:t>
      </w:r>
      <w:r>
        <w:rPr>
          <w:rStyle w:val="FootnoteReference"/>
        </w:rPr>
        <w:footnoteReference w:id="1"/>
      </w:r>
    </w:p>
    <w:p w:rsidR="00960A09" w:rsidRDefault="00960A09" w:rsidP="00960A09">
      <w:pPr>
        <w:pStyle w:val="CardText"/>
        <w:ind w:left="0"/>
        <w:rPr>
          <w:rStyle w:val="BoldUnderline"/>
        </w:rPr>
      </w:pPr>
    </w:p>
    <w:p w:rsidR="00960A09" w:rsidRDefault="00960A09" w:rsidP="00960A09">
      <w:pPr>
        <w:pStyle w:val="CardText"/>
        <w:ind w:left="0"/>
      </w:pPr>
      <w:r w:rsidRPr="00796A7D">
        <w:rPr>
          <w:rStyle w:val="BoldUnderline"/>
        </w:rPr>
        <w:t>The living wage is the amount of income needed to provide an decent quality of life. It should pay for cost of living in any location, and should be adjusted to compensate for inflation. The purpose of a living wage is to make sure than anyone who works full-time should have enough money to live above the poverty level and avoid homelessness</w:t>
      </w:r>
      <w:r w:rsidRPr="00960A09">
        <w:rPr>
          <w:rStyle w:val="Minimize"/>
          <w:sz w:val="12"/>
        </w:rPr>
        <w:t xml:space="preserve">. A living wage does not include some basic buffers needed to improve one's quality of life or protect aqainst emergencies. For example, it doesn't provide enough income for ever eating at restaurants, save for a rainy day or pay for education loans. It doesn't include insurance, including medical, or auto or renters/homeowners. In other words, it's enough to keep you out of a homeless shelter, but you'd still have to live paycheck-to-paycheck. If you can't afford insurance, and you get sick, you could still wind up homeless. Living Wage Calculator: A living wage calculator shows the hourly rate needed to pay for typical basic costs in a given location. These costs are usually food, healthcare, rent, transportation, child care and taxes. The costs estimates are usually taken from government and non-profit surveys of such costs. The most well-known calculator is from M.I.T. It was developed in 2004 and was most recently updated in June 2012. It shows costs for each of the 50 states, and the living wage needed to pay those basic costs. It compares this to the minimum wage, and the poverty wage. It also shows which occupations in the area typically pay less than the living wage. See MIT Living Wage Calculator. The Economic Policy Institute has another calculator designed more for a family with children. It also used Federal data for the major metropolitan areas. Since it was lasted updated in 2008, its cost of living estimates are lower. See EPI Living Wage Calculator. Living Wage Campaign: </w:t>
      </w:r>
      <w:r w:rsidRPr="00796A7D">
        <w:rPr>
          <w:rStyle w:val="BoldUnderline"/>
        </w:rPr>
        <w:t>The goal of the living wage campaign is to make sure the minimum wage is equivalent to the true cost of living. The campaign is often waged at state and local levels, as well as at the national level.</w:t>
      </w:r>
      <w:r w:rsidRPr="00796A7D">
        <w:t xml:space="preserve"> </w:t>
      </w:r>
    </w:p>
    <w:p w:rsidR="00960A09" w:rsidRDefault="00960A09" w:rsidP="00960A09">
      <w:pPr>
        <w:pStyle w:val="CardText"/>
        <w:ind w:left="0"/>
      </w:pPr>
    </w:p>
    <w:p w:rsidR="00960A09" w:rsidRDefault="00960A09" w:rsidP="00960A09">
      <w:pPr>
        <w:pStyle w:val="CardText"/>
        <w:ind w:left="0"/>
      </w:pPr>
      <w:r>
        <w:t xml:space="preserve">The b point is that the world of accessible lit is biased towards the affirmative. There are only </w:t>
      </w:r>
    </w:p>
    <w:p w:rsidR="00960A09" w:rsidRDefault="00960A09" w:rsidP="00960A09">
      <w:pPr>
        <w:tabs>
          <w:tab w:val="left" w:pos="1134"/>
        </w:tabs>
      </w:pPr>
      <w:r>
        <w:t>Topic lit is key to fairness because all arguments relevant to the topic are found within the literature</w:t>
      </w:r>
    </w:p>
    <w:p w:rsidR="00960A09" w:rsidRDefault="00960A09" w:rsidP="00960A09">
      <w:pPr>
        <w:tabs>
          <w:tab w:val="left" w:pos="1134"/>
        </w:tabs>
      </w:pPr>
    </w:p>
    <w:p w:rsidR="00960A09" w:rsidRDefault="00960A09" w:rsidP="00960A09">
      <w:pPr>
        <w:pStyle w:val="ListParagraph"/>
        <w:numPr>
          <w:ilvl w:val="0"/>
          <w:numId w:val="13"/>
        </w:numPr>
        <w:tabs>
          <w:tab w:val="left" w:pos="1134"/>
        </w:tabs>
      </w:pPr>
      <w:r>
        <w:t xml:space="preserve">Strat skew- his interp allows the aff to sever out of any indicts in the 1AR. He can claim that employers that the neg talks about aren’t involved with the city so turns don’t link, and also delink out of a majority of neg empirics about why raising the wage floor is bad because of his vague advocacy. Preventing strat skew is key to fairness </w:t>
      </w:r>
      <w:bookmarkStart w:id="0" w:name="_GoBack"/>
      <w:bookmarkEnd w:id="0"/>
      <w:r>
        <w:t>because debaters must be able ot leverage arguments and positions against their opponent to access the ballot.</w:t>
      </w:r>
    </w:p>
    <w:p w:rsidR="00960A09" w:rsidRDefault="00960A09" w:rsidP="00960A09">
      <w:pPr>
        <w:pStyle w:val="ListParagraph"/>
        <w:numPr>
          <w:ilvl w:val="0"/>
          <w:numId w:val="13"/>
        </w:numPr>
        <w:tabs>
          <w:tab w:val="left" w:pos="1134"/>
        </w:tabs>
      </w:pPr>
      <w:r>
        <w:t>Quality ground—there are no studies on the comprehensive effect of the living wage that do not conceptualize of it as a general wage hike that flow remotely neg. means his advocacy has no neg literateure and no ability for us to engage.</w:t>
      </w:r>
    </w:p>
    <w:p w:rsidR="00960A09" w:rsidRDefault="00960A09" w:rsidP="00960A09">
      <w:pPr>
        <w:pStyle w:val="ListParagraph"/>
        <w:tabs>
          <w:tab w:val="left" w:pos="1134"/>
        </w:tabs>
        <w:ind w:left="1080"/>
      </w:pPr>
    </w:p>
    <w:p w:rsidR="00960A09" w:rsidRDefault="00960A09" w:rsidP="00960A09">
      <w:pPr>
        <w:pStyle w:val="ListParagraph"/>
        <w:tabs>
          <w:tab w:val="left" w:pos="1134"/>
        </w:tabs>
        <w:ind w:left="1080"/>
      </w:pPr>
      <w:r>
        <w:t xml:space="preserve">Jackson might say that he knows of one from 2015 that has some effect but a) I haven’t found it b) I asked for it before c) literature overwhelmingly still goes aff </w:t>
      </w:r>
    </w:p>
    <w:p w:rsidR="00960A09" w:rsidRDefault="00960A09" w:rsidP="00960A09">
      <w:pPr>
        <w:pStyle w:val="ListParagraph"/>
        <w:tabs>
          <w:tab w:val="left" w:pos="1134"/>
        </w:tabs>
        <w:ind w:left="1080"/>
      </w:pPr>
    </w:p>
    <w:p w:rsidR="00960A09" w:rsidRDefault="00960A09" w:rsidP="00960A09">
      <w:pPr>
        <w:pStyle w:val="ListParagraph"/>
        <w:tabs>
          <w:tab w:val="left" w:pos="1134"/>
        </w:tabs>
        <w:ind w:left="1080"/>
      </w:pPr>
      <w:r>
        <w:t xml:space="preserve">This comes first under fairness or education because its axiomatically from where the </w:t>
      </w:r>
    </w:p>
    <w:p w:rsidR="00960A09" w:rsidRDefault="00960A09" w:rsidP="00960A09">
      <w:pPr>
        <w:tabs>
          <w:tab w:val="left" w:pos="1134"/>
        </w:tabs>
        <w:ind w:left="720"/>
      </w:pPr>
    </w:p>
    <w:p w:rsidR="00960A09" w:rsidRDefault="00960A09" w:rsidP="00960A09">
      <w:pPr>
        <w:tabs>
          <w:tab w:val="left" w:pos="1134"/>
        </w:tabs>
        <w:ind w:left="720"/>
      </w:pPr>
    </w:p>
    <w:p w:rsidR="00D844E8" w:rsidRPr="00D60809" w:rsidRDefault="00D844E8" w:rsidP="00D60809">
      <w:pPr>
        <w:tabs>
          <w:tab w:val="left" w:pos="8715"/>
        </w:tabs>
      </w:pPr>
    </w:p>
    <w:sectPr w:rsidR="00D844E8" w:rsidRPr="00D60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590" w:rsidRDefault="007C5590" w:rsidP="00960A09">
      <w:r>
        <w:separator/>
      </w:r>
    </w:p>
  </w:endnote>
  <w:endnote w:type="continuationSeparator" w:id="0">
    <w:p w:rsidR="007C5590" w:rsidRDefault="007C5590" w:rsidP="0096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590" w:rsidRDefault="007C5590" w:rsidP="00960A09">
      <w:r>
        <w:separator/>
      </w:r>
    </w:p>
  </w:footnote>
  <w:footnote w:type="continuationSeparator" w:id="0">
    <w:p w:rsidR="007C5590" w:rsidRDefault="007C5590" w:rsidP="00960A09">
      <w:r>
        <w:continuationSeparator/>
      </w:r>
    </w:p>
  </w:footnote>
  <w:footnote w:id="1">
    <w:p w:rsidR="00960A09" w:rsidRPr="00670BBB" w:rsidRDefault="00960A09" w:rsidP="00960A09">
      <w:pPr>
        <w:pStyle w:val="Heading1"/>
        <w:spacing w:before="0"/>
        <w:rPr>
          <w:rStyle w:val="Minimize"/>
        </w:rPr>
      </w:pPr>
      <w:r w:rsidRPr="00670BBB">
        <w:rPr>
          <w:rStyle w:val="Minimize"/>
        </w:rPr>
        <w:footnoteRef/>
      </w:r>
      <w:r w:rsidRPr="00670BBB">
        <w:rPr>
          <w:rStyle w:val="Minimize"/>
        </w:rPr>
        <w:t xml:space="preserve"> </w:t>
      </w:r>
      <w:hyperlink r:id="rId1" w:history="1">
        <w:r w:rsidRPr="00670BBB">
          <w:rPr>
            <w:rStyle w:val="Minimize"/>
          </w:rPr>
          <w:t>http://useconomy.about.com/od/fiscalpolicy/p/Living-Wage.htm</w:t>
        </w:r>
      </w:hyperlink>
      <w:r w:rsidRPr="00670BBB">
        <w:rPr>
          <w:rStyle w:val="Minimize"/>
        </w:rPr>
        <w:t xml:space="preserve"> Living Wage</w:t>
      </w:r>
    </w:p>
    <w:p w:rsidR="00960A09" w:rsidRPr="00670BBB" w:rsidRDefault="00960A09" w:rsidP="00960A09">
      <w:pPr>
        <w:pStyle w:val="NormalWeb"/>
        <w:spacing w:before="0" w:beforeAutospacing="0" w:after="0" w:afterAutospacing="0" w:line="272" w:lineRule="atLeast"/>
        <w:rPr>
          <w:rStyle w:val="Minimize"/>
        </w:rPr>
      </w:pPr>
      <w:r w:rsidRPr="00670BBB">
        <w:rPr>
          <w:rStyle w:val="Minimize"/>
        </w:rPr>
        <w:t>By </w:t>
      </w:r>
      <w:hyperlink r:id="rId2" w:history="1">
        <w:r w:rsidRPr="00670BBB">
          <w:rPr>
            <w:rStyle w:val="Minimize"/>
          </w:rPr>
          <w:t>Kimberly Amadeo</w:t>
        </w:r>
      </w:hyperlink>
      <w:r>
        <w:rPr>
          <w:rStyle w:val="Minimize"/>
        </w:rPr>
        <w:t xml:space="preserve"> 2012</w:t>
      </w:r>
    </w:p>
    <w:p w:rsidR="00960A09" w:rsidRPr="00670BBB" w:rsidRDefault="00960A09" w:rsidP="00960A09">
      <w:pPr>
        <w:pStyle w:val="FootnoteText"/>
        <w:rPr>
          <w:rStyle w:val="Minimiz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508031D"/>
    <w:multiLevelType w:val="hybridMultilevel"/>
    <w:tmpl w:val="E6A4A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72BE7"/>
    <w:multiLevelType w:val="hybridMultilevel"/>
    <w:tmpl w:val="D1CE5ED2"/>
    <w:lvl w:ilvl="0" w:tplc="AC1E7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E00D51"/>
    <w:multiLevelType w:val="hybridMultilevel"/>
    <w:tmpl w:val="F4B8E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150407768"/>
    <w:docVar w:name="VerbatimVersion" w:val="5.1"/>
  </w:docVars>
  <w:rsids>
    <w:rsidRoot w:val="00960A09"/>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5E17"/>
    <w:rsid w:val="00315690"/>
    <w:rsid w:val="00316B75"/>
    <w:rsid w:val="00325646"/>
    <w:rsid w:val="00336BE9"/>
    <w:rsid w:val="003420EB"/>
    <w:rsid w:val="003460F2"/>
    <w:rsid w:val="0038158C"/>
    <w:rsid w:val="003902BA"/>
    <w:rsid w:val="003A09E2"/>
    <w:rsid w:val="00407037"/>
    <w:rsid w:val="004605D6"/>
    <w:rsid w:val="004C60E8"/>
    <w:rsid w:val="004E3579"/>
    <w:rsid w:val="004E728B"/>
    <w:rsid w:val="004F39E0"/>
    <w:rsid w:val="00537BD5"/>
    <w:rsid w:val="0057268A"/>
    <w:rsid w:val="00586CF6"/>
    <w:rsid w:val="005D2912"/>
    <w:rsid w:val="006065BD"/>
    <w:rsid w:val="00645FA9"/>
    <w:rsid w:val="00647866"/>
    <w:rsid w:val="00665003"/>
    <w:rsid w:val="006A2AD0"/>
    <w:rsid w:val="006B2BAB"/>
    <w:rsid w:val="006C2375"/>
    <w:rsid w:val="006D4ECC"/>
    <w:rsid w:val="00722258"/>
    <w:rsid w:val="007243E5"/>
    <w:rsid w:val="00766EA0"/>
    <w:rsid w:val="007A2226"/>
    <w:rsid w:val="007C5590"/>
    <w:rsid w:val="007F5B66"/>
    <w:rsid w:val="00823A1C"/>
    <w:rsid w:val="00845B9D"/>
    <w:rsid w:val="00860984"/>
    <w:rsid w:val="008B3ECB"/>
    <w:rsid w:val="008B4E85"/>
    <w:rsid w:val="008C1B2E"/>
    <w:rsid w:val="0091627E"/>
    <w:rsid w:val="00960A09"/>
    <w:rsid w:val="0097032B"/>
    <w:rsid w:val="009D2EAD"/>
    <w:rsid w:val="009D54B2"/>
    <w:rsid w:val="009E1922"/>
    <w:rsid w:val="009F7ED2"/>
    <w:rsid w:val="00A81325"/>
    <w:rsid w:val="00A93661"/>
    <w:rsid w:val="00A95652"/>
    <w:rsid w:val="00A978E6"/>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538"/>
    <w:rsid w:val="00E15E75"/>
    <w:rsid w:val="00E5262C"/>
    <w:rsid w:val="00EC7DC4"/>
    <w:rsid w:val="00ED30CF"/>
    <w:rsid w:val="00F176EF"/>
    <w:rsid w:val="00F45E10"/>
    <w:rsid w:val="00F6364A"/>
    <w:rsid w:val="00F87997"/>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22084-613D-418B-86DF-188BD2A4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60A09"/>
    <w:pPr>
      <w:spacing w:after="0" w:line="240" w:lineRule="auto"/>
    </w:pPr>
    <w:rPr>
      <w:rFonts w:ascii="Times New Roman" w:eastAsia="Times New Roman" w:hAnsi="Times New Roman" w:cs="Times New Roman"/>
      <w:sz w:val="26"/>
      <w:szCs w:val="24"/>
    </w:rPr>
  </w:style>
  <w:style w:type="paragraph" w:styleId="Heading1">
    <w:name w:val="heading 1"/>
    <w:aliases w:val="Pocket"/>
    <w:basedOn w:val="Normal"/>
    <w:next w:val="Normal"/>
    <w:link w:val="Heading1Char"/>
    <w:uiPriority w:val="9"/>
    <w:qFormat/>
    <w:rsid w:val="00960A0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0A09"/>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60A09"/>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960A09"/>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rsid w:val="00960A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A09"/>
  </w:style>
  <w:style w:type="character" w:customStyle="1" w:styleId="Heading1Char">
    <w:name w:val="Heading 1 Char"/>
    <w:aliases w:val="Pocket Char"/>
    <w:basedOn w:val="DefaultParagraphFont"/>
    <w:link w:val="Heading1"/>
    <w:uiPriority w:val="9"/>
    <w:rsid w:val="00960A0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60A09"/>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60A09"/>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960A09"/>
    <w:rPr>
      <w:rFonts w:ascii="Times New Roman" w:eastAsiaTheme="majorEastAsia" w:hAnsi="Times New Roman" w:cstheme="majorBidi"/>
      <w:b/>
      <w:iCs/>
      <w:sz w:val="26"/>
    </w:rPr>
  </w:style>
  <w:style w:type="character" w:styleId="Emphasis">
    <w:name w:val="Emphasis"/>
    <w:basedOn w:val="DefaultParagraphFont"/>
    <w:uiPriority w:val="7"/>
    <w:qFormat/>
    <w:rsid w:val="00960A09"/>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960A09"/>
    <w:rPr>
      <w:b/>
      <w:bCs/>
      <w:sz w:val="26"/>
      <w:u w:val="none"/>
    </w:rPr>
  </w:style>
  <w:style w:type="character" w:customStyle="1" w:styleId="StyleUnderline">
    <w:name w:val="Style Underline"/>
    <w:aliases w:val="Underline"/>
    <w:basedOn w:val="DefaultParagraphFont"/>
    <w:uiPriority w:val="6"/>
    <w:qFormat/>
    <w:rsid w:val="00960A09"/>
    <w:rPr>
      <w:b w:val="0"/>
      <w:sz w:val="22"/>
      <w:u w:val="single"/>
    </w:rPr>
  </w:style>
  <w:style w:type="character" w:styleId="Hyperlink">
    <w:name w:val="Hyperlink"/>
    <w:basedOn w:val="DefaultParagraphFont"/>
    <w:uiPriority w:val="99"/>
    <w:semiHidden/>
    <w:unhideWhenUsed/>
    <w:rsid w:val="00960A09"/>
    <w:rPr>
      <w:color w:val="auto"/>
      <w:u w:val="none"/>
    </w:rPr>
  </w:style>
  <w:style w:type="character" w:styleId="FollowedHyperlink">
    <w:name w:val="FollowedHyperlink"/>
    <w:basedOn w:val="DefaultParagraphFont"/>
    <w:uiPriority w:val="99"/>
    <w:semiHidden/>
    <w:unhideWhenUsed/>
    <w:rsid w:val="00960A09"/>
    <w:rPr>
      <w:color w:val="auto"/>
      <w:u w:val="none"/>
    </w:rPr>
  </w:style>
  <w:style w:type="paragraph" w:styleId="ListParagraph">
    <w:name w:val="List Paragraph"/>
    <w:basedOn w:val="Normal"/>
    <w:uiPriority w:val="99"/>
    <w:unhideWhenUsed/>
    <w:qFormat/>
    <w:rsid w:val="00960A09"/>
    <w:pPr>
      <w:ind w:left="720"/>
      <w:contextualSpacing/>
    </w:pPr>
  </w:style>
  <w:style w:type="paragraph" w:customStyle="1" w:styleId="Citation">
    <w:name w:val="Citation"/>
    <w:basedOn w:val="Normal"/>
    <w:rsid w:val="00960A09"/>
  </w:style>
  <w:style w:type="paragraph" w:customStyle="1" w:styleId="CardText">
    <w:name w:val="Card Text"/>
    <w:basedOn w:val="Normal"/>
    <w:link w:val="CardTextChar"/>
    <w:autoRedefine/>
    <w:rsid w:val="00960A09"/>
    <w:pPr>
      <w:ind w:left="1440"/>
    </w:pPr>
    <w:rPr>
      <w:rFonts w:ascii="Cambria" w:hAnsi="Cambria" w:cs="Tahoma"/>
      <w:szCs w:val="22"/>
    </w:rPr>
  </w:style>
  <w:style w:type="paragraph" w:styleId="NormalWeb">
    <w:name w:val="Normal (Web)"/>
    <w:basedOn w:val="Normal"/>
    <w:uiPriority w:val="99"/>
    <w:rsid w:val="00960A09"/>
    <w:pPr>
      <w:spacing w:before="100" w:beforeAutospacing="1" w:after="100" w:afterAutospacing="1"/>
    </w:pPr>
    <w:rPr>
      <w:color w:val="000000"/>
      <w:sz w:val="24"/>
    </w:rPr>
  </w:style>
  <w:style w:type="character" w:customStyle="1" w:styleId="BoldUnderline">
    <w:name w:val="Bold.Underline"/>
    <w:uiPriority w:val="1"/>
    <w:qFormat/>
    <w:rsid w:val="00960A09"/>
    <w:rPr>
      <w:b/>
      <w:u w:val="single"/>
    </w:rPr>
  </w:style>
  <w:style w:type="character" w:customStyle="1" w:styleId="Minimize">
    <w:name w:val="Minimize"/>
    <w:uiPriority w:val="1"/>
    <w:qFormat/>
    <w:rsid w:val="00960A09"/>
    <w:rPr>
      <w:rFonts w:asciiTheme="minorHAnsi" w:hAnsiTheme="minorHAnsi"/>
      <w:sz w:val="16"/>
    </w:rPr>
  </w:style>
  <w:style w:type="paragraph" w:styleId="FootnoteText">
    <w:name w:val="footnote text"/>
    <w:basedOn w:val="Normal"/>
    <w:link w:val="FootnoteTextChar"/>
    <w:uiPriority w:val="99"/>
    <w:qFormat/>
    <w:rsid w:val="00960A09"/>
    <w:rPr>
      <w:sz w:val="24"/>
    </w:rPr>
  </w:style>
  <w:style w:type="character" w:customStyle="1" w:styleId="FootnoteTextChar">
    <w:name w:val="Footnote Text Char"/>
    <w:basedOn w:val="DefaultParagraphFont"/>
    <w:link w:val="FootnoteText"/>
    <w:uiPriority w:val="99"/>
    <w:rsid w:val="00960A09"/>
    <w:rPr>
      <w:rFonts w:ascii="Times New Roman" w:eastAsia="Times New Roman" w:hAnsi="Times New Roman" w:cs="Times New Roman"/>
      <w:sz w:val="24"/>
      <w:szCs w:val="24"/>
    </w:rPr>
  </w:style>
  <w:style w:type="character" w:styleId="FootnoteReference">
    <w:name w:val="footnote reference"/>
    <w:basedOn w:val="DefaultParagraphFont"/>
    <w:uiPriority w:val="99"/>
    <w:rsid w:val="00960A09"/>
    <w:rPr>
      <w:vertAlign w:val="superscript"/>
    </w:rPr>
  </w:style>
  <w:style w:type="character" w:customStyle="1" w:styleId="CardTextChar">
    <w:name w:val="Card Text Char"/>
    <w:basedOn w:val="DefaultParagraphFont"/>
    <w:link w:val="CardText"/>
    <w:locked/>
    <w:rsid w:val="00960A09"/>
    <w:rPr>
      <w:rFonts w:ascii="Cambria" w:eastAsia="Times New Roman" w:hAnsi="Cambria" w:cs="Tahoma"/>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useconomy.about.com/bio/Kimberly-Amadeo-22286.htm" TargetMode="External"/><Relationship Id="rId1" Type="http://schemas.openxmlformats.org/officeDocument/2006/relationships/hyperlink" Target="http://useconomy.about.com/od/fiscalpolicy/p/Living-Wag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D45EA-EF88-422D-92E2-B73CF6F8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308</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1</cp:revision>
  <dcterms:created xsi:type="dcterms:W3CDTF">2015-04-12T23:53:00Z</dcterms:created>
  <dcterms:modified xsi:type="dcterms:W3CDTF">2015-04-14T00:10:00Z</dcterms:modified>
</cp:coreProperties>
</file>