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E4C" w:rsidRPr="00AF6E4C" w:rsidRDefault="00AF6E4C" w:rsidP="00AF6E4C">
      <w:pPr>
        <w:spacing w:after="0" w:line="240" w:lineRule="auto"/>
        <w:rPr>
          <w:rFonts w:ascii="Times New Roman" w:hAnsi="Times New Roman"/>
          <w:sz w:val="24"/>
        </w:rPr>
      </w:pPr>
      <w:r w:rsidRPr="00AF6E4C">
        <w:rPr>
          <w:rFonts w:ascii="Times New Roman" w:hAnsi="Times New Roman"/>
          <w:sz w:val="24"/>
        </w:rPr>
        <w:t>I negate and value morality, as ought implies a moral obligation.</w:t>
      </w:r>
    </w:p>
    <w:p w:rsidR="00AF6E4C" w:rsidRPr="00AF6E4C" w:rsidRDefault="00AF6E4C" w:rsidP="00AF6E4C">
      <w:pPr>
        <w:spacing w:after="0" w:line="240" w:lineRule="auto"/>
        <w:rPr>
          <w:rFonts w:ascii="Times New Roman" w:hAnsi="Times New Roman"/>
          <w:sz w:val="24"/>
        </w:rPr>
      </w:pPr>
    </w:p>
    <w:p w:rsidR="00AF6E4C" w:rsidRPr="00AF6E4C" w:rsidRDefault="00AF6E4C" w:rsidP="00AF6E4C">
      <w:pPr>
        <w:spacing w:after="0" w:line="240" w:lineRule="auto"/>
        <w:rPr>
          <w:rFonts w:ascii="Times New Roman" w:hAnsi="Times New Roman"/>
          <w:sz w:val="24"/>
        </w:rPr>
      </w:pPr>
      <w:r w:rsidRPr="00AF6E4C">
        <w:rPr>
          <w:rFonts w:ascii="Times New Roman" w:hAnsi="Times New Roman"/>
          <w:sz w:val="24"/>
        </w:rPr>
        <w:t xml:space="preserve">Only ethical theories that appeal to practical rationality give agents a normative reason to act on moral statements. Other moral rules that appeal to an external standard not predicated on rational choice fail to guide action because agents can simply question why they ought to act morally. This implies that reason is a fact from which all </w:t>
      </w:r>
      <w:proofErr w:type="gramStart"/>
      <w:r w:rsidRPr="00AF6E4C">
        <w:rPr>
          <w:rFonts w:ascii="Times New Roman" w:hAnsi="Times New Roman"/>
          <w:sz w:val="24"/>
        </w:rPr>
        <w:t>obligation</w:t>
      </w:r>
      <w:proofErr w:type="gramEnd"/>
      <w:r w:rsidRPr="00AF6E4C">
        <w:rPr>
          <w:rFonts w:ascii="Times New Roman" w:hAnsi="Times New Roman"/>
          <w:sz w:val="24"/>
        </w:rPr>
        <w:t xml:space="preserve"> is derived. David </w:t>
      </w:r>
      <w:proofErr w:type="spellStart"/>
      <w:r w:rsidRPr="00AF6E4C">
        <w:rPr>
          <w:rFonts w:ascii="Times New Roman" w:hAnsi="Times New Roman"/>
          <w:sz w:val="24"/>
        </w:rPr>
        <w:t>Velleman</w:t>
      </w:r>
      <w:proofErr w:type="spellEnd"/>
      <w:r w:rsidRPr="00AF6E4C">
        <w:rPr>
          <w:rStyle w:val="FootnoteReference"/>
          <w:sz w:val="24"/>
        </w:rPr>
        <w:footnoteReference w:id="1"/>
      </w:r>
      <w:r w:rsidRPr="00AF6E4C">
        <w:rPr>
          <w:rFonts w:ascii="Times New Roman" w:hAnsi="Times New Roman"/>
          <w:sz w:val="24"/>
        </w:rPr>
        <w:t xml:space="preserve"> explains:</w:t>
      </w:r>
    </w:p>
    <w:p w:rsidR="00AF6E4C" w:rsidRDefault="00AF6E4C" w:rsidP="00AF6E4C">
      <w:pPr>
        <w:spacing w:after="0" w:line="240" w:lineRule="auto"/>
        <w:ind w:left="720"/>
        <w:rPr>
          <w:rFonts w:ascii="Times New Roman" w:hAnsi="Times New Roman" w:cs="Times New Roman"/>
          <w:sz w:val="24"/>
          <w:szCs w:val="24"/>
        </w:rPr>
      </w:pPr>
      <w:r w:rsidRPr="00ED2319">
        <w:rPr>
          <w:rFonts w:ascii="Times New Roman" w:hAnsi="Times New Roman"/>
          <w:sz w:val="16"/>
          <w:szCs w:val="16"/>
        </w:rPr>
        <w:t>As we have seen</w:t>
      </w:r>
      <w:r w:rsidRPr="00ED2319">
        <w:rPr>
          <w:rFonts w:ascii="Times New Roman" w:hAnsi="Times New Roman"/>
        </w:rPr>
        <w:t xml:space="preserve">, </w:t>
      </w:r>
      <w:r w:rsidRPr="00AF6E4C">
        <w:rPr>
          <w:rFonts w:ascii="Times New Roman" w:hAnsi="Times New Roman"/>
          <w:b/>
          <w:sz w:val="24"/>
          <w:u w:val="single"/>
        </w:rPr>
        <w:t xml:space="preserve">requirements that depend for their force on some external source of authority turn out to be escapable because the authority behind them can be questioned. We can ask, “why should I act on this desire?” or “why should I obey the </w:t>
      </w:r>
      <w:r w:rsidRPr="00ED2319">
        <w:rPr>
          <w:rFonts w:ascii="Times New Roman" w:hAnsi="Times New Roman"/>
          <w:sz w:val="16"/>
        </w:rPr>
        <w:t>U.S.</w:t>
      </w:r>
      <w:r w:rsidRPr="00ED2319">
        <w:rPr>
          <w:rFonts w:ascii="Times New Roman" w:hAnsi="Times New Roman"/>
          <w:b/>
          <w:u w:val="single"/>
        </w:rPr>
        <w:t xml:space="preserve"> </w:t>
      </w:r>
      <w:r w:rsidRPr="00AF6E4C">
        <w:rPr>
          <w:rFonts w:ascii="Times New Roman" w:hAnsi="Times New Roman"/>
          <w:b/>
          <w:sz w:val="24"/>
          <w:u w:val="single"/>
        </w:rPr>
        <w:t xml:space="preserve">government?” or </w:t>
      </w:r>
      <w:r w:rsidRPr="00ED2319">
        <w:rPr>
          <w:rFonts w:ascii="Times New Roman" w:hAnsi="Times New Roman"/>
          <w:sz w:val="16"/>
        </w:rPr>
        <w:t>even “Why should I obey</w:t>
      </w:r>
      <w:r w:rsidRPr="00ED2319">
        <w:rPr>
          <w:rFonts w:ascii="Times New Roman" w:hAnsi="Times New Roman"/>
          <w:b/>
          <w:u w:val="single"/>
        </w:rPr>
        <w:t xml:space="preserve"> </w:t>
      </w:r>
      <w:r w:rsidRPr="00AF6E4C">
        <w:rPr>
          <w:rFonts w:ascii="Times New Roman" w:hAnsi="Times New Roman"/>
          <w:b/>
          <w:sz w:val="24"/>
          <w:u w:val="single"/>
        </w:rPr>
        <w:t>God?”</w:t>
      </w:r>
      <w:r w:rsidRPr="00AF6E4C">
        <w:rPr>
          <w:rFonts w:ascii="Times New Roman" w:hAnsi="Times New Roman"/>
          <w:sz w:val="24"/>
        </w:rPr>
        <w:t xml:space="preserve"> </w:t>
      </w:r>
      <w:r w:rsidRPr="00ED2319">
        <w:rPr>
          <w:rFonts w:ascii="Times New Roman" w:hAnsi="Times New Roman"/>
          <w:sz w:val="16"/>
          <w:szCs w:val="16"/>
        </w:rPr>
        <w:t>And as we observed in the case of the desire to punch someone in the nose,</w:t>
      </w:r>
      <w:r w:rsidRPr="00ED2319">
        <w:rPr>
          <w:rFonts w:ascii="Times New Roman" w:hAnsi="Times New Roman"/>
        </w:rPr>
        <w:t xml:space="preserve"> </w:t>
      </w:r>
      <w:r w:rsidRPr="00AF6E4C">
        <w:rPr>
          <w:rFonts w:ascii="Times New Roman" w:hAnsi="Times New Roman"/>
          <w:b/>
          <w:sz w:val="24"/>
          <w:u w:val="single"/>
        </w:rPr>
        <w:t xml:space="preserve">this question demands a reason for acting. The authority we are questioning would be vindicated, in each case, by the production of a sufficient reason.  </w:t>
      </w:r>
      <w:r w:rsidRPr="00ED2319">
        <w:rPr>
          <w:rFonts w:ascii="Times New Roman" w:hAnsi="Times New Roman"/>
          <w:sz w:val="16"/>
          <w:szCs w:val="16"/>
        </w:rPr>
        <w:t>What this observation suggests is that</w:t>
      </w:r>
      <w:r w:rsidRPr="00ED2319">
        <w:rPr>
          <w:rFonts w:ascii="Times New Roman" w:hAnsi="Times New Roman"/>
        </w:rPr>
        <w:t xml:space="preserve"> </w:t>
      </w:r>
      <w:r w:rsidRPr="00ED2319">
        <w:rPr>
          <w:rFonts w:ascii="Times New Roman" w:hAnsi="Times New Roman"/>
          <w:sz w:val="16"/>
        </w:rPr>
        <w:t xml:space="preserve">any purported source of practical authority depends on reasons for obeying it—and hence on the authority of reasons. Suppose, then, that we attempted to question the authority of reasons themselves, </w:t>
      </w:r>
      <w:r w:rsidRPr="00ED2319">
        <w:rPr>
          <w:rFonts w:ascii="Times New Roman" w:hAnsi="Times New Roman"/>
          <w:sz w:val="16"/>
          <w:szCs w:val="16"/>
        </w:rPr>
        <w:t>as we earlier questioned other authorities.</w:t>
      </w:r>
      <w:r w:rsidRPr="00ED2319">
        <w:rPr>
          <w:rFonts w:ascii="Times New Roman" w:hAnsi="Times New Roman"/>
          <w:sz w:val="16"/>
        </w:rPr>
        <w:t xml:space="preserve"> Where we previously </w:t>
      </w:r>
      <w:proofErr w:type="gramStart"/>
      <w:r w:rsidRPr="00ED2319">
        <w:rPr>
          <w:rFonts w:ascii="Times New Roman" w:hAnsi="Times New Roman"/>
          <w:sz w:val="16"/>
        </w:rPr>
        <w:t>asked</w:t>
      </w:r>
      <w:proofErr w:type="gramEnd"/>
      <w:r w:rsidRPr="00ED2319">
        <w:rPr>
          <w:rFonts w:ascii="Times New Roman" w:hAnsi="Times New Roman"/>
          <w:sz w:val="16"/>
        </w:rPr>
        <w:t xml:space="preserve"> “Why should I act on my desire?”</w:t>
      </w:r>
      <w:r w:rsidRPr="00ED2319">
        <w:rPr>
          <w:rFonts w:ascii="Times New Roman" w:hAnsi="Times New Roman"/>
          <w:b/>
          <w:u w:val="single"/>
        </w:rPr>
        <w:t xml:space="preserve"> </w:t>
      </w:r>
      <w:r w:rsidRPr="00AF6E4C">
        <w:rPr>
          <w:rFonts w:ascii="Times New Roman" w:hAnsi="Times New Roman"/>
          <w:b/>
          <w:sz w:val="24"/>
          <w:u w:val="single"/>
        </w:rPr>
        <w:t>let us now ask. “Why should I act for reasons?”</w:t>
      </w:r>
      <w:r w:rsidRPr="00AF6E4C">
        <w:rPr>
          <w:rFonts w:ascii="Times New Roman" w:hAnsi="Times New Roman"/>
          <w:sz w:val="24"/>
        </w:rPr>
        <w:t xml:space="preserve"> </w:t>
      </w:r>
      <w:r w:rsidRPr="00ED2319">
        <w:rPr>
          <w:rFonts w:ascii="Times New Roman" w:hAnsi="Times New Roman"/>
          <w:sz w:val="16"/>
          <w:szCs w:val="16"/>
        </w:rPr>
        <w:t xml:space="preserve">shouldn’t this question open up a route of escape from all requirements? </w:t>
      </w:r>
      <w:r w:rsidRPr="00ED2319">
        <w:rPr>
          <w:rFonts w:ascii="Times New Roman" w:hAnsi="Times New Roman"/>
          <w:sz w:val="16"/>
        </w:rPr>
        <w:t>As soon as we ask why we should act for reasons, however, we can hear something odd in our question.</w:t>
      </w:r>
      <w:r w:rsidRPr="00ED2319">
        <w:rPr>
          <w:rFonts w:ascii="Times New Roman" w:hAnsi="Times New Roman"/>
          <w:b/>
          <w:u w:val="single"/>
        </w:rPr>
        <w:t xml:space="preserve"> </w:t>
      </w:r>
      <w:r w:rsidRPr="00AF6E4C">
        <w:rPr>
          <w:rFonts w:ascii="Times New Roman" w:hAnsi="Times New Roman"/>
          <w:b/>
          <w:sz w:val="24"/>
          <w:u w:val="single"/>
        </w:rPr>
        <w:t xml:space="preserve">To </w:t>
      </w:r>
      <w:proofErr w:type="gramStart"/>
      <w:r w:rsidRPr="00AF6E4C">
        <w:rPr>
          <w:rFonts w:ascii="Times New Roman" w:hAnsi="Times New Roman"/>
          <w:b/>
          <w:sz w:val="24"/>
          <w:u w:val="single"/>
        </w:rPr>
        <w:t>ask</w:t>
      </w:r>
      <w:proofErr w:type="gramEnd"/>
      <w:r w:rsidRPr="00AF6E4C">
        <w:rPr>
          <w:rFonts w:ascii="Times New Roman" w:hAnsi="Times New Roman"/>
          <w:b/>
          <w:sz w:val="24"/>
          <w:u w:val="single"/>
        </w:rPr>
        <w:t xml:space="preserve"> “why should I?” is to demand a reason; and so to ask “why should I act for reasons?” is to demand a reason for acting for reasons. This demand implicitly concedes</w:t>
      </w:r>
      <w:r w:rsidRPr="00ED2319">
        <w:rPr>
          <w:rFonts w:ascii="Times New Roman" w:hAnsi="Times New Roman"/>
          <w:b/>
          <w:u w:val="single"/>
        </w:rPr>
        <w:t xml:space="preserve"> </w:t>
      </w:r>
      <w:r w:rsidRPr="00ED2319">
        <w:rPr>
          <w:rFonts w:ascii="Times New Roman" w:hAnsi="Times New Roman"/>
          <w:sz w:val="16"/>
        </w:rPr>
        <w:t xml:space="preserve">the very authority that it purports to question—namely, </w:t>
      </w:r>
      <w:r w:rsidRPr="00AF6E4C">
        <w:rPr>
          <w:rFonts w:ascii="Times New Roman" w:hAnsi="Times New Roman"/>
          <w:b/>
          <w:sz w:val="24"/>
          <w:u w:val="single"/>
        </w:rPr>
        <w:t xml:space="preserve">the authority of reasons. </w:t>
      </w:r>
      <w:r w:rsidRPr="00ED2319">
        <w:rPr>
          <w:rFonts w:ascii="Times New Roman" w:hAnsi="Times New Roman"/>
          <w:sz w:val="16"/>
        </w:rPr>
        <w:t xml:space="preserve">Why would we demand a reason if we didn’t envision acting for it? </w:t>
      </w:r>
      <w:r w:rsidRPr="00AF6E4C">
        <w:rPr>
          <w:rFonts w:ascii="Times New Roman" w:hAnsi="Times New Roman"/>
          <w:b/>
          <w:sz w:val="24"/>
          <w:u w:val="single"/>
        </w:rPr>
        <w:t>If we</w:t>
      </w:r>
      <w:r w:rsidRPr="00ED2319">
        <w:rPr>
          <w:rFonts w:ascii="Times New Roman" w:hAnsi="Times New Roman"/>
          <w:sz w:val="16"/>
        </w:rPr>
        <w:t xml:space="preserve"> really</w:t>
      </w:r>
      <w:r w:rsidRPr="00ED2319">
        <w:rPr>
          <w:rFonts w:ascii="Times New Roman" w:hAnsi="Times New Roman"/>
          <w:b/>
          <w:u w:val="single"/>
        </w:rPr>
        <w:t xml:space="preserve"> </w:t>
      </w:r>
      <w:r w:rsidRPr="00AF6E4C">
        <w:rPr>
          <w:rFonts w:ascii="Times New Roman" w:hAnsi="Times New Roman"/>
          <w:b/>
          <w:sz w:val="24"/>
          <w:u w:val="single"/>
        </w:rPr>
        <w:t>didn’t feel required to act for reasons, then a reason for doing so</w:t>
      </w:r>
      <w:r w:rsidRPr="00AF6E4C">
        <w:rPr>
          <w:rFonts w:ascii="Times New Roman" w:hAnsi="Times New Roman"/>
          <w:sz w:val="24"/>
        </w:rPr>
        <w:t xml:space="preserve"> </w:t>
      </w:r>
      <w:r w:rsidRPr="00ED2319">
        <w:rPr>
          <w:rFonts w:ascii="Times New Roman" w:hAnsi="Times New Roman"/>
          <w:sz w:val="16"/>
        </w:rPr>
        <w:t xml:space="preserve">certainly </w:t>
      </w:r>
      <w:r w:rsidRPr="00AF6E4C">
        <w:rPr>
          <w:rFonts w:ascii="Times New Roman" w:hAnsi="Times New Roman"/>
          <w:b/>
          <w:sz w:val="24"/>
          <w:u w:val="single"/>
        </w:rPr>
        <w:t>wouldn’t help.</w:t>
      </w:r>
      <w:r w:rsidRPr="00ED2319">
        <w:rPr>
          <w:rFonts w:ascii="Times New Roman" w:hAnsi="Times New Roman"/>
          <w:sz w:val="16"/>
        </w:rPr>
        <w:t xml:space="preserve"> So </w:t>
      </w:r>
      <w:r w:rsidRPr="00AF6E4C">
        <w:rPr>
          <w:rFonts w:ascii="Times New Roman" w:hAnsi="Times New Roman"/>
          <w:b/>
          <w:sz w:val="24"/>
          <w:u w:val="single"/>
        </w:rPr>
        <w:t>there is something self-defeating about asking for a reason to act for reasons.</w:t>
      </w:r>
    </w:p>
    <w:p w:rsidR="00AF6E4C" w:rsidRDefault="00AF6E4C" w:rsidP="00AF6E4C">
      <w:pPr>
        <w:spacing w:after="0" w:line="240" w:lineRule="auto"/>
        <w:rPr>
          <w:rFonts w:ascii="Times New Roman" w:hAnsi="Times New Roman" w:cs="Times New Roman"/>
          <w:sz w:val="24"/>
          <w:szCs w:val="24"/>
        </w:rPr>
      </w:pPr>
    </w:p>
    <w:p w:rsidR="00AF6E4C" w:rsidRDefault="00AF6E4C" w:rsidP="00AF6E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a result, the ability to act assumes the authority of rational agents to autonomously make choices independent of a reason-based restriction. The ability to autonomously will is grounded in personhood and independence, as to take an action assumes the authority of </w:t>
      </w:r>
      <w:proofErr w:type="gramStart"/>
      <w:r>
        <w:rPr>
          <w:rFonts w:ascii="Times New Roman" w:hAnsi="Times New Roman" w:cs="Times New Roman"/>
          <w:sz w:val="24"/>
          <w:szCs w:val="24"/>
        </w:rPr>
        <w:t>action-taking</w:t>
      </w:r>
      <w:proofErr w:type="gramEnd"/>
      <w:r>
        <w:rPr>
          <w:rFonts w:ascii="Times New Roman" w:hAnsi="Times New Roman" w:cs="Times New Roman"/>
          <w:sz w:val="24"/>
          <w:szCs w:val="24"/>
        </w:rPr>
        <w:t>, so a violation of autonomy denies the authority of reasons for taking actions.</w:t>
      </w:r>
    </w:p>
    <w:p w:rsidR="00AF6E4C" w:rsidRDefault="00AF6E4C" w:rsidP="00AF6E4C">
      <w:pPr>
        <w:spacing w:after="0" w:line="240" w:lineRule="auto"/>
        <w:rPr>
          <w:rFonts w:ascii="Times New Roman" w:hAnsi="Times New Roman" w:cs="Times New Roman"/>
          <w:sz w:val="24"/>
          <w:szCs w:val="24"/>
        </w:rPr>
      </w:pPr>
    </w:p>
    <w:p w:rsidR="00DB4AF0" w:rsidRPr="00DB4AF0" w:rsidRDefault="00DB4AF0" w:rsidP="00AF6E4C">
      <w:pPr>
        <w:spacing w:after="0" w:line="240" w:lineRule="auto"/>
        <w:rPr>
          <w:rFonts w:ascii="Times New Roman" w:hAnsi="Times New Roman" w:cs="Times New Roman"/>
          <w:sz w:val="24"/>
          <w:szCs w:val="24"/>
        </w:rPr>
      </w:pPr>
      <w:r>
        <w:rPr>
          <w:rFonts w:ascii="Times New Roman" w:hAnsi="Times New Roman" w:cs="Times New Roman"/>
          <w:sz w:val="24"/>
          <w:szCs w:val="24"/>
        </w:rPr>
        <w:t>Kantian ethics and respect for freedom demands the extension of voter enfranchisement. Allen Rosen</w:t>
      </w:r>
      <w:r>
        <w:rPr>
          <w:rStyle w:val="FootnoteReference"/>
          <w:sz w:val="24"/>
          <w:szCs w:val="24"/>
        </w:rPr>
        <w:footnoteReference w:id="2"/>
      </w:r>
      <w:r w:rsidR="0012532C">
        <w:rPr>
          <w:rFonts w:ascii="Times New Roman" w:hAnsi="Times New Roman" w:cs="Times New Roman"/>
          <w:sz w:val="24"/>
          <w:szCs w:val="24"/>
        </w:rPr>
        <w:t xml:space="preserve"> explains,</w:t>
      </w:r>
    </w:p>
    <w:p w:rsidR="00762F4A" w:rsidRPr="00DB4AF0" w:rsidRDefault="00040832" w:rsidP="00AF6E4C">
      <w:pPr>
        <w:spacing w:after="0" w:line="240" w:lineRule="auto"/>
        <w:ind w:left="720"/>
        <w:rPr>
          <w:rFonts w:ascii="Times New Roman" w:hAnsi="Times New Roman" w:cs="Times New Roman"/>
          <w:sz w:val="16"/>
          <w:szCs w:val="16"/>
        </w:rPr>
      </w:pPr>
      <w:r w:rsidRPr="00DB4AF0">
        <w:rPr>
          <w:rFonts w:ascii="Times New Roman" w:hAnsi="Times New Roman" w:cs="Times New Roman"/>
          <w:sz w:val="16"/>
          <w:szCs w:val="16"/>
        </w:rPr>
        <w:t>Kant’s property qualification is without question a product of patterns of thought that now seem quaint at best, dangerously backward at worst. While it would be pointless to bludgeon Kant for failing to shake off the prejudices of his own age, there are more appropriate grounds for criticizing his property qualification, most notably hat it violates the spirit of his own conception of justice. In the Critique of Pure Reason,</w:t>
      </w:r>
      <w:r w:rsidRPr="00DB4AF0">
        <w:rPr>
          <w:rFonts w:ascii="Times New Roman" w:hAnsi="Times New Roman" w:cs="Times New Roman"/>
          <w:sz w:val="24"/>
          <w:szCs w:val="24"/>
        </w:rPr>
        <w:t xml:space="preserve"> </w:t>
      </w:r>
      <w:r w:rsidRPr="00DB4AF0">
        <w:rPr>
          <w:rFonts w:ascii="Times New Roman" w:hAnsi="Times New Roman" w:cs="Times New Roman"/>
          <w:b/>
          <w:sz w:val="24"/>
          <w:szCs w:val="24"/>
          <w:u w:val="single"/>
        </w:rPr>
        <w:t>Kant argues that a just constitution must permit the “greatest possible human freedom in accordance with laws which ensure that the freedom of each can co-exist with the freedom of all the others.</w:t>
      </w:r>
      <w:r w:rsidRPr="00DB4AF0">
        <w:rPr>
          <w:rFonts w:ascii="Times New Roman" w:hAnsi="Times New Roman" w:cs="Times New Roman"/>
          <w:sz w:val="24"/>
          <w:szCs w:val="24"/>
        </w:rPr>
        <w:t xml:space="preserve">” </w:t>
      </w:r>
      <w:r w:rsidRPr="00DB4AF0">
        <w:rPr>
          <w:rFonts w:ascii="Times New Roman" w:hAnsi="Times New Roman" w:cs="Times New Roman"/>
          <w:sz w:val="16"/>
          <w:szCs w:val="16"/>
        </w:rPr>
        <w:t>As I noted before</w:t>
      </w:r>
      <w:r w:rsidRPr="00DB4AF0">
        <w:rPr>
          <w:rFonts w:ascii="Times New Roman" w:hAnsi="Times New Roman" w:cs="Times New Roman"/>
          <w:sz w:val="24"/>
          <w:szCs w:val="24"/>
        </w:rPr>
        <w:t xml:space="preserve">, </w:t>
      </w:r>
      <w:r w:rsidRPr="00DB4AF0">
        <w:rPr>
          <w:rFonts w:ascii="Times New Roman" w:hAnsi="Times New Roman" w:cs="Times New Roman"/>
          <w:b/>
          <w:sz w:val="24"/>
          <w:szCs w:val="24"/>
          <w:u w:val="single"/>
        </w:rPr>
        <w:t xml:space="preserve">Kant defines humanity as power to set ends </w:t>
      </w:r>
      <w:r w:rsidRPr="00DB4AF0">
        <w:rPr>
          <w:rFonts w:ascii="Times New Roman" w:hAnsi="Times New Roman" w:cs="Times New Roman"/>
          <w:sz w:val="16"/>
          <w:szCs w:val="16"/>
        </w:rPr>
        <w:t>(that is, the power of free choice).</w:t>
      </w:r>
      <w:r w:rsidRPr="00DB4AF0">
        <w:rPr>
          <w:rFonts w:ascii="Times New Roman" w:hAnsi="Times New Roman" w:cs="Times New Roman"/>
          <w:sz w:val="24"/>
          <w:szCs w:val="24"/>
        </w:rPr>
        <w:t xml:space="preserve"> </w:t>
      </w:r>
      <w:r w:rsidRPr="00DB4AF0">
        <w:rPr>
          <w:rFonts w:ascii="Times New Roman" w:hAnsi="Times New Roman" w:cs="Times New Roman"/>
          <w:b/>
          <w:sz w:val="24"/>
          <w:szCs w:val="24"/>
          <w:u w:val="single"/>
        </w:rPr>
        <w:t xml:space="preserve">Human freedom must therefore be understood as freedom of choice. </w:t>
      </w:r>
      <w:r w:rsidRPr="00DB4AF0">
        <w:rPr>
          <w:rFonts w:ascii="Times New Roman" w:hAnsi="Times New Roman" w:cs="Times New Roman"/>
          <w:sz w:val="16"/>
          <w:szCs w:val="16"/>
        </w:rPr>
        <w:t xml:space="preserve">It seems plain, </w:t>
      </w:r>
      <w:proofErr w:type="gramStart"/>
      <w:r w:rsidRPr="00DB4AF0">
        <w:rPr>
          <w:rFonts w:ascii="Times New Roman" w:hAnsi="Times New Roman" w:cs="Times New Roman"/>
          <w:sz w:val="16"/>
          <w:szCs w:val="16"/>
        </w:rPr>
        <w:t>also ,</w:t>
      </w:r>
      <w:proofErr w:type="gramEnd"/>
      <w:r w:rsidRPr="00DB4AF0">
        <w:rPr>
          <w:rFonts w:ascii="Times New Roman" w:hAnsi="Times New Roman" w:cs="Times New Roman"/>
          <w:sz w:val="16"/>
          <w:szCs w:val="16"/>
        </w:rPr>
        <w:t xml:space="preserve"> that the amount of</w:t>
      </w:r>
      <w:r w:rsidRPr="00DB4AF0">
        <w:rPr>
          <w:rFonts w:ascii="Times New Roman" w:hAnsi="Times New Roman" w:cs="Times New Roman"/>
          <w:sz w:val="24"/>
          <w:szCs w:val="24"/>
        </w:rPr>
        <w:t xml:space="preserve"> </w:t>
      </w:r>
      <w:r w:rsidRPr="00DB4AF0">
        <w:rPr>
          <w:rFonts w:ascii="Times New Roman" w:hAnsi="Times New Roman" w:cs="Times New Roman"/>
          <w:b/>
          <w:sz w:val="24"/>
          <w:szCs w:val="24"/>
          <w:u w:val="single"/>
        </w:rPr>
        <w:t xml:space="preserve">freedom of choice increases in </w:t>
      </w:r>
      <w:r w:rsidRPr="00DB4AF0">
        <w:rPr>
          <w:rFonts w:ascii="Times New Roman" w:hAnsi="Times New Roman" w:cs="Times New Roman"/>
          <w:sz w:val="16"/>
          <w:szCs w:val="16"/>
        </w:rPr>
        <w:t>direct</w:t>
      </w:r>
      <w:r w:rsidRPr="00DB4AF0">
        <w:rPr>
          <w:rFonts w:ascii="Times New Roman" w:hAnsi="Times New Roman" w:cs="Times New Roman"/>
          <w:sz w:val="24"/>
          <w:szCs w:val="24"/>
        </w:rPr>
        <w:t xml:space="preserve"> </w:t>
      </w:r>
      <w:r w:rsidRPr="00DB4AF0">
        <w:rPr>
          <w:rFonts w:ascii="Times New Roman" w:hAnsi="Times New Roman" w:cs="Times New Roman"/>
          <w:b/>
          <w:sz w:val="24"/>
          <w:szCs w:val="24"/>
          <w:u w:val="single"/>
        </w:rPr>
        <w:t>proportion to the number</w:t>
      </w:r>
      <w:r w:rsidRPr="00DB4AF0">
        <w:rPr>
          <w:rFonts w:ascii="Times New Roman" w:hAnsi="Times New Roman" w:cs="Times New Roman"/>
          <w:sz w:val="24"/>
          <w:szCs w:val="24"/>
        </w:rPr>
        <w:t xml:space="preserve"> </w:t>
      </w:r>
      <w:r w:rsidRPr="00DB4AF0">
        <w:rPr>
          <w:rFonts w:ascii="Times New Roman" w:hAnsi="Times New Roman" w:cs="Times New Roman"/>
          <w:sz w:val="16"/>
          <w:szCs w:val="16"/>
        </w:rPr>
        <w:t>of people</w:t>
      </w:r>
      <w:r w:rsidRPr="00DB4AF0">
        <w:rPr>
          <w:rFonts w:ascii="Times New Roman" w:hAnsi="Times New Roman" w:cs="Times New Roman"/>
          <w:sz w:val="24"/>
          <w:szCs w:val="24"/>
        </w:rPr>
        <w:t xml:space="preserve"> </w:t>
      </w:r>
      <w:r w:rsidRPr="00DB4AF0">
        <w:rPr>
          <w:rFonts w:ascii="Times New Roman" w:hAnsi="Times New Roman" w:cs="Times New Roman"/>
          <w:b/>
          <w:sz w:val="24"/>
          <w:szCs w:val="24"/>
          <w:u w:val="single"/>
        </w:rPr>
        <w:t>who are allowed to exercise freedom of choice.</w:t>
      </w:r>
      <w:r w:rsidRPr="00DB4AF0">
        <w:rPr>
          <w:rFonts w:ascii="Times New Roman" w:hAnsi="Times New Roman" w:cs="Times New Roman"/>
          <w:sz w:val="24"/>
          <w:szCs w:val="24"/>
        </w:rPr>
        <w:t xml:space="preserve"> </w:t>
      </w:r>
      <w:r w:rsidRPr="00DB4AF0">
        <w:rPr>
          <w:rFonts w:ascii="Times New Roman" w:hAnsi="Times New Roman" w:cs="Times New Roman"/>
          <w:b/>
          <w:sz w:val="24"/>
          <w:szCs w:val="24"/>
          <w:u w:val="single"/>
        </w:rPr>
        <w:t xml:space="preserve">Because voting gives a way of exercising freedom of choice, and because a just constitution requires the greatest possible freedom of choice, a just constitution must </w:t>
      </w:r>
      <w:r w:rsidRPr="00DB4AF0">
        <w:rPr>
          <w:rFonts w:ascii="Times New Roman" w:hAnsi="Times New Roman" w:cs="Times New Roman"/>
          <w:sz w:val="16"/>
          <w:szCs w:val="16"/>
        </w:rPr>
        <w:t>surely</w:t>
      </w:r>
      <w:r w:rsidRPr="00DB4AF0">
        <w:rPr>
          <w:rFonts w:ascii="Times New Roman" w:hAnsi="Times New Roman" w:cs="Times New Roman"/>
          <w:sz w:val="24"/>
          <w:szCs w:val="24"/>
        </w:rPr>
        <w:t xml:space="preserve"> </w:t>
      </w:r>
      <w:r w:rsidRPr="00DB4AF0">
        <w:rPr>
          <w:rFonts w:ascii="Times New Roman" w:hAnsi="Times New Roman" w:cs="Times New Roman"/>
          <w:b/>
          <w:sz w:val="24"/>
          <w:szCs w:val="24"/>
          <w:u w:val="single"/>
        </w:rPr>
        <w:t>extend the electoral franchise to the greatest possible number</w:t>
      </w:r>
      <w:r w:rsidRPr="00DB4AF0">
        <w:rPr>
          <w:rFonts w:ascii="Times New Roman" w:hAnsi="Times New Roman" w:cs="Times New Roman"/>
          <w:sz w:val="24"/>
          <w:szCs w:val="24"/>
        </w:rPr>
        <w:t xml:space="preserve">. </w:t>
      </w:r>
      <w:r w:rsidRPr="00DB4AF0">
        <w:rPr>
          <w:rFonts w:ascii="Times New Roman" w:hAnsi="Times New Roman" w:cs="Times New Roman"/>
          <w:sz w:val="16"/>
          <w:szCs w:val="16"/>
        </w:rPr>
        <w:t>By Kant’s own standards, therefore, only compelling reasons can justify excluding anyone for the franchise, for</w:t>
      </w:r>
      <w:r w:rsidRPr="00DB4AF0">
        <w:rPr>
          <w:rFonts w:ascii="Times New Roman" w:hAnsi="Times New Roman" w:cs="Times New Roman"/>
          <w:sz w:val="24"/>
          <w:szCs w:val="24"/>
        </w:rPr>
        <w:t xml:space="preserve"> </w:t>
      </w:r>
      <w:r w:rsidRPr="00DB4AF0">
        <w:rPr>
          <w:rFonts w:ascii="Times New Roman" w:hAnsi="Times New Roman" w:cs="Times New Roman"/>
          <w:b/>
          <w:sz w:val="24"/>
          <w:szCs w:val="24"/>
          <w:u w:val="single"/>
        </w:rPr>
        <w:t xml:space="preserve">every restriction on electoral freedom diminishes </w:t>
      </w:r>
      <w:r w:rsidRPr="00DB4AF0">
        <w:rPr>
          <w:rFonts w:ascii="Times New Roman" w:hAnsi="Times New Roman" w:cs="Times New Roman"/>
          <w:sz w:val="16"/>
          <w:szCs w:val="16"/>
        </w:rPr>
        <w:t>the sum total of</w:t>
      </w:r>
      <w:r w:rsidRPr="00DB4AF0">
        <w:rPr>
          <w:rFonts w:ascii="Times New Roman" w:hAnsi="Times New Roman" w:cs="Times New Roman"/>
          <w:sz w:val="24"/>
          <w:szCs w:val="24"/>
        </w:rPr>
        <w:t xml:space="preserve"> </w:t>
      </w:r>
      <w:r w:rsidRPr="00DB4AF0">
        <w:rPr>
          <w:rFonts w:ascii="Times New Roman" w:hAnsi="Times New Roman" w:cs="Times New Roman"/>
          <w:b/>
          <w:sz w:val="24"/>
          <w:szCs w:val="24"/>
          <w:u w:val="single"/>
        </w:rPr>
        <w:t>human freedom</w:t>
      </w:r>
      <w:r w:rsidRPr="00DB4AF0">
        <w:rPr>
          <w:rFonts w:ascii="Times New Roman" w:hAnsi="Times New Roman" w:cs="Times New Roman"/>
          <w:sz w:val="24"/>
          <w:szCs w:val="24"/>
        </w:rPr>
        <w:t xml:space="preserve">. </w:t>
      </w:r>
      <w:r w:rsidRPr="00DB4AF0">
        <w:rPr>
          <w:rFonts w:ascii="Times New Roman" w:hAnsi="Times New Roman" w:cs="Times New Roman"/>
          <w:sz w:val="16"/>
          <w:szCs w:val="16"/>
        </w:rPr>
        <w:t xml:space="preserve">To arrive at a convincing justification of Kant’s property qualification, it would be necessary to show that extending the franchise to economically dependent classes would make it impossible for the freedom of each subject to co-exist with the freedom of all others. Kant offers no such argument; nor is it likely that a plausible one could ever be found. Even within Kant’s own theory of justice, therefore, his property qualification lacks support or justification. </w:t>
      </w:r>
    </w:p>
    <w:p w:rsidR="0012532C" w:rsidRDefault="0012532C" w:rsidP="0012532C">
      <w:pPr>
        <w:spacing w:after="0" w:line="240" w:lineRule="auto"/>
        <w:rPr>
          <w:rFonts w:ascii="Times New Roman" w:hAnsi="Times New Roman" w:cs="Times New Roman"/>
          <w:sz w:val="24"/>
          <w:szCs w:val="24"/>
        </w:rPr>
      </w:pPr>
    </w:p>
    <w:p w:rsidR="00BB55BA" w:rsidRPr="00DB4AF0" w:rsidRDefault="00DB4AF0" w:rsidP="0012532C">
      <w:pPr>
        <w:spacing w:after="0" w:line="240" w:lineRule="auto"/>
        <w:rPr>
          <w:rFonts w:ascii="Times New Roman" w:hAnsi="Times New Roman" w:cs="Times New Roman"/>
          <w:sz w:val="24"/>
          <w:szCs w:val="24"/>
        </w:rPr>
      </w:pPr>
      <w:r>
        <w:rPr>
          <w:rFonts w:ascii="Times New Roman" w:hAnsi="Times New Roman" w:cs="Times New Roman"/>
          <w:sz w:val="24"/>
          <w:szCs w:val="24"/>
        </w:rPr>
        <w:t>However</w:t>
      </w:r>
      <w:r w:rsidR="00BB55BA" w:rsidRPr="00DB4AF0">
        <w:rPr>
          <w:rFonts w:ascii="Times New Roman" w:hAnsi="Times New Roman" w:cs="Times New Roman"/>
          <w:sz w:val="24"/>
          <w:szCs w:val="24"/>
        </w:rPr>
        <w:t xml:space="preserve"> affirming causes disenfranchisement</w:t>
      </w:r>
      <w:r>
        <w:rPr>
          <w:rFonts w:ascii="Times New Roman" w:hAnsi="Times New Roman" w:cs="Times New Roman"/>
          <w:sz w:val="24"/>
          <w:szCs w:val="24"/>
        </w:rPr>
        <w:t xml:space="preserve"> functioning as a violation</w:t>
      </w:r>
      <w:r w:rsidR="0012532C">
        <w:rPr>
          <w:rFonts w:ascii="Times New Roman" w:hAnsi="Times New Roman" w:cs="Times New Roman"/>
          <w:sz w:val="24"/>
          <w:szCs w:val="24"/>
        </w:rPr>
        <w:t>.</w:t>
      </w:r>
      <w:r w:rsidR="00BB55BA" w:rsidRPr="00DB4AF0">
        <w:rPr>
          <w:rFonts w:ascii="Times New Roman" w:hAnsi="Times New Roman" w:cs="Times New Roman"/>
          <w:sz w:val="24"/>
          <w:szCs w:val="24"/>
        </w:rPr>
        <w:t xml:space="preserve"> </w:t>
      </w:r>
      <w:r w:rsidR="00BB55BA" w:rsidRPr="00DB4AF0">
        <w:rPr>
          <w:rFonts w:ascii="Times New Roman" w:hAnsi="Times New Roman" w:cs="Times New Roman"/>
          <w:bCs/>
          <w:sz w:val="24"/>
          <w:szCs w:val="24"/>
        </w:rPr>
        <w:t>Amanda Burgess-Proctor et al</w:t>
      </w:r>
      <w:r w:rsidR="00BB55BA" w:rsidRPr="00DB4AF0">
        <w:rPr>
          <w:rStyle w:val="FootnoteReference"/>
          <w:bCs/>
          <w:sz w:val="24"/>
          <w:szCs w:val="24"/>
        </w:rPr>
        <w:footnoteReference w:id="3"/>
      </w:r>
      <w:r w:rsidR="0012532C">
        <w:rPr>
          <w:rFonts w:ascii="Times New Roman" w:hAnsi="Times New Roman" w:cs="Times New Roman"/>
          <w:bCs/>
          <w:sz w:val="24"/>
          <w:szCs w:val="24"/>
        </w:rPr>
        <w:t xml:space="preserve"> e</w:t>
      </w:r>
      <w:r w:rsidR="00BB55BA" w:rsidRPr="00DB4AF0">
        <w:rPr>
          <w:rFonts w:ascii="Times New Roman" w:hAnsi="Times New Roman" w:cs="Times New Roman"/>
          <w:bCs/>
          <w:sz w:val="24"/>
          <w:szCs w:val="24"/>
        </w:rPr>
        <w:t>xplains</w:t>
      </w:r>
    </w:p>
    <w:p w:rsidR="009B7E88" w:rsidRPr="009B7E88" w:rsidRDefault="00BB55BA" w:rsidP="00AF6E4C">
      <w:pPr>
        <w:spacing w:after="0" w:line="240" w:lineRule="auto"/>
        <w:ind w:left="720"/>
        <w:rPr>
          <w:rFonts w:ascii="Times New Roman" w:hAnsi="Times New Roman" w:cs="Times New Roman"/>
          <w:sz w:val="24"/>
          <w:szCs w:val="24"/>
        </w:rPr>
      </w:pPr>
      <w:r w:rsidRPr="00BB55BA">
        <w:rPr>
          <w:rFonts w:ascii="Times New Roman" w:hAnsi="Times New Roman" w:cs="Times New Roman"/>
          <w:sz w:val="16"/>
          <w:szCs w:val="16"/>
        </w:rPr>
        <w:t>Fourth</w:t>
      </w:r>
      <w:r w:rsidRPr="00BB55BA">
        <w:rPr>
          <w:rFonts w:ascii="Times New Roman" w:hAnsi="Times New Roman" w:cs="Times New Roman"/>
        </w:rPr>
        <w:t xml:space="preserve">, </w:t>
      </w:r>
      <w:r w:rsidRPr="00BB55BA">
        <w:rPr>
          <w:rFonts w:ascii="Times New Roman" w:hAnsi="Times New Roman" w:cs="Times New Roman"/>
          <w:b/>
          <w:sz w:val="24"/>
          <w:szCs w:val="24"/>
          <w:u w:val="single"/>
        </w:rPr>
        <w:t xml:space="preserve">youth who are tried </w:t>
      </w:r>
      <w:r w:rsidRPr="00072A9A">
        <w:rPr>
          <w:rFonts w:ascii="Times New Roman" w:hAnsi="Times New Roman" w:cs="Times New Roman"/>
          <w:sz w:val="16"/>
          <w:szCs w:val="16"/>
        </w:rPr>
        <w:t xml:space="preserve">and convicted </w:t>
      </w:r>
      <w:r w:rsidRPr="00BB55BA">
        <w:rPr>
          <w:rFonts w:ascii="Times New Roman" w:hAnsi="Times New Roman" w:cs="Times New Roman"/>
          <w:b/>
          <w:sz w:val="24"/>
          <w:szCs w:val="24"/>
          <w:u w:val="single"/>
        </w:rPr>
        <w:t>as adults</w:t>
      </w:r>
      <w:r w:rsidRPr="00BB55BA">
        <w:rPr>
          <w:rFonts w:ascii="Times New Roman" w:hAnsi="Times New Roman" w:cs="Times New Roman"/>
        </w:rPr>
        <w:t xml:space="preserve"> </w:t>
      </w:r>
      <w:r w:rsidRPr="00BB55BA">
        <w:rPr>
          <w:rFonts w:ascii="Times New Roman" w:hAnsi="Times New Roman" w:cs="Times New Roman"/>
          <w:sz w:val="16"/>
          <w:szCs w:val="16"/>
        </w:rPr>
        <w:t>may</w:t>
      </w:r>
      <w:r w:rsidRPr="00BB55BA">
        <w:rPr>
          <w:rFonts w:ascii="Times New Roman" w:hAnsi="Times New Roman" w:cs="Times New Roman"/>
        </w:rPr>
        <w:t xml:space="preserve"> </w:t>
      </w:r>
      <w:r w:rsidRPr="00072A9A">
        <w:rPr>
          <w:rFonts w:ascii="Times New Roman" w:hAnsi="Times New Roman" w:cs="Times New Roman"/>
          <w:sz w:val="16"/>
          <w:szCs w:val="16"/>
        </w:rPr>
        <w:t xml:space="preserve">experience </w:t>
      </w:r>
      <w:r w:rsidRPr="00BB55BA">
        <w:rPr>
          <w:rFonts w:ascii="Times New Roman" w:hAnsi="Times New Roman" w:cs="Times New Roman"/>
          <w:sz w:val="16"/>
          <w:szCs w:val="16"/>
        </w:rPr>
        <w:t xml:space="preserve">problems associated with criminal conviction (Bishop, 2000; Bishop et al., 1996; </w:t>
      </w:r>
      <w:proofErr w:type="spellStart"/>
      <w:r w:rsidRPr="00BB55BA">
        <w:rPr>
          <w:rFonts w:ascii="Times New Roman" w:hAnsi="Times New Roman" w:cs="Times New Roman"/>
          <w:sz w:val="16"/>
          <w:szCs w:val="16"/>
        </w:rPr>
        <w:t>Gaarder</w:t>
      </w:r>
      <w:proofErr w:type="spellEnd"/>
      <w:r w:rsidRPr="00BB55BA">
        <w:rPr>
          <w:rFonts w:ascii="Times New Roman" w:hAnsi="Times New Roman" w:cs="Times New Roman"/>
          <w:sz w:val="16"/>
          <w:szCs w:val="16"/>
        </w:rPr>
        <w:t xml:space="preserve"> &amp; Belknap, 2002). For example, criminal conviction may have</w:t>
      </w:r>
      <w:r w:rsidRPr="00BB55BA">
        <w:rPr>
          <w:rFonts w:ascii="Times New Roman" w:hAnsi="Times New Roman" w:cs="Times New Roman"/>
        </w:rPr>
        <w:t xml:space="preserve"> </w:t>
      </w:r>
      <w:r w:rsidRPr="00072A9A">
        <w:rPr>
          <w:rFonts w:ascii="Times New Roman" w:hAnsi="Times New Roman" w:cs="Times New Roman"/>
          <w:sz w:val="16"/>
          <w:szCs w:val="16"/>
        </w:rPr>
        <w:t xml:space="preserve">undesirable psychological consequences, as youth experience a “status transformation from </w:t>
      </w:r>
      <w:r w:rsidRPr="00BB55BA">
        <w:rPr>
          <w:rFonts w:ascii="Times New Roman" w:hAnsi="Times New Roman" w:cs="Times New Roman"/>
          <w:b/>
          <w:sz w:val="24"/>
          <w:szCs w:val="24"/>
          <w:u w:val="single"/>
        </w:rPr>
        <w:t>‘</w:t>
      </w:r>
      <w:r w:rsidRPr="00072A9A">
        <w:rPr>
          <w:rFonts w:ascii="Times New Roman" w:hAnsi="Times New Roman" w:cs="Times New Roman"/>
          <w:sz w:val="16"/>
          <w:szCs w:val="16"/>
        </w:rPr>
        <w:t>redeemable youth’ to ‘unsalvageable adult’”</w:t>
      </w:r>
      <w:r w:rsidRPr="00BB55BA">
        <w:rPr>
          <w:rFonts w:ascii="Times New Roman" w:hAnsi="Times New Roman" w:cs="Times New Roman"/>
        </w:rPr>
        <w:t xml:space="preserve"> (</w:t>
      </w:r>
      <w:r w:rsidRPr="00BB55BA">
        <w:rPr>
          <w:rFonts w:ascii="Times New Roman" w:hAnsi="Times New Roman" w:cs="Times New Roman"/>
          <w:sz w:val="16"/>
          <w:szCs w:val="16"/>
        </w:rPr>
        <w:t xml:space="preserve">Bishop et al., 1996, p. 184). Indeed, such stigmatization also may explain higher recidivism rates among transferred youth (Bishop, 2000; Myers, 2003; Paternoster &amp; </w:t>
      </w:r>
      <w:proofErr w:type="spellStart"/>
      <w:r w:rsidRPr="00BB55BA">
        <w:rPr>
          <w:rFonts w:ascii="Times New Roman" w:hAnsi="Times New Roman" w:cs="Times New Roman"/>
          <w:sz w:val="16"/>
          <w:szCs w:val="16"/>
        </w:rPr>
        <w:t>Iovanni</w:t>
      </w:r>
      <w:proofErr w:type="spellEnd"/>
      <w:r w:rsidRPr="00BB55BA">
        <w:rPr>
          <w:rFonts w:ascii="Times New Roman" w:hAnsi="Times New Roman" w:cs="Times New Roman"/>
          <w:sz w:val="16"/>
          <w:szCs w:val="16"/>
        </w:rPr>
        <w:t>, 1989).</w:t>
      </w:r>
      <w:r w:rsidRPr="00BB55BA">
        <w:rPr>
          <w:rFonts w:ascii="Times New Roman" w:hAnsi="Times New Roman" w:cs="Times New Roman"/>
        </w:rPr>
        <w:t xml:space="preserve"> </w:t>
      </w:r>
      <w:r w:rsidRPr="00072A9A">
        <w:rPr>
          <w:rFonts w:ascii="Times New Roman" w:hAnsi="Times New Roman" w:cs="Times New Roman"/>
          <w:sz w:val="16"/>
          <w:szCs w:val="16"/>
        </w:rPr>
        <w:t xml:space="preserve">In addition, convicted youth </w:t>
      </w:r>
      <w:r w:rsidRPr="00BB55BA">
        <w:rPr>
          <w:rFonts w:ascii="Times New Roman" w:hAnsi="Times New Roman" w:cs="Times New Roman"/>
          <w:b/>
          <w:sz w:val="24"/>
          <w:szCs w:val="24"/>
          <w:u w:val="single"/>
        </w:rPr>
        <w:t xml:space="preserve">may face civil sanctions including voter disenfranchisement, the inability to hold public office </w:t>
      </w:r>
      <w:r w:rsidRPr="00072A9A">
        <w:rPr>
          <w:rFonts w:ascii="Times New Roman" w:hAnsi="Times New Roman" w:cs="Times New Roman"/>
          <w:sz w:val="16"/>
          <w:szCs w:val="16"/>
        </w:rPr>
        <w:t>or serve on a jury</w:t>
      </w:r>
      <w:r w:rsidRPr="00BB55BA">
        <w:rPr>
          <w:rFonts w:ascii="Times New Roman" w:hAnsi="Times New Roman" w:cs="Times New Roman"/>
          <w:b/>
          <w:sz w:val="24"/>
          <w:szCs w:val="24"/>
          <w:u w:val="single"/>
        </w:rPr>
        <w:t>, and reduced opportunities for legal employment</w:t>
      </w:r>
      <w:r w:rsidRPr="00BB55BA">
        <w:rPr>
          <w:rFonts w:ascii="Times New Roman" w:hAnsi="Times New Roman" w:cs="Times New Roman"/>
        </w:rPr>
        <w:t xml:space="preserve"> </w:t>
      </w:r>
      <w:r w:rsidRPr="00BB55BA">
        <w:rPr>
          <w:rFonts w:ascii="Times New Roman" w:hAnsi="Times New Roman" w:cs="Times New Roman"/>
          <w:sz w:val="16"/>
          <w:szCs w:val="16"/>
        </w:rPr>
        <w:t xml:space="preserve">(Bishop &amp; Frazier, 2000; Schindler &amp; </w:t>
      </w:r>
      <w:proofErr w:type="spellStart"/>
      <w:r w:rsidRPr="00BB55BA">
        <w:rPr>
          <w:rFonts w:ascii="Times New Roman" w:hAnsi="Times New Roman" w:cs="Times New Roman"/>
          <w:sz w:val="16"/>
          <w:szCs w:val="16"/>
        </w:rPr>
        <w:t>Arditti</w:t>
      </w:r>
      <w:proofErr w:type="spellEnd"/>
      <w:r w:rsidRPr="00BB55BA">
        <w:rPr>
          <w:rFonts w:ascii="Times New Roman" w:hAnsi="Times New Roman" w:cs="Times New Roman"/>
          <w:sz w:val="16"/>
          <w:szCs w:val="16"/>
        </w:rPr>
        <w:t>, 2001).</w:t>
      </w:r>
      <w:r w:rsidRPr="00BB55BA">
        <w:rPr>
          <w:rFonts w:ascii="Times New Roman" w:hAnsi="Times New Roman" w:cs="Times New Roman"/>
        </w:rPr>
        <w:t xml:space="preserve"> </w:t>
      </w:r>
      <w:r w:rsidRPr="00BB55BA">
        <w:rPr>
          <w:rFonts w:ascii="Times New Roman" w:hAnsi="Times New Roman" w:cs="Times New Roman"/>
          <w:b/>
          <w:sz w:val="24"/>
          <w:szCs w:val="24"/>
          <w:u w:val="single"/>
        </w:rPr>
        <w:t xml:space="preserve">The issue </w:t>
      </w:r>
      <w:r w:rsidRPr="00072A9A">
        <w:rPr>
          <w:rFonts w:ascii="Times New Roman" w:hAnsi="Times New Roman" w:cs="Times New Roman"/>
          <w:sz w:val="16"/>
          <w:szCs w:val="16"/>
        </w:rPr>
        <w:t xml:space="preserve">of voter disenfranchisement </w:t>
      </w:r>
      <w:r w:rsidRPr="00BB55BA">
        <w:rPr>
          <w:rFonts w:ascii="Times New Roman" w:hAnsi="Times New Roman" w:cs="Times New Roman"/>
          <w:b/>
          <w:sz w:val="24"/>
          <w:szCs w:val="24"/>
          <w:u w:val="single"/>
        </w:rPr>
        <w:t>is a particularly important consequence of transfer.</w:t>
      </w:r>
      <w:r w:rsidRPr="00BB55BA">
        <w:rPr>
          <w:rFonts w:ascii="Times New Roman" w:hAnsi="Times New Roman" w:cs="Times New Roman"/>
        </w:rPr>
        <w:t xml:space="preserve"> </w:t>
      </w:r>
      <w:r w:rsidRPr="00BB55BA">
        <w:rPr>
          <w:rFonts w:ascii="Times New Roman" w:hAnsi="Times New Roman" w:cs="Times New Roman"/>
          <w:sz w:val="16"/>
          <w:szCs w:val="16"/>
        </w:rPr>
        <w:t>According to The Sentencing Project (2006),</w:t>
      </w:r>
      <w:r w:rsidRPr="00BB55BA">
        <w:rPr>
          <w:rFonts w:ascii="Times New Roman" w:hAnsi="Times New Roman" w:cs="Times New Roman"/>
        </w:rPr>
        <w:t xml:space="preserve"> </w:t>
      </w:r>
      <w:r w:rsidRPr="00BB55BA">
        <w:rPr>
          <w:rFonts w:ascii="Times New Roman" w:hAnsi="Times New Roman" w:cs="Times New Roman"/>
          <w:b/>
          <w:sz w:val="24"/>
          <w:szCs w:val="24"/>
          <w:u w:val="single"/>
        </w:rPr>
        <w:t xml:space="preserve">48 states </w:t>
      </w:r>
      <w:r w:rsidRPr="00072A9A">
        <w:rPr>
          <w:rFonts w:ascii="Times New Roman" w:hAnsi="Times New Roman" w:cs="Times New Roman"/>
          <w:sz w:val="16"/>
          <w:szCs w:val="16"/>
        </w:rPr>
        <w:t xml:space="preserve">and the District of Columbia </w:t>
      </w:r>
      <w:r w:rsidRPr="00BB55BA">
        <w:rPr>
          <w:rFonts w:ascii="Times New Roman" w:hAnsi="Times New Roman" w:cs="Times New Roman"/>
          <w:b/>
          <w:sz w:val="24"/>
          <w:szCs w:val="24"/>
          <w:u w:val="single"/>
        </w:rPr>
        <w:t xml:space="preserve">prohibit inmates from voting while serving a </w:t>
      </w:r>
      <w:r w:rsidRPr="00072A9A">
        <w:rPr>
          <w:rFonts w:ascii="Times New Roman" w:hAnsi="Times New Roman" w:cs="Times New Roman"/>
          <w:sz w:val="16"/>
          <w:szCs w:val="16"/>
        </w:rPr>
        <w:t xml:space="preserve">felony </w:t>
      </w:r>
      <w:r w:rsidRPr="00BB55BA">
        <w:rPr>
          <w:rFonts w:ascii="Times New Roman" w:hAnsi="Times New Roman" w:cs="Times New Roman"/>
          <w:b/>
          <w:sz w:val="24"/>
          <w:szCs w:val="24"/>
          <w:u w:val="single"/>
        </w:rPr>
        <w:t xml:space="preserve">sentence, 36 states prohibit </w:t>
      </w:r>
      <w:r w:rsidRPr="00072A9A">
        <w:rPr>
          <w:rFonts w:ascii="Times New Roman" w:hAnsi="Times New Roman" w:cs="Times New Roman"/>
          <w:sz w:val="16"/>
          <w:szCs w:val="16"/>
        </w:rPr>
        <w:t xml:space="preserve">felons from </w:t>
      </w:r>
      <w:r w:rsidRPr="00BB55BA">
        <w:rPr>
          <w:rFonts w:ascii="Times New Roman" w:hAnsi="Times New Roman" w:cs="Times New Roman"/>
          <w:b/>
          <w:sz w:val="24"/>
          <w:szCs w:val="24"/>
          <w:u w:val="single"/>
        </w:rPr>
        <w:t>voting while on parole, and three states</w:t>
      </w:r>
      <w:r w:rsidRPr="00BB55BA">
        <w:rPr>
          <w:rFonts w:ascii="Times New Roman" w:hAnsi="Times New Roman" w:cs="Times New Roman"/>
        </w:rPr>
        <w:t xml:space="preserve"> </w:t>
      </w:r>
      <w:r w:rsidRPr="00BB55BA">
        <w:rPr>
          <w:rFonts w:ascii="Times New Roman" w:hAnsi="Times New Roman" w:cs="Times New Roman"/>
          <w:sz w:val="16"/>
          <w:szCs w:val="16"/>
        </w:rPr>
        <w:t>(i.e., Florida, Kentucky, and Virginia)</w:t>
      </w:r>
      <w:r w:rsidRPr="00BB55BA">
        <w:rPr>
          <w:rFonts w:ascii="Times New Roman" w:hAnsi="Times New Roman" w:cs="Times New Roman"/>
        </w:rPr>
        <w:t xml:space="preserve"> </w:t>
      </w:r>
      <w:r w:rsidRPr="00BB55BA">
        <w:rPr>
          <w:rFonts w:ascii="Times New Roman" w:hAnsi="Times New Roman" w:cs="Times New Roman"/>
          <w:b/>
          <w:sz w:val="24"/>
          <w:szCs w:val="24"/>
          <w:u w:val="single"/>
        </w:rPr>
        <w:t xml:space="preserve">disenfranchise all ex-offenders </w:t>
      </w:r>
      <w:r w:rsidRPr="00072A9A">
        <w:rPr>
          <w:rFonts w:ascii="Times New Roman" w:hAnsi="Times New Roman" w:cs="Times New Roman"/>
          <w:sz w:val="16"/>
          <w:szCs w:val="16"/>
        </w:rPr>
        <w:t>after they complete their sentences</w:t>
      </w:r>
      <w:r w:rsidRPr="00BB55BA">
        <w:rPr>
          <w:rFonts w:ascii="Times New Roman" w:hAnsi="Times New Roman" w:cs="Times New Roman"/>
        </w:rPr>
        <w:t xml:space="preserve">. </w:t>
      </w:r>
      <w:r w:rsidRPr="00BB55BA">
        <w:rPr>
          <w:rFonts w:ascii="Times New Roman" w:hAnsi="Times New Roman" w:cs="Times New Roman"/>
          <w:sz w:val="16"/>
          <w:szCs w:val="16"/>
        </w:rPr>
        <w:t>Although</w:t>
      </w:r>
      <w:r w:rsidRPr="00BB55BA">
        <w:rPr>
          <w:rFonts w:ascii="Times New Roman" w:hAnsi="Times New Roman" w:cs="Times New Roman"/>
        </w:rPr>
        <w:t xml:space="preserve"> </w:t>
      </w:r>
      <w:r w:rsidRPr="00BB55BA">
        <w:rPr>
          <w:rFonts w:ascii="Times New Roman" w:hAnsi="Times New Roman" w:cs="Times New Roman"/>
          <w:b/>
          <w:sz w:val="24"/>
          <w:szCs w:val="24"/>
          <w:u w:val="single"/>
        </w:rPr>
        <w:t>disenfranchisement</w:t>
      </w:r>
      <w:r w:rsidRPr="00BB55BA">
        <w:rPr>
          <w:rFonts w:ascii="Times New Roman" w:hAnsi="Times New Roman" w:cs="Times New Roman"/>
        </w:rPr>
        <w:t xml:space="preserve"> </w:t>
      </w:r>
      <w:r w:rsidRPr="00BB55BA">
        <w:rPr>
          <w:rFonts w:ascii="Times New Roman" w:hAnsi="Times New Roman" w:cs="Times New Roman"/>
          <w:sz w:val="16"/>
          <w:szCs w:val="16"/>
        </w:rPr>
        <w:t>will not immediately affect convicted youth under the age of 18, it</w:t>
      </w:r>
      <w:r w:rsidRPr="00BB55BA">
        <w:rPr>
          <w:rFonts w:ascii="Times New Roman" w:hAnsi="Times New Roman" w:cs="Times New Roman"/>
        </w:rPr>
        <w:t xml:space="preserve"> </w:t>
      </w:r>
      <w:r w:rsidRPr="00BB55BA">
        <w:rPr>
          <w:rFonts w:ascii="Times New Roman" w:hAnsi="Times New Roman" w:cs="Times New Roman"/>
          <w:b/>
          <w:sz w:val="24"/>
          <w:szCs w:val="24"/>
          <w:u w:val="single"/>
        </w:rPr>
        <w:t xml:space="preserve">may impact youth who reach the </w:t>
      </w:r>
      <w:r w:rsidRPr="00072A9A">
        <w:rPr>
          <w:rFonts w:ascii="Times New Roman" w:hAnsi="Times New Roman" w:cs="Times New Roman"/>
          <w:sz w:val="16"/>
          <w:szCs w:val="16"/>
        </w:rPr>
        <w:t xml:space="preserve">legal </w:t>
      </w:r>
      <w:r w:rsidRPr="00BB55BA">
        <w:rPr>
          <w:rFonts w:ascii="Times New Roman" w:hAnsi="Times New Roman" w:cs="Times New Roman"/>
          <w:b/>
          <w:sz w:val="24"/>
          <w:szCs w:val="24"/>
          <w:u w:val="single"/>
        </w:rPr>
        <w:t xml:space="preserve">voting age while </w:t>
      </w:r>
      <w:r w:rsidRPr="00072A9A">
        <w:rPr>
          <w:rFonts w:ascii="Times New Roman" w:hAnsi="Times New Roman" w:cs="Times New Roman"/>
          <w:sz w:val="16"/>
          <w:szCs w:val="16"/>
        </w:rPr>
        <w:t xml:space="preserve">still </w:t>
      </w:r>
      <w:r w:rsidRPr="00BB55BA">
        <w:rPr>
          <w:rFonts w:ascii="Times New Roman" w:hAnsi="Times New Roman" w:cs="Times New Roman"/>
          <w:b/>
          <w:sz w:val="24"/>
          <w:szCs w:val="24"/>
          <w:u w:val="single"/>
        </w:rPr>
        <w:t xml:space="preserve">on parole. Moreover, </w:t>
      </w:r>
      <w:r w:rsidRPr="00072A9A">
        <w:rPr>
          <w:rFonts w:ascii="Times New Roman" w:hAnsi="Times New Roman" w:cs="Times New Roman"/>
          <w:sz w:val="16"/>
          <w:szCs w:val="16"/>
        </w:rPr>
        <w:t xml:space="preserve">underage </w:t>
      </w:r>
      <w:r w:rsidRPr="00BB55BA">
        <w:rPr>
          <w:rFonts w:ascii="Times New Roman" w:hAnsi="Times New Roman" w:cs="Times New Roman"/>
          <w:b/>
          <w:sz w:val="24"/>
          <w:szCs w:val="24"/>
          <w:u w:val="single"/>
        </w:rPr>
        <w:t xml:space="preserve">offenders convicted in states that remove the right </w:t>
      </w:r>
      <w:r w:rsidRPr="00072A9A">
        <w:rPr>
          <w:rFonts w:ascii="Times New Roman" w:hAnsi="Times New Roman" w:cs="Times New Roman"/>
          <w:sz w:val="16"/>
          <w:szCs w:val="16"/>
        </w:rPr>
        <w:t xml:space="preserve">to vote </w:t>
      </w:r>
      <w:r w:rsidRPr="00BB55BA">
        <w:rPr>
          <w:rFonts w:ascii="Times New Roman" w:hAnsi="Times New Roman" w:cs="Times New Roman"/>
          <w:b/>
          <w:sz w:val="24"/>
          <w:szCs w:val="24"/>
          <w:u w:val="single"/>
        </w:rPr>
        <w:t xml:space="preserve">from </w:t>
      </w:r>
      <w:r w:rsidRPr="00072A9A">
        <w:rPr>
          <w:rFonts w:ascii="Times New Roman" w:hAnsi="Times New Roman" w:cs="Times New Roman"/>
          <w:sz w:val="16"/>
          <w:szCs w:val="16"/>
        </w:rPr>
        <w:t xml:space="preserve">all </w:t>
      </w:r>
      <w:proofErr w:type="spellStart"/>
      <w:r w:rsidRPr="00BB55BA">
        <w:rPr>
          <w:rFonts w:ascii="Times New Roman" w:hAnsi="Times New Roman" w:cs="Times New Roman"/>
          <w:b/>
          <w:sz w:val="24"/>
          <w:szCs w:val="24"/>
          <w:u w:val="single"/>
        </w:rPr>
        <w:t>exfelons</w:t>
      </w:r>
      <w:proofErr w:type="spellEnd"/>
      <w:r w:rsidRPr="00BB55BA">
        <w:rPr>
          <w:rFonts w:ascii="Times New Roman" w:hAnsi="Times New Roman" w:cs="Times New Roman"/>
          <w:b/>
          <w:sz w:val="24"/>
          <w:szCs w:val="24"/>
          <w:u w:val="single"/>
        </w:rPr>
        <w:t xml:space="preserve"> </w:t>
      </w:r>
      <w:r w:rsidRPr="00072A9A">
        <w:rPr>
          <w:rFonts w:ascii="Times New Roman" w:hAnsi="Times New Roman" w:cs="Times New Roman"/>
          <w:sz w:val="16"/>
          <w:szCs w:val="16"/>
        </w:rPr>
        <w:t xml:space="preserve">face a future of civic and political disenfranchisement, as they </w:t>
      </w:r>
      <w:r w:rsidRPr="00BB55BA">
        <w:rPr>
          <w:rFonts w:ascii="Times New Roman" w:hAnsi="Times New Roman" w:cs="Times New Roman"/>
          <w:b/>
          <w:sz w:val="24"/>
          <w:szCs w:val="24"/>
          <w:u w:val="single"/>
        </w:rPr>
        <w:t>are permanently barred from voting.</w:t>
      </w:r>
    </w:p>
    <w:sectPr w:rsidR="009B7E88" w:rsidRPr="009B7E88" w:rsidSect="00762F4A">
      <w:headerReference w:type="default" r:id="rId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658" w:rsidRDefault="00472658" w:rsidP="00BB55BA">
      <w:pPr>
        <w:spacing w:after="0" w:line="240" w:lineRule="auto"/>
      </w:pPr>
      <w:r>
        <w:separator/>
      </w:r>
    </w:p>
  </w:endnote>
  <w:endnote w:type="continuationSeparator" w:id="0">
    <w:p w:rsidR="00472658" w:rsidRDefault="00472658" w:rsidP="00BB55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658" w:rsidRDefault="00472658" w:rsidP="00BB55BA">
      <w:pPr>
        <w:spacing w:after="0" w:line="240" w:lineRule="auto"/>
      </w:pPr>
      <w:r>
        <w:separator/>
      </w:r>
    </w:p>
  </w:footnote>
  <w:footnote w:type="continuationSeparator" w:id="0">
    <w:p w:rsidR="00472658" w:rsidRDefault="00472658" w:rsidP="00BB55BA">
      <w:pPr>
        <w:spacing w:after="0" w:line="240" w:lineRule="auto"/>
      </w:pPr>
      <w:r>
        <w:continuationSeparator/>
      </w:r>
    </w:p>
  </w:footnote>
  <w:footnote w:id="1">
    <w:p w:rsidR="00AF6E4C" w:rsidRPr="00617549" w:rsidRDefault="00AF6E4C" w:rsidP="00AF6E4C">
      <w:pPr>
        <w:pStyle w:val="FootnoteText"/>
        <w:rPr>
          <w:sz w:val="18"/>
        </w:rPr>
      </w:pPr>
      <w:r w:rsidRPr="00617549">
        <w:rPr>
          <w:rStyle w:val="FootnoteReference"/>
          <w:sz w:val="18"/>
        </w:rPr>
        <w:footnoteRef/>
      </w:r>
      <w:r w:rsidRPr="00617549">
        <w:rPr>
          <w:sz w:val="18"/>
        </w:rPr>
        <w:t xml:space="preserve"> David. </w:t>
      </w:r>
      <w:proofErr w:type="spellStart"/>
      <w:r w:rsidRPr="00617549">
        <w:rPr>
          <w:sz w:val="18"/>
        </w:rPr>
        <w:t>Velleman</w:t>
      </w:r>
      <w:proofErr w:type="spellEnd"/>
      <w:r w:rsidRPr="00617549">
        <w:rPr>
          <w:sz w:val="18"/>
        </w:rPr>
        <w:t xml:space="preserve">. </w:t>
      </w:r>
      <w:proofErr w:type="gramStart"/>
      <w:r w:rsidRPr="00617549">
        <w:rPr>
          <w:sz w:val="18"/>
        </w:rPr>
        <w:t>Self To Self.</w:t>
      </w:r>
      <w:proofErr w:type="gramEnd"/>
      <w:r w:rsidRPr="00617549">
        <w:rPr>
          <w:sz w:val="18"/>
        </w:rPr>
        <w:t xml:space="preserve"> </w:t>
      </w:r>
      <w:r w:rsidRPr="00617549">
        <w:rPr>
          <w:rStyle w:val="apple-style-span"/>
          <w:rFonts w:ascii="Arial" w:hAnsi="Arial" w:cs="Arial"/>
          <w:color w:val="000000"/>
          <w:sz w:val="18"/>
        </w:rPr>
        <w:t xml:space="preserve">2006. Cambridge University Press. </w:t>
      </w:r>
    </w:p>
  </w:footnote>
  <w:footnote w:id="2">
    <w:p w:rsidR="00472658" w:rsidRPr="00DB4AF0" w:rsidRDefault="00472658">
      <w:pPr>
        <w:pStyle w:val="FootnoteText"/>
        <w:rPr>
          <w:sz w:val="16"/>
          <w:szCs w:val="16"/>
        </w:rPr>
      </w:pPr>
      <w:r w:rsidRPr="00DB4AF0">
        <w:rPr>
          <w:rStyle w:val="FootnoteReference"/>
          <w:sz w:val="16"/>
          <w:szCs w:val="16"/>
        </w:rPr>
        <w:footnoteRef/>
      </w:r>
      <w:r w:rsidRPr="00DB4AF0">
        <w:rPr>
          <w:sz w:val="16"/>
          <w:szCs w:val="16"/>
        </w:rPr>
        <w:t xml:space="preserve"> </w:t>
      </w:r>
      <w:proofErr w:type="gramStart"/>
      <w:r w:rsidRPr="00DB4AF0">
        <w:rPr>
          <w:sz w:val="16"/>
          <w:szCs w:val="16"/>
        </w:rPr>
        <w:t>Kant’s theory of Justice.</w:t>
      </w:r>
      <w:proofErr w:type="gramEnd"/>
      <w:r w:rsidRPr="00DB4AF0">
        <w:rPr>
          <w:sz w:val="16"/>
          <w:szCs w:val="16"/>
        </w:rPr>
        <w:t xml:space="preserve"> </w:t>
      </w:r>
      <w:proofErr w:type="gramStart"/>
      <w:r w:rsidRPr="00DB4AF0">
        <w:rPr>
          <w:sz w:val="16"/>
          <w:szCs w:val="16"/>
        </w:rPr>
        <w:t>Cornell University press.</w:t>
      </w:r>
      <w:proofErr w:type="gramEnd"/>
      <w:r w:rsidRPr="00DB4AF0">
        <w:rPr>
          <w:sz w:val="16"/>
          <w:szCs w:val="16"/>
        </w:rPr>
        <w:t xml:space="preserve"> 1993.</w:t>
      </w:r>
    </w:p>
  </w:footnote>
  <w:footnote w:id="3">
    <w:p w:rsidR="00472658" w:rsidRDefault="00472658" w:rsidP="00BB55BA">
      <w:pPr>
        <w:rPr>
          <w:sz w:val="16"/>
          <w:szCs w:val="16"/>
        </w:rPr>
      </w:pPr>
      <w:r>
        <w:rPr>
          <w:rStyle w:val="FootnoteReference"/>
          <w:sz w:val="16"/>
          <w:szCs w:val="16"/>
        </w:rPr>
        <w:footnoteRef/>
      </w:r>
      <w:r>
        <w:rPr>
          <w:sz w:val="16"/>
          <w:szCs w:val="16"/>
        </w:rPr>
        <w:t xml:space="preserve"> AMANDA BURGESS-PROCTOR</w:t>
      </w:r>
      <w:proofErr w:type="gramStart"/>
      <w:r>
        <w:rPr>
          <w:sz w:val="16"/>
          <w:szCs w:val="16"/>
        </w:rPr>
        <w:t>[ School</w:t>
      </w:r>
      <w:proofErr w:type="gramEnd"/>
      <w:r>
        <w:rPr>
          <w:sz w:val="16"/>
          <w:szCs w:val="16"/>
        </w:rPr>
        <w:t xml:space="preserve"> of Criminal Justice Michigan State University] KENDAL HOLTROP[ Department of Family and Child Ecology Michigan State University] FRANCISCO A. VILLARRUEL [Julian </w:t>
      </w:r>
      <w:proofErr w:type="spellStart"/>
      <w:r>
        <w:rPr>
          <w:sz w:val="16"/>
          <w:szCs w:val="16"/>
        </w:rPr>
        <w:t>Samora</w:t>
      </w:r>
      <w:proofErr w:type="spellEnd"/>
      <w:r>
        <w:rPr>
          <w:sz w:val="16"/>
          <w:szCs w:val="16"/>
        </w:rPr>
        <w:t xml:space="preserve"> Research Institute Michigan State University]. “Youth Transferred to Adult Court: Racial Disparity” </w:t>
      </w:r>
      <w:hyperlink r:id="rId1" w:history="1">
        <w:r>
          <w:rPr>
            <w:rStyle w:val="Hyperlink"/>
            <w:sz w:val="16"/>
            <w:szCs w:val="16"/>
          </w:rPr>
          <w:t>http://www.campaignforyouthjustice.org/documents/YouthTransferred.pdf</w:t>
        </w:r>
      </w:hyperlink>
      <w:r>
        <w:rPr>
          <w:sz w:val="16"/>
          <w:szCs w:val="16"/>
        </w:rPr>
        <w:t>. 2007</w:t>
      </w:r>
    </w:p>
    <w:p w:rsidR="00472658" w:rsidRDefault="00472658" w:rsidP="00BB55BA">
      <w:pPr>
        <w:pStyle w:val="FootnoteText"/>
        <w:rPr>
          <w:sz w:val="16"/>
          <w:szCs w:val="16"/>
        </w:rPr>
      </w:pP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58" w:rsidRDefault="00472658" w:rsidP="00472658">
    <w:pPr>
      <w:pStyle w:val="Header"/>
      <w:tabs>
        <w:tab w:val="clear" w:pos="4680"/>
      </w:tabs>
    </w:pPr>
    <w:r>
      <w:t>Voting NC 1</w:t>
    </w:r>
    <w:r>
      <w:tab/>
    </w:r>
    <w:r>
      <w:rPr>
        <w:rStyle w:val="PageNumber"/>
      </w:rPr>
      <w:fldChar w:fldCharType="begin"/>
    </w:r>
    <w:r>
      <w:rPr>
        <w:rStyle w:val="PageNumber"/>
      </w:rPr>
      <w:instrText xml:space="preserve"> PAGE </w:instrText>
    </w:r>
    <w:r>
      <w:rPr>
        <w:rStyle w:val="PageNumber"/>
      </w:rPr>
      <w:fldChar w:fldCharType="separate"/>
    </w:r>
    <w:r w:rsidR="00AF6E4C">
      <w:rPr>
        <w:rStyle w:val="PageNumber"/>
        <w:noProof/>
      </w:rPr>
      <w:t>1</w:t>
    </w:r>
    <w:r>
      <w:rPr>
        <w:rStyle w:val="PageNumber"/>
      </w:rPr>
      <w:fldChar w:fldCharType="end"/>
    </w:r>
  </w:p>
  <w:p w:rsidR="00472658" w:rsidRDefault="00472658" w:rsidP="00472658">
    <w:pPr>
      <w:pStyle w:val="Header"/>
    </w:pPr>
    <w:r>
      <w:t>Walt Whitman</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A443F"/>
    <w:multiLevelType w:val="hybridMultilevel"/>
    <w:tmpl w:val="E5EC3D5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footnotePr>
    <w:footnote w:id="-1"/>
    <w:footnote w:id="0"/>
  </w:footnotePr>
  <w:endnotePr>
    <w:endnote w:id="-1"/>
    <w:endnote w:id="0"/>
  </w:endnotePr>
  <w:compat/>
  <w:rsids>
    <w:rsidRoot w:val="00040832"/>
    <w:rsid w:val="00040832"/>
    <w:rsid w:val="00072A9A"/>
    <w:rsid w:val="0012532C"/>
    <w:rsid w:val="0023493F"/>
    <w:rsid w:val="00424D70"/>
    <w:rsid w:val="00472658"/>
    <w:rsid w:val="0059793C"/>
    <w:rsid w:val="00762F4A"/>
    <w:rsid w:val="009B7E88"/>
    <w:rsid w:val="00AF14AC"/>
    <w:rsid w:val="00AF6E4C"/>
    <w:rsid w:val="00B9084C"/>
    <w:rsid w:val="00BB55BA"/>
    <w:rsid w:val="00DB4AF0"/>
    <w:rsid w:val="00E36FE2"/>
    <w:rsid w:val="00F26378"/>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4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BB55BA"/>
    <w:rPr>
      <w:rFonts w:ascii="Times New Roman" w:hAnsi="Times New Roman" w:cs="Times New Roman" w:hint="default"/>
      <w:color w:val="0000FF"/>
      <w:u w:val="single"/>
    </w:rPr>
  </w:style>
  <w:style w:type="paragraph" w:styleId="FootnoteText">
    <w:name w:val="footnote text"/>
    <w:basedOn w:val="Normal"/>
    <w:link w:val="FootnoteTextChar"/>
    <w:uiPriority w:val="99"/>
    <w:unhideWhenUsed/>
    <w:rsid w:val="00BB55BA"/>
    <w:pPr>
      <w:spacing w:after="0" w:line="240" w:lineRule="auto"/>
    </w:pPr>
    <w:rPr>
      <w:rFonts w:ascii="Times New Roman" w:eastAsia="Times New Roman" w:hAnsi="Times New Roman" w:cs="Times New Roman"/>
      <w:sz w:val="24"/>
      <w:szCs w:val="24"/>
      <w:lang w:bidi="en-US"/>
    </w:rPr>
  </w:style>
  <w:style w:type="character" w:customStyle="1" w:styleId="FootnoteTextChar">
    <w:name w:val="Footnote Text Char"/>
    <w:basedOn w:val="DefaultParagraphFont"/>
    <w:link w:val="FootnoteText"/>
    <w:uiPriority w:val="99"/>
    <w:rsid w:val="00BB55BA"/>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BB55BA"/>
    <w:pPr>
      <w:spacing w:line="240" w:lineRule="auto"/>
      <w:ind w:left="720"/>
      <w:contextualSpacing/>
    </w:pPr>
    <w:rPr>
      <w:rFonts w:ascii="Calibri" w:eastAsia="Calibri" w:hAnsi="Calibri" w:cs="Times New Roman"/>
      <w:sz w:val="24"/>
      <w:szCs w:val="24"/>
    </w:rPr>
  </w:style>
  <w:style w:type="character" w:styleId="FootnoteReference">
    <w:name w:val="footnote reference"/>
    <w:basedOn w:val="DefaultParagraphFont"/>
    <w:uiPriority w:val="99"/>
    <w:unhideWhenUsed/>
    <w:rsid w:val="00BB55BA"/>
    <w:rPr>
      <w:rFonts w:ascii="Times New Roman" w:hAnsi="Times New Roman" w:cs="Times New Roman" w:hint="default"/>
      <w:vertAlign w:val="superscript"/>
    </w:rPr>
  </w:style>
  <w:style w:type="paragraph" w:styleId="Header">
    <w:name w:val="header"/>
    <w:basedOn w:val="Normal"/>
    <w:link w:val="HeaderChar"/>
    <w:uiPriority w:val="99"/>
    <w:semiHidden/>
    <w:unhideWhenUsed/>
    <w:rsid w:val="009B7E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7E88"/>
  </w:style>
  <w:style w:type="paragraph" w:styleId="Footer">
    <w:name w:val="footer"/>
    <w:basedOn w:val="Normal"/>
    <w:link w:val="FooterChar"/>
    <w:uiPriority w:val="99"/>
    <w:semiHidden/>
    <w:unhideWhenUsed/>
    <w:rsid w:val="009B7E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7E88"/>
  </w:style>
  <w:style w:type="character" w:styleId="PageNumber">
    <w:name w:val="page number"/>
    <w:basedOn w:val="DefaultParagraphFont"/>
    <w:uiPriority w:val="99"/>
    <w:semiHidden/>
    <w:unhideWhenUsed/>
    <w:rsid w:val="00472658"/>
  </w:style>
  <w:style w:type="character" w:customStyle="1" w:styleId="apple-style-span">
    <w:name w:val="apple-style-span"/>
    <w:basedOn w:val="DefaultParagraphFont"/>
    <w:rsid w:val="00AF6E4C"/>
  </w:style>
</w:styles>
</file>

<file path=word/webSettings.xml><?xml version="1.0" encoding="utf-8"?>
<w:webSettings xmlns:r="http://schemas.openxmlformats.org/officeDocument/2006/relationships" xmlns:w="http://schemas.openxmlformats.org/wordprocessingml/2006/main">
  <w:divs>
    <w:div w:id="13358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campaignforyouthjustice.org/documents/YouthTransferr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A96B7-54A0-C541-B579-08DC6E6D4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876</Words>
  <Characters>4995</Characters>
  <Application>Microsoft Macintosh Word</Application>
  <DocSecurity>0</DocSecurity>
  <Lines>41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dc:creator>
  <cp:lastModifiedBy>Alex Zimmermann</cp:lastModifiedBy>
  <cp:revision>3</cp:revision>
  <dcterms:created xsi:type="dcterms:W3CDTF">2011-04-29T03:02:00Z</dcterms:created>
  <dcterms:modified xsi:type="dcterms:W3CDTF">2011-04-29T03:58:00Z</dcterms:modified>
</cp:coreProperties>
</file>