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keepNext w:val="true"/>
        <w:pBdr/>
        <w:spacing w:after="60" w:before="160" w:line="276" w:lineRule="auto"/>
        <w:ind/>
        <w:rPr/>
      </w:pPr>
      <w:r>
        <w:rPr>
          <w:rFonts w:ascii="Times New Roman" w:hAnsi="Times New Roman" w:cs="Times New Roman"/>
          <w:b/>
          <w:i w:val="0"/>
          <w:sz w:val="18"/>
          <w:u w:val="single"/>
        </w:rPr>
        <w:t xml:space="preserve">1. Title of the invention:</w:t>
      </w:r>
      <w:r/>
    </w:p>
    <w:p>
      <w:pPr>
        <w:pBdr/>
        <w:spacing w:after="120" w:before="40"/>
        <w:ind/>
        <w:rPr/>
      </w:pPr>
      <w:r>
        <w:rPr>
          <w:rFonts w:ascii="Times New Roman" w:hAnsi="Times New Roman" w:cs="Times New Roman"/>
          <w:b/>
          <w:i w:val="0"/>
          <w:sz w:val="18"/>
          <w:u w:val="none"/>
        </w:rPr>
        <w:t xml:space="preserve">DETERMINISTIC MULTI-VECTOR SOFTWARE DEPENDENCY RISK ASSESSMENT SYSTEM WITH CRITICAL THREAT OVERRIDE AND RESILIENT LOCAL CACHING</w:t>
      </w:r>
      <w:r/>
    </w:p>
    <w:p>
      <w:pPr>
        <w:keepNext w:val="true"/>
        <w:pBdr/>
        <w:spacing w:after="60" w:before="160" w:line="276" w:lineRule="auto"/>
        <w:ind/>
        <w:rPr/>
      </w:pPr>
      <w:r>
        <w:rPr>
          <w:rFonts w:ascii="Times New Roman" w:hAnsi="Times New Roman" w:cs="Times New Roman"/>
          <w:b/>
          <w:i w:val="0"/>
          <w:sz w:val="18"/>
          <w:u w:val="single"/>
        </w:rPr>
        <w:t xml:space="preserve">2. Field /Area of invention:</w:t>
      </w:r>
      <w:r/>
    </w:p>
    <w:p>
      <w:pPr>
        <w:pBdr/>
        <w:spacing/>
        <w:ind/>
        <w:rPr/>
      </w:pPr>
      <w:r>
        <w:rPr>
          <w:rFonts w:ascii="Times New Roman" w:hAnsi="Times New Roman" w:cs="Times New Roman"/>
          <w:b w:val="0"/>
          <w:i w:val="0"/>
          <w:sz w:val="18"/>
          <w:u w:val="none"/>
        </w:rPr>
        <w:t xml:space="preserve">The present invention relates generally to computer software security, automated software engineering, and software compositi</w:t>
      </w:r>
      <w:r>
        <w:rPr>
          <w:rFonts w:ascii="Times New Roman" w:hAnsi="Times New Roman" w:cs="Times New Roman"/>
          <w:b w:val="0"/>
          <w:i w:val="0"/>
          <w:sz w:val="18"/>
          <w:u w:val="none"/>
        </w:rPr>
        <w:t xml:space="preserve">on analysis (SCA). More particularly, the invention relates to a computer-implemented system and method for evaluating security and integrity risks in third-party software dependencies across decentralized package registries (e.g., npm, PyPI, and Maven), d</w:t>
      </w:r>
      <w:r>
        <w:rPr>
          <w:rFonts w:ascii="Times New Roman" w:hAnsi="Times New Roman" w:cs="Times New Roman"/>
          <w:b w:val="0"/>
          <w:i w:val="0"/>
          <w:sz w:val="18"/>
          <w:u w:val="none"/>
        </w:rPr>
        <w:t xml:space="preserve">etecting brand-jacking and typosquatting attacks, aggregating known vulnerability advisories without external API rate-limiting delays, and enforcing automated security policy gates within continuous integration and continuous deployment (CI/CD) pipelines.</w:t>
      </w:r>
      <w:r/>
    </w:p>
    <w:p>
      <w:pPr>
        <w:keepNext w:val="true"/>
        <w:pBdr/>
        <w:spacing w:after="60" w:before="160" w:line="276" w:lineRule="auto"/>
        <w:ind/>
        <w:rPr/>
      </w:pPr>
      <w:r>
        <w:rPr>
          <w:rFonts w:ascii="Times New Roman" w:hAnsi="Times New Roman" w:cs="Times New Roman"/>
          <w:b/>
          <w:i w:val="0"/>
          <w:sz w:val="18"/>
          <w:u w:val="single"/>
        </w:rPr>
        <w:t xml:space="preserve">3. Prior Patents and Publications from literature (provide a table summarizing the prior art)</w:t>
      </w:r>
      <w:r/>
    </w:p>
    <w:p>
      <w:pPr>
        <w:pBdr/>
        <w:spacing/>
        <w:ind/>
        <w:rPr/>
      </w:pPr>
      <w:r>
        <w:rPr>
          <w:rFonts w:ascii="Times New Roman" w:hAnsi="Times New Roman" w:cs="Times New Roman"/>
          <w:b w:val="0"/>
          <w:i w:val="0"/>
          <w:sz w:val="18"/>
          <w:u w:val="none"/>
        </w:rPr>
        <w:t xml:space="preserve">The following table summarizes the closest relevant prior patents and literature publications identified during technical prior-art research.</w:t>
      </w:r>
      <w:r/>
    </w:p>
    <w:tbl>
      <w:tblPr>
        <w:tblStyle w:val="753"/>
        <w:jc w:val="center"/>
        <w:tblW w:w="0" w:type="auto"/>
        <w:tblBorders/>
        <w:tblLook w:val="04A0" w:firstRow="1" w:lastRow="0" w:firstColumn="1" w:lastColumn="0" w:noHBand="0" w:noVBand="1"/>
      </w:tblPr>
      <w:tblGrid>
        <w:gridCol w:w="1806"/>
        <w:gridCol w:w="1806"/>
        <w:gridCol w:w="1806"/>
        <w:gridCol w:w="1806"/>
        <w:gridCol w:w="1806"/>
      </w:tblGrid>
      <w:tr>
        <w:trPr/>
        <w:tc>
          <w:tcPr>
            <w:shd w:val="clear" w:color="auto" w:fill="eaeaea"/>
            <w:tcBorders/>
            <w:tcMar>
              <w:left w:w="60" w:type="dxa"/>
              <w:top w:w="50" w:type="dxa"/>
              <w:right w:w="60" w:type="dxa"/>
              <w:bottom w:w="50" w:type="dxa"/>
            </w:tcMar>
            <w:tcW w:w="1512" w:type="dxa"/>
          </w:tcPr>
          <w:p>
            <w:pPr>
              <w:pBdr/>
              <w:spacing/>
              <w:ind/>
              <w:jc w:val="center"/>
              <w:rPr/>
            </w:pPr>
            <w:r>
              <w:rPr>
                <w:rFonts w:ascii="Times New Roman" w:hAnsi="Times New Roman" w:cs="Times New Roman"/>
                <w:b/>
                <w:i w:val="0"/>
                <w:sz w:val="18"/>
                <w:u w:val="none"/>
              </w:rPr>
              <w:t xml:space="preserve">Type &amp; Identifier</w:t>
            </w:r>
            <w:r/>
          </w:p>
        </w:tc>
        <w:tc>
          <w:tcPr>
            <w:shd w:val="clear" w:color="auto" w:fill="eaeaea"/>
            <w:tcBorders/>
            <w:tcMar>
              <w:left w:w="60" w:type="dxa"/>
              <w:top w:w="50" w:type="dxa"/>
              <w:right w:w="60" w:type="dxa"/>
              <w:bottom w:w="50" w:type="dxa"/>
            </w:tcMar>
            <w:tcW w:w="2016" w:type="dxa"/>
          </w:tcPr>
          <w:p>
            <w:pPr>
              <w:pBdr/>
              <w:spacing/>
              <w:ind/>
              <w:jc w:val="center"/>
              <w:rPr/>
            </w:pPr>
            <w:r>
              <w:rPr>
                <w:rFonts w:ascii="Times New Roman" w:hAnsi="Times New Roman" w:cs="Times New Roman"/>
                <w:b/>
                <w:i w:val="0"/>
                <w:sz w:val="18"/>
                <w:u w:val="none"/>
              </w:rPr>
              <w:t xml:space="preserve">Title, Author / Assignee, Date</w:t>
            </w:r>
            <w:r/>
          </w:p>
        </w:tc>
        <w:tc>
          <w:tcPr>
            <w:shd w:val="clear" w:color="auto" w:fill="eaeaea"/>
            <w:tcBorders/>
            <w:tcMar>
              <w:left w:w="60" w:type="dxa"/>
              <w:top w:w="50" w:type="dxa"/>
              <w:right w:w="60" w:type="dxa"/>
              <w:bottom w:w="50" w:type="dxa"/>
            </w:tcMar>
            <w:tcW w:w="2016" w:type="dxa"/>
          </w:tcPr>
          <w:p>
            <w:pPr>
              <w:pBdr/>
              <w:spacing/>
              <w:ind/>
              <w:jc w:val="center"/>
              <w:rPr/>
            </w:pPr>
            <w:r>
              <w:rPr>
                <w:rFonts w:ascii="Times New Roman" w:hAnsi="Times New Roman" w:cs="Times New Roman"/>
                <w:b/>
                <w:i w:val="0"/>
                <w:sz w:val="18"/>
                <w:u w:val="none"/>
              </w:rPr>
              <w:t xml:space="preserve">Relevant Disclosed Mechanism</w:t>
            </w:r>
            <w:r/>
          </w:p>
        </w:tc>
        <w:tc>
          <w:tcPr>
            <w:shd w:val="clear" w:color="auto" w:fill="eaeaea"/>
            <w:tcBorders/>
            <w:tcMar>
              <w:left w:w="60" w:type="dxa"/>
              <w:top w:w="50" w:type="dxa"/>
              <w:right w:w="60" w:type="dxa"/>
              <w:bottom w:w="50" w:type="dxa"/>
            </w:tcMar>
            <w:tcW w:w="2016" w:type="dxa"/>
          </w:tcPr>
          <w:p>
            <w:pPr>
              <w:pBdr/>
              <w:spacing/>
              <w:ind/>
              <w:jc w:val="center"/>
              <w:rPr/>
            </w:pPr>
            <w:r>
              <w:rPr>
                <w:rFonts w:ascii="Times New Roman" w:hAnsi="Times New Roman" w:cs="Times New Roman"/>
                <w:b/>
                <w:i w:val="0"/>
                <w:sz w:val="18"/>
                <w:u w:val="none"/>
              </w:rPr>
              <w:t xml:space="preserve">Relationship to Invention / Difference</w:t>
            </w:r>
            <w:r/>
          </w:p>
        </w:tc>
        <w:tc>
          <w:tcPr>
            <w:shd w:val="clear" w:color="auto" w:fill="eaeaea"/>
            <w:tcBorders/>
            <w:tcMar>
              <w:left w:w="60" w:type="dxa"/>
              <w:top w:w="50" w:type="dxa"/>
              <w:right w:w="60" w:type="dxa"/>
              <w:bottom w:w="50" w:type="dxa"/>
            </w:tcMar>
            <w:tcW w:w="1440" w:type="dxa"/>
          </w:tcPr>
          <w:p>
            <w:pPr>
              <w:pBdr/>
              <w:spacing/>
              <w:ind/>
              <w:jc w:val="center"/>
              <w:rPr/>
            </w:pPr>
            <w:r>
              <w:rPr>
                <w:rFonts w:ascii="Times New Roman" w:hAnsi="Times New Roman" w:cs="Times New Roman"/>
                <w:b/>
                <w:i w:val="0"/>
                <w:sz w:val="18"/>
                <w:u w:val="none"/>
              </w:rPr>
              <w:t xml:space="preserve">Source Link &amp; Note</w:t>
            </w:r>
            <w:r/>
          </w:p>
        </w:tc>
      </w:tr>
      <w:tr>
        <w:trPr/>
        <w:tc>
          <w:tcPr>
            <w:tcBorders/>
            <w:tcMar>
              <w:left w:w="50" w:type="dxa"/>
              <w:top w:w="40" w:type="dxa"/>
              <w:right w:w="50" w:type="dxa"/>
              <w:bottom w:w="40" w:type="dxa"/>
            </w:tcMar>
            <w:tcW w:w="1512" w:type="dxa"/>
          </w:tcPr>
          <w:p>
            <w:pPr>
              <w:pBdr/>
              <w:spacing w:after="20" w:line="252" w:lineRule="auto"/>
              <w:ind/>
              <w:rPr/>
            </w:pPr>
            <w:r>
              <w:rPr>
                <w:rFonts w:ascii="Times New Roman" w:hAnsi="Times New Roman" w:cs="Times New Roman"/>
                <w:b w:val="0"/>
                <w:i w:val="0"/>
                <w:sz w:val="18"/>
                <w:u w:val="none"/>
              </w:rPr>
              <w:t xml:space="preserve">Patent: US10116681B2</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Method of detecting shared vulnerable code;</w:t>
              <w:br/>
              <w:t xml:space="preserve">Brian Fox, Wayne Jackson;</w:t>
              <w:br/>
              <w:t xml:space="preserve">Assignee: Sonatype, Inc.;</w:t>
              <w:br/>
              <w:t xml:space="preserve">Issued: Oct 30, 2018</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Discloses identifying shared vulnerable code segments across software artifacts and calculating composite risk scores based on severity weights, confidence weights, and operational criticality.</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Focuses on static code fingerprinting; does not perform lexical typosquatting or namespace normalization confusion analysis, lacks an embedded WAL-mode local cache, and does not provide a non-linear override shield to prevent benign maintainer dilution.</w:t>
            </w:r>
            <w:r/>
          </w:p>
        </w:tc>
        <w:tc>
          <w:tcPr>
            <w:tcBorders/>
            <w:tcMar>
              <w:left w:w="50" w:type="dxa"/>
              <w:top w:w="40" w:type="dxa"/>
              <w:right w:w="50" w:type="dxa"/>
              <w:bottom w:w="40" w:type="dxa"/>
            </w:tcMar>
            <w:tcW w:w="1440" w:type="dxa"/>
          </w:tcPr>
          <w:p>
            <w:pPr>
              <w:pBdr/>
              <w:spacing w:after="20" w:line="252" w:lineRule="auto"/>
              <w:ind/>
              <w:rPr/>
            </w:pPr>
            <w:r>
              <w:rPr>
                <w:rFonts w:ascii="Times New Roman" w:hAnsi="Times New Roman" w:cs="Times New Roman"/>
                <w:b w:val="0"/>
                <w:i w:val="0"/>
                <w:sz w:val="18"/>
                <w:u w:val="none"/>
              </w:rPr>
              <w:t xml:space="preserve">https://patents.google.com/patent/US10116681B2/en;</w:t>
              <w:br/>
              <w:t xml:space="preserve">Verified in USPTO database.</w:t>
            </w:r>
            <w:r/>
          </w:p>
        </w:tc>
      </w:tr>
      <w:tr>
        <w:trPr/>
        <w:tc>
          <w:tcPr>
            <w:tcBorders/>
            <w:tcMar>
              <w:left w:w="50" w:type="dxa"/>
              <w:top w:w="40" w:type="dxa"/>
              <w:right w:w="50" w:type="dxa"/>
              <w:bottom w:w="40" w:type="dxa"/>
            </w:tcMar>
            <w:tcW w:w="1512" w:type="dxa"/>
          </w:tcPr>
          <w:p>
            <w:pPr>
              <w:pBdr/>
              <w:spacing w:after="20" w:line="252" w:lineRule="auto"/>
              <w:ind/>
              <w:rPr/>
            </w:pPr>
            <w:r>
              <w:rPr>
                <w:rFonts w:ascii="Times New Roman" w:hAnsi="Times New Roman" w:cs="Times New Roman"/>
                <w:b w:val="0"/>
                <w:i w:val="0"/>
                <w:sz w:val="18"/>
                <w:u w:val="none"/>
              </w:rPr>
              <w:t xml:space="preserve">Patent: US9141378B2</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Method and system for evaluating a software artifact based on issue tracking and source control information;</w:t>
              <w:br/>
              <w:t xml:space="preserve">Wayne Jackson et al.;</w:t>
              <w:br/>
              <w:t xml:space="preserve">Assignee: Sonatype, Inc.;</w:t>
              <w:br/>
              <w:t xml:space="preserve">Issued: Sep 22, 2015</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Assesses software component quality and risk by mining external development metadata from issue tracking systems (e.g., Jira) and source control repositories (e.g., Git commit activity).</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Evaluates repository activity in isolation; does not integrate deterministic string distance algorithms or compound CVSS scores, and lacks a local caching engine for synchronous CI/CD build blocking.</w:t>
            </w:r>
            <w:r/>
          </w:p>
        </w:tc>
        <w:tc>
          <w:tcPr>
            <w:tcBorders/>
            <w:tcMar>
              <w:left w:w="50" w:type="dxa"/>
              <w:top w:w="40" w:type="dxa"/>
              <w:right w:w="50" w:type="dxa"/>
              <w:bottom w:w="40" w:type="dxa"/>
            </w:tcMar>
            <w:tcW w:w="1440" w:type="dxa"/>
          </w:tcPr>
          <w:p>
            <w:pPr>
              <w:pBdr/>
              <w:spacing w:after="20" w:line="252" w:lineRule="auto"/>
              <w:ind/>
              <w:rPr/>
            </w:pPr>
            <w:r>
              <w:rPr>
                <w:rFonts w:ascii="Times New Roman" w:hAnsi="Times New Roman" w:cs="Times New Roman"/>
                <w:b w:val="0"/>
                <w:i w:val="0"/>
                <w:sz w:val="18"/>
                <w:u w:val="none"/>
              </w:rPr>
              <w:t xml:space="preserve">https://patents.google.com/patent/US9141378B2/en;</w:t>
              <w:br/>
              <w:t xml:space="preserve">Verified in USPTO database.</w:t>
            </w:r>
            <w:r/>
          </w:p>
        </w:tc>
      </w:tr>
      <w:tr>
        <w:trPr/>
        <w:tc>
          <w:tcPr>
            <w:tcBorders/>
            <w:tcMar>
              <w:left w:w="50" w:type="dxa"/>
              <w:top w:w="40" w:type="dxa"/>
              <w:right w:w="50" w:type="dxa"/>
              <w:bottom w:w="40" w:type="dxa"/>
            </w:tcMar>
            <w:tcW w:w="1512" w:type="dxa"/>
          </w:tcPr>
          <w:p>
            <w:pPr>
              <w:pBdr/>
              <w:spacing w:after="20" w:line="252" w:lineRule="auto"/>
              <w:ind/>
              <w:rPr/>
            </w:pPr>
            <w:r>
              <w:rPr>
                <w:rFonts w:ascii="Times New Roman" w:hAnsi="Times New Roman" w:cs="Times New Roman"/>
                <w:b w:val="0"/>
                <w:i w:val="0"/>
                <w:sz w:val="18"/>
                <w:u w:val="none"/>
              </w:rPr>
              <w:t xml:space="preserve">Patent App: US20200042712A1 / US12632559B2</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Open-source software vulnerability analysis;</w:t>
              <w:br/>
              <w:t xml:space="preserve">Darius Tsien Wei Foo et al.;</w:t>
              <w:br/>
              <w:t xml:space="preserve">Assignee: Veracode, Inc.;</w:t>
              <w:br/>
              <w:t xml:space="preserve">Published: Feb 6, 2020</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Discloses a Security Domain Graph Language (SGL) and graph database to track transitive dependencies and query complex vulnerability call paths across open-source ecosystems.</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Relies on specialized graph database traversal; does not teach zero-dependency native string distance metrics, maintainer age heuristics, or a non-linear override shield for low-latency CI/CD gates.</w:t>
            </w:r>
            <w:r/>
          </w:p>
        </w:tc>
        <w:tc>
          <w:tcPr>
            <w:tcBorders/>
            <w:tcMar>
              <w:left w:w="50" w:type="dxa"/>
              <w:top w:w="40" w:type="dxa"/>
              <w:right w:w="50" w:type="dxa"/>
              <w:bottom w:w="40" w:type="dxa"/>
            </w:tcMar>
            <w:tcW w:w="1440" w:type="dxa"/>
          </w:tcPr>
          <w:p>
            <w:pPr>
              <w:pBdr/>
              <w:spacing w:after="20" w:line="252" w:lineRule="auto"/>
              <w:ind/>
              <w:rPr/>
            </w:pPr>
            <w:r>
              <w:rPr>
                <w:rFonts w:ascii="Times New Roman" w:hAnsi="Times New Roman" w:cs="Times New Roman"/>
                <w:b w:val="0"/>
                <w:i w:val="0"/>
                <w:sz w:val="18"/>
                <w:u w:val="none"/>
              </w:rPr>
              <w:t xml:space="preserve">https://patents.google.com/patent/US20200042712A1/en;</w:t>
              <w:br/>
              <w:t xml:space="preserve">Verified in USPTO / Google Patents.</w:t>
            </w:r>
            <w:r/>
          </w:p>
        </w:tc>
      </w:tr>
      <w:tr>
        <w:trPr/>
        <w:tc>
          <w:tcPr>
            <w:tcBorders/>
            <w:tcMar>
              <w:left w:w="50" w:type="dxa"/>
              <w:top w:w="40" w:type="dxa"/>
              <w:right w:w="50" w:type="dxa"/>
              <w:bottom w:w="40" w:type="dxa"/>
            </w:tcMar>
            <w:tcW w:w="1512" w:type="dxa"/>
          </w:tcPr>
          <w:p>
            <w:pPr>
              <w:pBdr/>
              <w:spacing w:after="20" w:line="252" w:lineRule="auto"/>
              <w:ind/>
              <w:rPr/>
            </w:pPr>
            <w:r>
              <w:rPr>
                <w:rFonts w:ascii="Times New Roman" w:hAnsi="Times New Roman" w:cs="Times New Roman"/>
                <w:b w:val="0"/>
                <w:i w:val="0"/>
                <w:sz w:val="18"/>
                <w:u w:val="none"/>
              </w:rPr>
              <w:t xml:space="preserve">Patent: US10498753B2</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System and method for identifying potentially fraudulent domain name and identifiers;</w:t>
              <w:br/>
              <w:t xml:space="preserve">Jean-Francois Legault;</w:t>
              <w:br/>
              <w:t xml:space="preserve">Issued: Dec 3, 2019</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Calculates string edit distances and character confusion matrices to identify fraudulent, lookalike domain names and brand-jacking attempts.</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Directed to DNS domain registrations; does not inspect software dependency manifests, does not correlate edit distances with vulnerability feeds or package metadata, and does not interface with CI/CD gates.</w:t>
            </w:r>
            <w:r/>
          </w:p>
        </w:tc>
        <w:tc>
          <w:tcPr>
            <w:tcBorders/>
            <w:tcMar>
              <w:left w:w="50" w:type="dxa"/>
              <w:top w:w="40" w:type="dxa"/>
              <w:right w:w="50" w:type="dxa"/>
              <w:bottom w:w="40" w:type="dxa"/>
            </w:tcMar>
            <w:tcW w:w="1440" w:type="dxa"/>
          </w:tcPr>
          <w:p>
            <w:pPr>
              <w:pBdr/>
              <w:spacing w:after="20" w:line="252" w:lineRule="auto"/>
              <w:ind/>
              <w:rPr/>
            </w:pPr>
            <w:r>
              <w:rPr>
                <w:rFonts w:ascii="Times New Roman" w:hAnsi="Times New Roman" w:cs="Times New Roman"/>
                <w:b w:val="0"/>
                <w:i w:val="0"/>
                <w:sz w:val="18"/>
                <w:u w:val="none"/>
              </w:rPr>
              <w:t xml:space="preserve">https://patents.google.com/patent/US10498753B2/en;</w:t>
              <w:br/>
              <w:t xml:space="preserve">Verified in USPTO database.</w:t>
            </w:r>
            <w:r/>
          </w:p>
        </w:tc>
      </w:tr>
      <w:tr>
        <w:trPr/>
        <w:tc>
          <w:tcPr>
            <w:tcBorders/>
            <w:tcMar>
              <w:left w:w="50" w:type="dxa"/>
              <w:top w:w="40" w:type="dxa"/>
              <w:right w:w="50" w:type="dxa"/>
              <w:bottom w:w="40" w:type="dxa"/>
            </w:tcMar>
            <w:tcW w:w="1512" w:type="dxa"/>
          </w:tcPr>
          <w:p>
            <w:pPr>
              <w:pBdr/>
              <w:spacing w:after="20" w:line="252" w:lineRule="auto"/>
              <w:ind/>
              <w:rPr/>
            </w:pPr>
            <w:r>
              <w:rPr>
                <w:rFonts w:ascii="Times New Roman" w:hAnsi="Times New Roman" w:cs="Times New Roman"/>
                <w:b w:val="0"/>
                <w:i w:val="0"/>
                <w:sz w:val="18"/>
                <w:u w:val="none"/>
              </w:rPr>
              <w:t xml:space="preserve">Patent: US8627270B2</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Method and system for monitoring a software artifact;</w:t>
              <w:br/>
              <w:t xml:space="preserve">Joel Orlina;</w:t>
              <w:br/>
              <w:t xml:space="preserve">Assignee: Sonatype, Inc.;</w:t>
              <w:br/>
              <w:t xml:space="preserve">Issued: Jan 7, 2014</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Tracks, inspects, and monitors software artifacts within centralized repositories and build systems for compliance and security updates.</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General artifact monitoring framework; does not disclose multi-vector deterministic mathematical aggregation, compound CVSS calculation, or rate-limit-resistant WAL caching.</w:t>
            </w:r>
            <w:r/>
          </w:p>
        </w:tc>
        <w:tc>
          <w:tcPr>
            <w:tcBorders/>
            <w:tcMar>
              <w:left w:w="50" w:type="dxa"/>
              <w:top w:w="40" w:type="dxa"/>
              <w:right w:w="50" w:type="dxa"/>
              <w:bottom w:w="40" w:type="dxa"/>
            </w:tcMar>
            <w:tcW w:w="1440" w:type="dxa"/>
          </w:tcPr>
          <w:p>
            <w:pPr>
              <w:pBdr/>
              <w:spacing w:after="20" w:line="252" w:lineRule="auto"/>
              <w:ind/>
              <w:rPr/>
            </w:pPr>
            <w:r>
              <w:rPr>
                <w:rFonts w:ascii="Times New Roman" w:hAnsi="Times New Roman" w:cs="Times New Roman"/>
                <w:b w:val="0"/>
                <w:i w:val="0"/>
                <w:sz w:val="18"/>
                <w:u w:val="none"/>
              </w:rPr>
              <w:t xml:space="preserve">https://patents.google.com/patent/US8627270B2/en;</w:t>
              <w:br/>
              <w:t xml:space="preserve">Verified in USPTO database.</w:t>
            </w:r>
            <w:r/>
          </w:p>
        </w:tc>
      </w:tr>
      <w:tr>
        <w:trPr/>
        <w:tc>
          <w:tcPr>
            <w:tcBorders/>
            <w:tcMar>
              <w:left w:w="50" w:type="dxa"/>
              <w:top w:w="40" w:type="dxa"/>
              <w:right w:w="50" w:type="dxa"/>
              <w:bottom w:w="40" w:type="dxa"/>
            </w:tcMar>
            <w:tcW w:w="1512" w:type="dxa"/>
          </w:tcPr>
          <w:p>
            <w:pPr>
              <w:pBdr/>
              <w:spacing w:after="20" w:line="252" w:lineRule="auto"/>
              <w:ind/>
              <w:rPr/>
            </w:pPr>
            <w:r>
              <w:rPr>
                <w:rFonts w:ascii="Times New Roman" w:hAnsi="Times New Roman" w:cs="Times New Roman"/>
                <w:b w:val="0"/>
                <w:i w:val="0"/>
                <w:sz w:val="18"/>
                <w:u w:val="none"/>
              </w:rPr>
              <w:t xml:space="preserve">Literature: Davis et al. (2025)</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Detecting Active and Stealthy Typosquatting Threats in Package Registries (TypoSmart);</w:t>
              <w:br/>
              <w:t xml:space="preserve">James C. Davis et al.;</w:t>
              <w:br/>
              <w:t xml:space="preserve">arXiv:2502.11289</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Employs embedding-based neighbor search and metadata heuristics across multiple package registries to detect lookalike package names at scale.</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Focuses solely on package naming; does not evaluate package contents, known vulnerability advisories, or maintainer dormancy, and requires external vector search infrastructure.</w:t>
            </w:r>
            <w:r/>
          </w:p>
        </w:tc>
        <w:tc>
          <w:tcPr>
            <w:tcBorders/>
            <w:tcMar>
              <w:left w:w="50" w:type="dxa"/>
              <w:top w:w="40" w:type="dxa"/>
              <w:right w:w="50" w:type="dxa"/>
              <w:bottom w:w="40" w:type="dxa"/>
            </w:tcMar>
            <w:tcW w:w="1440" w:type="dxa"/>
          </w:tcPr>
          <w:p>
            <w:pPr>
              <w:pBdr/>
              <w:spacing w:after="20" w:line="252" w:lineRule="auto"/>
              <w:ind/>
              <w:rPr/>
            </w:pPr>
            <w:r>
              <w:rPr>
                <w:rFonts w:ascii="Times New Roman" w:hAnsi="Times New Roman" w:cs="Times New Roman"/>
                <w:b w:val="0"/>
                <w:i w:val="0"/>
                <w:sz w:val="18"/>
                <w:u w:val="none"/>
              </w:rPr>
              <w:t xml:space="preserve">https://arxiv.org/abs/2502.11289;</w:t>
              <w:br/>
              <w:t xml:space="preserve">Verified preprint.</w:t>
            </w:r>
            <w:r/>
          </w:p>
        </w:tc>
      </w:tr>
      <w:tr>
        <w:trPr/>
        <w:tc>
          <w:tcPr>
            <w:tcBorders/>
            <w:tcMar>
              <w:left w:w="50" w:type="dxa"/>
              <w:top w:w="40" w:type="dxa"/>
              <w:right w:w="50" w:type="dxa"/>
              <w:bottom w:w="40" w:type="dxa"/>
            </w:tcMar>
            <w:tcW w:w="1512" w:type="dxa"/>
          </w:tcPr>
          <w:p>
            <w:pPr>
              <w:pBdr/>
              <w:spacing w:after="20" w:line="252" w:lineRule="auto"/>
              <w:ind/>
              <w:rPr/>
            </w:pPr>
            <w:r>
              <w:rPr>
                <w:rFonts w:ascii="Times New Roman" w:hAnsi="Times New Roman" w:cs="Times New Roman"/>
                <w:b w:val="0"/>
                <w:i w:val="0"/>
                <w:sz w:val="18"/>
                <w:u w:val="none"/>
              </w:rPr>
              <w:t xml:space="preserve">Literature: Huang et al. (2024)</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DONAPI: Malicious NPM Packages Detector using Behavior Sequence Knowledge Mapping;</w:t>
              <w:br/>
              <w:t xml:space="preserve">Cheng Huang et al.;</w:t>
              <w:br/>
              <w:t xml:space="preserve">USENIX Security 2024</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Dynamically traces runtime API calls of npm packages within isolated virtual machine sandboxes and maps them to a behavior knowledge base.</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Incurs severe execution latency (several minutes to hours per package), rendering it unusable for synchronous developer CLI checks or CI/CD blocking gates.</w:t>
            </w:r>
            <w:r/>
          </w:p>
        </w:tc>
        <w:tc>
          <w:tcPr>
            <w:tcBorders/>
            <w:tcMar>
              <w:left w:w="50" w:type="dxa"/>
              <w:top w:w="40" w:type="dxa"/>
              <w:right w:w="50" w:type="dxa"/>
              <w:bottom w:w="40" w:type="dxa"/>
            </w:tcMar>
            <w:tcW w:w="1440" w:type="dxa"/>
          </w:tcPr>
          <w:p>
            <w:pPr>
              <w:pBdr/>
              <w:spacing w:after="20" w:line="252" w:lineRule="auto"/>
              <w:ind/>
              <w:rPr/>
            </w:pPr>
            <w:r>
              <w:rPr>
                <w:rFonts w:ascii="Times New Roman" w:hAnsi="Times New Roman" w:cs="Times New Roman"/>
                <w:b w:val="0"/>
                <w:i w:val="0"/>
                <w:sz w:val="18"/>
                <w:u w:val="none"/>
              </w:rPr>
              <w:t xml:space="preserve">https://www.usenix.org/conference/usenixsecurity24/presentation/huang-cheng;</w:t>
              <w:br/>
              <w:t xml:space="preserve">Verified proceedings.</w:t>
            </w:r>
            <w:r/>
          </w:p>
        </w:tc>
      </w:tr>
      <w:tr>
        <w:trPr/>
        <w:tc>
          <w:tcPr>
            <w:tcBorders/>
            <w:tcMar>
              <w:left w:w="50" w:type="dxa"/>
              <w:top w:w="40" w:type="dxa"/>
              <w:right w:w="50" w:type="dxa"/>
              <w:bottom w:w="40" w:type="dxa"/>
            </w:tcMar>
            <w:tcW w:w="1512" w:type="dxa"/>
          </w:tcPr>
          <w:p>
            <w:pPr>
              <w:pBdr/>
              <w:spacing w:after="20" w:line="252" w:lineRule="auto"/>
              <w:ind/>
              <w:rPr/>
            </w:pPr>
            <w:r>
              <w:rPr>
                <w:rFonts w:ascii="Times New Roman" w:hAnsi="Times New Roman" w:cs="Times New Roman"/>
                <w:b w:val="0"/>
                <w:i w:val="0"/>
                <w:sz w:val="18"/>
                <w:u w:val="none"/>
              </w:rPr>
              <w:t xml:space="preserve">Literature: Guo et al. (2026)</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Bridging Expert Reasoning and LLM Detection: A Knowledge-Driven Framework for Malicious Packages (IntelGuard);</w:t>
              <w:br/>
              <w:t xml:space="preserve">Wenbo Guo et al.;</w:t>
              <w:br/>
              <w:t xml:space="preserve">ACM WWW 2026</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Couples behavioral sequence extraction with Retrieval-Augmented Generation (RAG) and Large Language Model (LLM) reasoning over dual-use APIs.</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Incurs high financial cost per scan, multi-second token generation latency, non-deterministic outputs, and external privacy risks from sending manifests to cloud LLM providers.</w:t>
            </w:r>
            <w:r/>
          </w:p>
        </w:tc>
        <w:tc>
          <w:tcPr>
            <w:tcBorders/>
            <w:tcMar>
              <w:left w:w="50" w:type="dxa"/>
              <w:top w:w="40" w:type="dxa"/>
              <w:right w:w="50" w:type="dxa"/>
              <w:bottom w:w="40" w:type="dxa"/>
            </w:tcMar>
            <w:tcW w:w="1440" w:type="dxa"/>
          </w:tcPr>
          <w:p>
            <w:pPr>
              <w:pBdr/>
              <w:spacing w:after="20" w:line="252" w:lineRule="auto"/>
              <w:ind/>
              <w:rPr/>
            </w:pPr>
            <w:r>
              <w:rPr>
                <w:rFonts w:ascii="Times New Roman" w:hAnsi="Times New Roman" w:cs="Times New Roman"/>
                <w:b w:val="0"/>
                <w:i w:val="0"/>
                <w:sz w:val="18"/>
                <w:u w:val="none"/>
              </w:rPr>
              <w:t xml:space="preserve">https://doi.org/10.1145/3774904.3792083;</w:t>
              <w:br/>
              <w:t xml:space="preserve">Verified conference paper.</w:t>
            </w:r>
            <w:r/>
          </w:p>
        </w:tc>
      </w:tr>
      <w:tr>
        <w:trPr/>
        <w:tc>
          <w:tcPr>
            <w:tcBorders/>
            <w:tcMar>
              <w:left w:w="50" w:type="dxa"/>
              <w:top w:w="40" w:type="dxa"/>
              <w:right w:w="50" w:type="dxa"/>
              <w:bottom w:w="40" w:type="dxa"/>
            </w:tcMar>
            <w:tcW w:w="1512" w:type="dxa"/>
          </w:tcPr>
          <w:p>
            <w:pPr>
              <w:pBdr/>
              <w:spacing w:after="20" w:line="252" w:lineRule="auto"/>
              <w:ind/>
              <w:rPr/>
            </w:pPr>
            <w:r>
              <w:rPr>
                <w:rFonts w:ascii="Times New Roman" w:hAnsi="Times New Roman" w:cs="Times New Roman"/>
                <w:b w:val="0"/>
                <w:i w:val="0"/>
                <w:sz w:val="18"/>
                <w:u w:val="none"/>
              </w:rPr>
              <w:t xml:space="preserve">Literature: Sejfia &amp; Schäfer (2022)</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Practical Automated Detection of Malicious npm Packages (Amalfi);</w:t>
              <w:br/>
              <w:t xml:space="preserve">Adriana Sejfia, Max Schäfer;</w:t>
              <w:br/>
              <w:t xml:space="preserve">ACM/IEEE ICSE 2022</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Applies supervised static machine learning (Decision Trees, SVMs) and code clone detection to flag malicious npm packages.</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Vulnerable to trivial code obfuscation (base64 packing, dynamic eval); lacks compound vulnerability aggregation and maintainer hygiene analysis.</w:t>
            </w:r>
            <w:r/>
          </w:p>
        </w:tc>
        <w:tc>
          <w:tcPr>
            <w:tcBorders/>
            <w:tcMar>
              <w:left w:w="50" w:type="dxa"/>
              <w:top w:w="40" w:type="dxa"/>
              <w:right w:w="50" w:type="dxa"/>
              <w:bottom w:w="40" w:type="dxa"/>
            </w:tcMar>
            <w:tcW w:w="1440" w:type="dxa"/>
          </w:tcPr>
          <w:p>
            <w:pPr>
              <w:pBdr/>
              <w:spacing w:after="20" w:line="252" w:lineRule="auto"/>
              <w:ind/>
              <w:rPr/>
            </w:pPr>
            <w:r>
              <w:rPr>
                <w:rFonts w:ascii="Times New Roman" w:hAnsi="Times New Roman" w:cs="Times New Roman"/>
                <w:b w:val="0"/>
                <w:i w:val="0"/>
                <w:sz w:val="18"/>
                <w:u w:val="none"/>
              </w:rPr>
              <w:t xml:space="preserve">https://doi.org/10.1145/3510003.3510104;</w:t>
              <w:br/>
              <w:t xml:space="preserve">Verified conference paper.</w:t>
            </w:r>
            <w:r/>
          </w:p>
        </w:tc>
      </w:tr>
      <w:tr>
        <w:trPr/>
        <w:tc>
          <w:tcPr>
            <w:tcBorders/>
            <w:tcMar>
              <w:left w:w="50" w:type="dxa"/>
              <w:top w:w="40" w:type="dxa"/>
              <w:right w:w="50" w:type="dxa"/>
              <w:bottom w:w="40" w:type="dxa"/>
            </w:tcMar>
            <w:tcW w:w="1512" w:type="dxa"/>
          </w:tcPr>
          <w:p>
            <w:pPr>
              <w:pBdr/>
              <w:spacing w:after="20" w:line="252" w:lineRule="auto"/>
              <w:ind/>
              <w:rPr/>
            </w:pPr>
            <w:r>
              <w:rPr>
                <w:rFonts w:ascii="Times New Roman" w:hAnsi="Times New Roman" w:cs="Times New Roman"/>
                <w:b w:val="0"/>
                <w:i w:val="0"/>
                <w:sz w:val="18"/>
                <w:u w:val="none"/>
              </w:rPr>
              <w:t xml:space="preserve">Literature: OpenSSF (2023)</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OpenSSF Scorecard: Automated Security Health Metrics;</w:t>
              <w:br/>
              <w:t xml:space="preserve">Open Source Security Foundation</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Automates repository-level configuration and policy checks (branch protection, token permissions) via GitHub API queries.</w:t>
            </w:r>
            <w:r/>
          </w:p>
        </w:tc>
        <w:tc>
          <w:tcPr>
            <w:tcBorders/>
            <w:tcMar>
              <w:left w:w="50" w:type="dxa"/>
              <w:top w:w="40" w:type="dxa"/>
              <w:right w:w="50" w:type="dxa"/>
              <w:bottom w:w="40" w:type="dxa"/>
            </w:tcMar>
            <w:tcW w:w="2016" w:type="dxa"/>
          </w:tcPr>
          <w:p>
            <w:pPr>
              <w:pBdr/>
              <w:spacing w:after="20" w:line="252" w:lineRule="auto"/>
              <w:ind/>
              <w:rPr/>
            </w:pPr>
            <w:r>
              <w:rPr>
                <w:rFonts w:ascii="Times New Roman" w:hAnsi="Times New Roman" w:cs="Times New Roman"/>
                <w:b w:val="0"/>
                <w:i w:val="0"/>
                <w:sz w:val="18"/>
                <w:u w:val="none"/>
              </w:rPr>
              <w:t xml:space="preserve">Operates strictly at the source repository level; explicitly avoids inspecting declared dependency manifests, typosquatting vectors, or known CVEs.</w:t>
            </w:r>
            <w:r/>
          </w:p>
        </w:tc>
        <w:tc>
          <w:tcPr>
            <w:tcBorders/>
            <w:tcMar>
              <w:left w:w="50" w:type="dxa"/>
              <w:top w:w="40" w:type="dxa"/>
              <w:right w:w="50" w:type="dxa"/>
              <w:bottom w:w="40" w:type="dxa"/>
            </w:tcMar>
            <w:tcW w:w="1440" w:type="dxa"/>
          </w:tcPr>
          <w:p>
            <w:pPr>
              <w:pBdr/>
              <w:spacing w:after="20" w:line="252" w:lineRule="auto"/>
              <w:ind/>
              <w:rPr/>
            </w:pPr>
            <w:r>
              <w:rPr>
                <w:rFonts w:ascii="Times New Roman" w:hAnsi="Times New Roman" w:cs="Times New Roman"/>
                <w:b w:val="0"/>
                <w:i w:val="0"/>
                <w:sz w:val="18"/>
                <w:u w:val="none"/>
              </w:rPr>
              <w:t xml:space="preserve">https://github.com/ossf/scorecard;</w:t>
              <w:br/>
              <w:t xml:space="preserve">Verified open-source tool.</w:t>
            </w:r>
            <w:r/>
          </w:p>
        </w:tc>
      </w:tr>
    </w:tbl>
    <w:p>
      <w:pPr>
        <w:pBdr/>
        <w:spacing w:before="80"/>
        <w:ind/>
        <w:rPr/>
      </w:pPr>
      <w:r>
        <w:rPr>
          <w:rFonts w:ascii="Times New Roman" w:hAnsi="Times New Roman" w:cs="Times New Roman"/>
          <w:b w:val="0"/>
          <w:i w:val="0"/>
          <w:sz w:val="18"/>
          <w:u w:val="none"/>
        </w:rPr>
        <w:t xml:space="preserve">Prior patents and publications focus either on deep, isolated runtime sandboxing (DONAPI), complex graph databases (Veracode), proprietary repository </w:t>
      </w:r>
      <w:r>
        <w:rPr>
          <w:rFonts w:ascii="Times New Roman" w:hAnsi="Times New Roman" w:cs="Times New Roman"/>
          <w:b w:val="0"/>
          <w:i w:val="0"/>
          <w:sz w:val="18"/>
          <w:u w:val="none"/>
        </w:rPr>
        <w:t xml:space="preserve">ratings (Sonatype), or opaque machine learning/LLM reasoning (Amalfi, IntelGuard). None of the identified references teaches or suggests the presently disclosed system: an integrated, deterministic multi-vector architecture combining zero-dependency string</w:t>
      </w:r>
      <w:r>
        <w:rPr>
          <w:rFonts w:ascii="Times New Roman" w:hAnsi="Times New Roman" w:cs="Times New Roman"/>
          <w:b w:val="0"/>
          <w:i w:val="0"/>
          <w:sz w:val="18"/>
          <w:u w:val="none"/>
        </w:rPr>
        <w:t xml:space="preserve"> distance analysis, compound CVSS vulnerability mapping, and registry maintainer hygiene, governed by an embedded Write-Ahead Logging (WAL) SQLite cache and a non-linear Critical Threat Override Shield that mathematically eliminates vulnerability dilution.</w:t>
      </w:r>
      <w:r/>
    </w:p>
    <w:p>
      <w:pPr>
        <w:keepNext w:val="true"/>
        <w:pBdr/>
        <w:spacing w:after="60" w:before="160" w:line="276" w:lineRule="auto"/>
        <w:ind/>
        <w:rPr/>
      </w:pPr>
      <w:r>
        <w:rPr>
          <w:rFonts w:ascii="Times New Roman" w:hAnsi="Times New Roman" w:cs="Times New Roman"/>
          <w:b/>
          <w:i w:val="0"/>
          <w:sz w:val="18"/>
          <w:u w:val="single"/>
        </w:rPr>
        <w:t xml:space="preserve">4. Summary and background of the invention (Address the gap / Novelty)</w:t>
      </w:r>
      <w:r/>
    </w:p>
    <w:p>
      <w:pPr>
        <w:pBdr/>
        <w:spacing/>
        <w:ind/>
        <w:rPr/>
      </w:pPr>
      <w:r>
        <w:rPr>
          <w:rFonts w:ascii="Times New Roman" w:hAnsi="Times New Roman" w:cs="Times New Roman"/>
          <w:b w:val="0"/>
          <w:i w:val="0"/>
          <w:sz w:val="18"/>
          <w:u w:val="none"/>
        </w:rPr>
        <w:t xml:space="preserve">Modern enterprise application development relies extensively on open-source package registries (npm, PyPI, Maven). While this paradigm dramatically accelerates feature development, it introduces severe supply chain attack vectors:</w:t>
      </w:r>
      <w:r/>
    </w:p>
    <w:p>
      <w:pPr>
        <w:pBdr/>
        <w:spacing/>
        <w:ind/>
        <w:rPr/>
      </w:pPr>
      <w:r>
        <w:rPr>
          <w:rFonts w:ascii="Times New Roman" w:hAnsi="Times New Roman" w:cs="Times New Roman"/>
          <w:b w:val="0"/>
          <w:i w:val="0"/>
          <w:sz w:val="18"/>
          <w:u w:val="none"/>
        </w:rPr>
        <w:t xml:space="preserve">(a) </w:t>
      </w:r>
      <w:r>
        <w:rPr>
          <w:rFonts w:ascii="Times New Roman" w:hAnsi="Times New Roman" w:cs="Times New Roman"/>
          <w:b/>
          <w:i w:val="0"/>
          <w:sz w:val="18"/>
          <w:u w:val="none"/>
        </w:rPr>
        <w:t xml:space="preserve">Typosquatting and Dependency Confusion</w:t>
      </w:r>
      <w:r>
        <w:rPr>
          <w:rFonts w:ascii="Times New Roman" w:hAnsi="Times New Roman" w:cs="Times New Roman"/>
          <w:b w:val="0"/>
          <w:i w:val="0"/>
          <w:sz w:val="18"/>
          <w:u w:val="none"/>
        </w:rPr>
        <w:t xml:space="preserve">: </w:t>
      </w:r>
      <w:r>
        <w:rPr>
          <w:rFonts w:ascii="Times New Roman" w:hAnsi="Times New Roman" w:cs="Times New Roman"/>
          <w:b w:val="0"/>
          <w:i w:val="0"/>
          <w:sz w:val="18"/>
          <w:u w:val="none"/>
        </w:rPr>
        <w:t xml:space="preserve">Threat actors publish malicious packages bearing deceptive lexical proximity to popular libraries (e.g., 'reqeusts' mimicking 'requests', or 'lodsh' mimicking 'lodash') or exploit namespace punctuation differences (e.g., 'react_dom' mimicking 'react-dom').</w:t>
      </w:r>
      <w:r/>
    </w:p>
    <w:p>
      <w:pPr>
        <w:pBdr/>
        <w:spacing/>
        <w:ind/>
        <w:rPr/>
      </w:pPr>
      <w:r>
        <w:rPr>
          <w:rFonts w:ascii="Times New Roman" w:hAnsi="Times New Roman" w:cs="Times New Roman"/>
          <w:b w:val="0"/>
          <w:i w:val="0"/>
          <w:sz w:val="18"/>
          <w:u w:val="none"/>
        </w:rPr>
        <w:t xml:space="preserve">(b) </w:t>
      </w:r>
      <w:r>
        <w:rPr>
          <w:rFonts w:ascii="Times New Roman" w:hAnsi="Times New Roman" w:cs="Times New Roman"/>
          <w:b/>
          <w:i w:val="0"/>
          <w:sz w:val="18"/>
          <w:u w:val="none"/>
        </w:rPr>
        <w:t xml:space="preserve">Known CVE and GHSA Exploitation</w:t>
      </w:r>
      <w:r>
        <w:rPr>
          <w:rFonts w:ascii="Times New Roman" w:hAnsi="Times New Roman" w:cs="Times New Roman"/>
          <w:b w:val="0"/>
          <w:i w:val="0"/>
          <w:sz w:val="18"/>
          <w:u w:val="none"/>
        </w:rPr>
        <w:t xml:space="preserve">: Outdated dependencies containing unpatched remote code execution vulnerabilities (such as Log4Shell CVE-2021-44228) remain embedded within application manifests.</w:t>
      </w:r>
      <w:r/>
    </w:p>
    <w:p>
      <w:pPr>
        <w:pBdr/>
        <w:spacing/>
        <w:ind/>
        <w:rPr/>
      </w:pPr>
      <w:r>
        <w:rPr>
          <w:rFonts w:ascii="Times New Roman" w:hAnsi="Times New Roman" w:cs="Times New Roman"/>
          <w:b w:val="0"/>
          <w:i w:val="0"/>
          <w:sz w:val="18"/>
          <w:u w:val="none"/>
        </w:rPr>
        <w:t xml:space="preserve">(c) </w:t>
      </w:r>
      <w:r>
        <w:rPr>
          <w:rFonts w:ascii="Times New Roman" w:hAnsi="Times New Roman" w:cs="Times New Roman"/>
          <w:b/>
          <w:i w:val="0"/>
          <w:sz w:val="18"/>
          <w:u w:val="none"/>
        </w:rPr>
        <w:t xml:space="preserve">Maintainer Compromise and Hygiene Deterioration</w:t>
      </w:r>
      <w:r>
        <w:rPr>
          <w:rFonts w:ascii="Times New Roman" w:hAnsi="Times New Roman" w:cs="Times New Roman"/>
          <w:b w:val="0"/>
          <w:i w:val="0"/>
          <w:sz w:val="18"/>
          <w:u w:val="none"/>
        </w:rPr>
        <w:t xml:space="preserve">: Attackers exploit unpinned dependencies, deploy brand-new packages (&lt; 14 days old) to deliver fast-strike payloads, or take over dormant repositories abandoned by original maintainers.</w:t>
      </w:r>
      <w:r/>
    </w:p>
    <w:p>
      <w:pPr>
        <w:pBdr/>
        <w:spacing/>
        <w:ind/>
        <w:rPr/>
      </w:pPr>
      <w:r>
        <w:rPr>
          <w:rFonts w:ascii="Times New Roman" w:hAnsi="Times New Roman" w:cs="Times New Roman"/>
          <w:b/>
          <w:i w:val="0"/>
          <w:sz w:val="18"/>
          <w:u w:val="none"/>
        </w:rPr>
        <w:t xml:space="preserve">Critical Deficiencies in Existing Solutions (The Technical Gaps):</w:t>
      </w:r>
      <w:r/>
    </w:p>
    <w:p>
      <w:pPr>
        <w:pBdr/>
        <w:spacing/>
        <w:ind/>
        <w:rPr/>
      </w:pPr>
      <w:r>
        <w:rPr>
          <w:rFonts w:ascii="Times New Roman" w:hAnsi="Times New Roman" w:cs="Times New Roman"/>
          <w:b w:val="0"/>
          <w:i w:val="0"/>
          <w:sz w:val="18"/>
          <w:u w:val="none"/>
        </w:rPr>
        <w:t xml:space="preserve">1. </w:t>
      </w:r>
      <w:r>
        <w:rPr>
          <w:rFonts w:ascii="Times New Roman" w:hAnsi="Times New Roman" w:cs="Times New Roman"/>
          <w:b w:val="0"/>
          <w:i/>
          <w:sz w:val="18"/>
          <w:u w:val="none"/>
        </w:rPr>
        <w:t xml:space="preserve">The Latency Dilemma of Dynamic Sandboxes</w:t>
      </w:r>
      <w:r>
        <w:rPr>
          <w:rFonts w:ascii="Times New Roman" w:hAnsi="Times New Roman" w:cs="Times New Roman"/>
          <w:b w:val="0"/>
          <w:i w:val="0"/>
          <w:sz w:val="18"/>
          <w:u w:val="none"/>
        </w:rPr>
        <w:t xml:space="preserve">: Dynamic execution tools (DONAPI, OSCAR) execute</w:t>
      </w:r>
      <w:r>
        <w:rPr>
          <w:rFonts w:ascii="Times New Roman" w:hAnsi="Times New Roman" w:cs="Times New Roman"/>
          <w:b w:val="0"/>
          <w:i w:val="0"/>
          <w:sz w:val="18"/>
          <w:u w:val="none"/>
        </w:rPr>
        <w:t xml:space="preserve"> packages inside virtualized sandboxes to monitor API calls. While effective against code obfuscation, sandbox orchestration consumes minutes to hours per package, making it completely impractical for synchronous developer CLI workflows or CI/CD pipelines.</w:t>
      </w:r>
      <w:r/>
    </w:p>
    <w:p>
      <w:pPr>
        <w:pBdr/>
        <w:spacing/>
        <w:ind/>
        <w:rPr/>
      </w:pPr>
      <w:r>
        <w:rPr>
          <w:rFonts w:ascii="Times New Roman" w:hAnsi="Times New Roman" w:cs="Times New Roman"/>
          <w:b w:val="0"/>
          <w:i w:val="0"/>
          <w:sz w:val="18"/>
          <w:u w:val="none"/>
        </w:rPr>
        <w:t xml:space="preserve">2. </w:t>
      </w:r>
      <w:r>
        <w:rPr>
          <w:rFonts w:ascii="Times New Roman" w:hAnsi="Times New Roman" w:cs="Times New Roman"/>
          <w:b w:val="0"/>
          <w:i/>
          <w:sz w:val="18"/>
          <w:u w:val="none"/>
        </w:rPr>
        <w:t xml:space="preserve">The Opacity, Cost, and Privacy Hazards of Neural/LLM Reasoning</w:t>
      </w:r>
      <w:r>
        <w:rPr>
          <w:rFonts w:ascii="Times New Roman" w:hAnsi="Times New Roman" w:cs="Times New Roman"/>
          <w:b w:val="0"/>
          <w:i w:val="0"/>
          <w:sz w:val="18"/>
          <w:u w:val="none"/>
        </w:rPr>
        <w:t xml:space="preserve">: Recent frameworks (IntelGuard, Cerebro) employ transformer models and LLMs to reason o</w:t>
      </w:r>
      <w:r>
        <w:rPr>
          <w:rFonts w:ascii="Times New Roman" w:hAnsi="Times New Roman" w:cs="Times New Roman"/>
          <w:b w:val="0"/>
          <w:i w:val="0"/>
          <w:sz w:val="18"/>
          <w:u w:val="none"/>
        </w:rPr>
        <w:t xml:space="preserve">ver code intent. However, LLM inference introduces high monetary costs, token generation latency (10-30 seconds), non-deterministic outputs, and significant enterprise privacy risks from transmitting proprietary dependency manifests to external AI vendors.</w:t>
      </w:r>
      <w:r/>
    </w:p>
    <w:p>
      <w:pPr>
        <w:pBdr/>
        <w:spacing/>
        <w:ind/>
        <w:rPr/>
      </w:pPr>
      <w:r>
        <w:rPr>
          <w:rFonts w:ascii="Times New Roman" w:hAnsi="Times New Roman" w:cs="Times New Roman"/>
          <w:b w:val="0"/>
          <w:i w:val="0"/>
          <w:sz w:val="18"/>
          <w:u w:val="none"/>
        </w:rPr>
        <w:t xml:space="preserve">3. </w:t>
      </w:r>
      <w:r>
        <w:rPr>
          <w:rFonts w:ascii="Times New Roman" w:hAnsi="Times New Roman" w:cs="Times New Roman"/>
          <w:b w:val="0"/>
          <w:i/>
          <w:sz w:val="18"/>
          <w:u w:val="none"/>
        </w:rPr>
        <w:t xml:space="preserve">Upstream API Rate-Limiting Fragility</w:t>
      </w:r>
      <w:r>
        <w:rPr>
          <w:rFonts w:ascii="Times New Roman" w:hAnsi="Times New Roman" w:cs="Times New Roman"/>
          <w:b w:val="0"/>
          <w:i w:val="0"/>
          <w:sz w:val="18"/>
          <w:u w:val="none"/>
        </w:rPr>
        <w:t xml:space="preserve">: Automated scanners querying public advisory feeds (e.g., OSV.dev or GitHub APIs) regularly trigger HTTP 429 ('Too Many Requests') errors during high-frequency parallel enterprise builds, causing unpredictable pipeline failures.</w:t>
      </w:r>
      <w:r/>
    </w:p>
    <w:p>
      <w:pPr>
        <w:pBdr/>
        <w:spacing/>
        <w:ind/>
        <w:rPr/>
      </w:pPr>
      <w:r>
        <w:rPr>
          <w:rFonts w:ascii="Times New Roman" w:hAnsi="Times New Roman" w:cs="Times New Roman"/>
          <w:b w:val="0"/>
          <w:i w:val="0"/>
          <w:sz w:val="18"/>
          <w:u w:val="none"/>
        </w:rPr>
        <w:t xml:space="preserve">4. </w:t>
      </w:r>
      <w:r>
        <w:rPr>
          <w:rFonts w:ascii="Times New Roman" w:hAnsi="Times New Roman" w:cs="Times New Roman"/>
          <w:b w:val="0"/>
          <w:i/>
          <w:sz w:val="18"/>
          <w:u w:val="none"/>
        </w:rPr>
        <w:t xml:space="preserve">The 'Benign Dilution' Failure Mode in Linear Scoring</w:t>
      </w:r>
      <w:r>
        <w:rPr>
          <w:rFonts w:ascii="Times New Roman" w:hAnsi="Times New Roman" w:cs="Times New Roman"/>
          <w:b w:val="0"/>
          <w:i w:val="0"/>
          <w:sz w:val="18"/>
          <w:u w:val="none"/>
        </w:rPr>
        <w:t xml:space="preserve">: Conventional multi-criteria utility models compute risk through linear weighted summation. In such models, an acute, high-severity threat (such as an unpatched CVSS 9.8 Remote Code Execution vulnerability) is mathematical</w:t>
      </w:r>
      <w:r>
        <w:rPr>
          <w:rFonts w:ascii="Times New Roman" w:hAnsi="Times New Roman" w:cs="Times New Roman"/>
          <w:b w:val="0"/>
          <w:i w:val="0"/>
          <w:sz w:val="18"/>
          <w:u w:val="none"/>
        </w:rPr>
        <w:t xml:space="preserve">ly diluted by benign secondary metadata (such as an established maintainer age or absence of typosquatting), artificially pulling the overall score down into an acceptable 'Medium' or 'Low' tier and allowing catastrophic exploits to bypass automated gates.</w:t>
      </w:r>
      <w:r/>
    </w:p>
    <w:p>
      <w:pPr>
        <w:pBdr/>
        <w:spacing/>
        <w:ind/>
        <w:rPr/>
      </w:pPr>
      <w:r>
        <w:rPr>
          <w:rFonts w:ascii="Times New Roman" w:hAnsi="Times New Roman" w:cs="Times New Roman"/>
          <w:b/>
          <w:i w:val="0"/>
          <w:sz w:val="18"/>
          <w:u w:val="none"/>
        </w:rPr>
        <w:t xml:space="preserve">The Disclosed Solution and Technical Distinctions:</w:t>
      </w:r>
      <w:r/>
    </w:p>
    <w:p>
      <w:pPr>
        <w:pBdr/>
        <w:spacing/>
        <w:ind/>
        <w:rPr/>
      </w:pPr>
      <w:r>
        <w:rPr>
          <w:rFonts w:ascii="Times New Roman" w:hAnsi="Times New Roman" w:cs="Times New Roman"/>
          <w:b w:val="0"/>
          <w:i w:val="0"/>
          <w:sz w:val="18"/>
          <w:u w:val="none"/>
        </w:rPr>
        <w:t xml:space="preserve">The present invention solves these technical gaps through a deterministic, low-latency, and explainable multi-vector architecture:</w:t>
      </w:r>
      <w:r/>
    </w:p>
    <w:p>
      <w:pPr>
        <w:pBdr/>
        <w:spacing/>
        <w:ind/>
        <w:rPr/>
      </w:pPr>
      <w:r>
        <w:rPr>
          <w:rFonts w:ascii="Times New Roman" w:hAnsi="Times New Roman" w:cs="Times New Roman"/>
          <w:b w:val="0"/>
          <w:i w:val="0"/>
          <w:sz w:val="18"/>
          <w:u w:val="none"/>
        </w:rPr>
        <w:t xml:space="preserve">- </w:t>
      </w:r>
      <w:r>
        <w:rPr>
          <w:rFonts w:ascii="Times New Roman" w:hAnsi="Times New Roman" w:cs="Times New Roman"/>
          <w:b/>
          <w:i w:val="0"/>
          <w:sz w:val="18"/>
          <w:u w:val="none"/>
        </w:rPr>
        <w:t xml:space="preserve">Deterministic Multi-Vector Integration</w:t>
      </w:r>
      <w:r>
        <w:rPr>
          <w:rFonts w:ascii="Times New Roman" w:hAnsi="Times New Roman" w:cs="Times New Roman"/>
          <w:b w:val="0"/>
          <w:i w:val="0"/>
          <w:sz w:val="18"/>
          <w:u w:val="none"/>
        </w:rPr>
        <w:t xml:space="preserve">: Combines three orthogonal threat vectors: (i) native, zero</w:t>
      </w:r>
      <w:r>
        <w:rPr>
          <w:rFonts w:ascii="Times New Roman" w:hAnsi="Times New Roman" w:cs="Times New Roman"/>
          <w:b w:val="0"/>
          <w:i w:val="0"/>
          <w:sz w:val="18"/>
          <w:u w:val="none"/>
        </w:rPr>
        <w:t xml:space="preserve">-dependency Levenshtein edit distance and Jaro-Winkler similarity for brand-jacking detection, (ii) Google OSV.dev REST aggregation with non-linear compound CVSS scoring, and (iii) registry metadata hygiene heuristics across npm, PyPI, and Maven manifests.</w:t>
      </w:r>
      <w:r/>
    </w:p>
    <w:p>
      <w:pPr>
        <w:pBdr/>
        <w:spacing/>
        <w:ind/>
        <w:rPr/>
      </w:pPr>
      <w:r>
        <w:rPr>
          <w:rFonts w:ascii="Times New Roman" w:hAnsi="Times New Roman" w:cs="Times New Roman"/>
          <w:b w:val="0"/>
          <w:i w:val="0"/>
          <w:sz w:val="18"/>
          <w:u w:val="none"/>
        </w:rPr>
        <w:t xml:space="preserve">- </w:t>
      </w:r>
      <w:r>
        <w:rPr>
          <w:rFonts w:ascii="Times New Roman" w:hAnsi="Times New Roman" w:cs="Times New Roman"/>
          <w:b/>
          <w:i w:val="0"/>
          <w:sz w:val="18"/>
          <w:u w:val="none"/>
        </w:rPr>
        <w:t xml:space="preserve">Critical Threat Override Shield</w:t>
      </w:r>
      <w:r>
        <w:rPr>
          <w:rFonts w:ascii="Times New Roman" w:hAnsi="Times New Roman" w:cs="Times New Roman"/>
          <w:b w:val="0"/>
          <w:i w:val="0"/>
          <w:sz w:val="18"/>
          <w:u w:val="none"/>
        </w:rPr>
        <w:t xml:space="preserve">: Introduces a non-linear threshold override rule that guarantees high-severity threat vectors (e.g., CVSS &gt;= 7.5 or typosquatting &gt;= 7.5) cannot be diluted by benign maintainer metadata, mathematically preserving appropriate risk tiers (HIGH or CRITICAL).</w:t>
      </w:r>
      <w:r/>
    </w:p>
    <w:p>
      <w:pPr>
        <w:pBdr/>
        <w:spacing/>
        <w:ind/>
        <w:rPr/>
      </w:pPr>
      <w:r>
        <w:rPr>
          <w:rFonts w:ascii="Times New Roman" w:hAnsi="Times New Roman" w:cs="Times New Roman"/>
          <w:b w:val="0"/>
          <w:i w:val="0"/>
          <w:sz w:val="18"/>
          <w:u w:val="none"/>
        </w:rPr>
        <w:t xml:space="preserve">- </w:t>
      </w:r>
      <w:r>
        <w:rPr>
          <w:rFonts w:ascii="Times New Roman" w:hAnsi="Times New Roman" w:cs="Times New Roman"/>
          <w:b/>
          <w:i w:val="0"/>
          <w:sz w:val="18"/>
          <w:u w:val="none"/>
        </w:rPr>
        <w:t xml:space="preserve">Resilient Embedded Caching</w:t>
      </w:r>
      <w:r>
        <w:rPr>
          <w:rFonts w:ascii="Times New Roman" w:hAnsi="Times New Roman" w:cs="Times New Roman"/>
          <w:b w:val="0"/>
          <w:i w:val="0"/>
          <w:sz w:val="18"/>
          <w:u w:val="none"/>
        </w:rPr>
        <w:t xml:space="preserve">: Employs an embedded SQLite key-value store operating in Write-Ahead Logging (WAL)</w:t>
      </w:r>
      <w:r>
        <w:rPr>
          <w:rFonts w:ascii="Times New Roman" w:hAnsi="Times New Roman" w:cs="Times New Roman"/>
          <w:b w:val="0"/>
          <w:i w:val="0"/>
          <w:sz w:val="18"/>
          <w:u w:val="none"/>
        </w:rPr>
        <w:t xml:space="preserve"> journal mode with namespace isolation and lazy 24-hour TTL expiration. This ensures non-blocking concurrent reads during parallel builds, guarantees complete immunity from upstream HTTP 429 rate limits, and achieves warm-cache scan latencies under 105 ms.</w:t>
      </w:r>
      <w:r/>
    </w:p>
    <w:p>
      <w:pPr>
        <w:pBdr/>
        <w:spacing/>
        <w:ind/>
        <w:rPr/>
      </w:pPr>
      <w:r>
        <w:rPr>
          <w:rFonts w:ascii="Times New Roman" w:hAnsi="Times New Roman" w:cs="Times New Roman"/>
          <w:b w:val="0"/>
          <w:i w:val="0"/>
          <w:sz w:val="18"/>
          <w:u w:val="none"/>
        </w:rPr>
        <w:t xml:space="preserve">- </w:t>
      </w:r>
      <w:r>
        <w:rPr>
          <w:rFonts w:ascii="Times New Roman" w:hAnsi="Times New Roman" w:cs="Times New Roman"/>
          <w:b/>
          <w:i w:val="0"/>
          <w:sz w:val="18"/>
          <w:u w:val="none"/>
        </w:rPr>
        <w:t xml:space="preserve">Deterministic Pipeline Gating</w:t>
      </w:r>
      <w:r>
        <w:rPr>
          <w:rFonts w:ascii="Times New Roman" w:hAnsi="Times New Roman" w:cs="Times New Roman"/>
          <w:b w:val="0"/>
          <w:i w:val="0"/>
          <w:sz w:val="18"/>
          <w:u w:val="none"/>
        </w:rPr>
        <w:t xml:space="preserve">: Translates multi-vector findings into actionable explainable text and standard UNIX process exit codes (0 for pass, 1 for policy failure, 2 for syntax/parsing error), enabling seamless integration into automated DevSecOps build runners.</w:t>
      </w:r>
      <w:r/>
    </w:p>
    <w:p>
      <w:pPr>
        <w:keepNext w:val="true"/>
        <w:pBdr/>
        <w:spacing w:after="60" w:before="160" w:line="276" w:lineRule="auto"/>
        <w:ind/>
        <w:rPr/>
      </w:pPr>
      <w:r>
        <w:rPr>
          <w:rFonts w:ascii="Times New Roman" w:hAnsi="Times New Roman" w:cs="Times New Roman"/>
          <w:b/>
          <w:i w:val="0"/>
          <w:sz w:val="18"/>
          <w:u w:val="single"/>
        </w:rPr>
        <w:t xml:space="preserve">5. Objective(s) of Invention</w:t>
      </w:r>
      <w:r/>
    </w:p>
    <w:p>
      <w:pPr>
        <w:pBdr/>
        <w:spacing/>
        <w:ind/>
        <w:rPr/>
      </w:pPr>
      <w:r>
        <w:rPr>
          <w:rFonts w:ascii="Times New Roman" w:hAnsi="Times New Roman" w:cs="Times New Roman"/>
          <w:b w:val="0"/>
          <w:i w:val="0"/>
          <w:sz w:val="18"/>
          <w:u w:val="none"/>
        </w:rPr>
        <w:t xml:space="preserve">The primary technical objectives of the present invention include:</w:t>
      </w:r>
      <w:r/>
    </w:p>
    <w:p>
      <w:pPr>
        <w:pBdr/>
        <w:spacing/>
        <w:ind/>
        <w:rPr/>
      </w:pPr>
      <w:r>
        <w:rPr>
          <w:rFonts w:ascii="Times New Roman" w:hAnsi="Times New Roman" w:cs="Times New Roman"/>
          <w:b w:val="0"/>
          <w:i w:val="0"/>
          <w:sz w:val="18"/>
          <w:u w:val="none"/>
        </w:rPr>
        <w:t xml:space="preserve">1. To provide an automated, multi-ecosystem software dependency risk assessment system capable of deterministically parsing and evaluating npm, PyPI, and Maven manifest files without manual intervention.</w:t>
      </w:r>
      <w:r/>
    </w:p>
    <w:p>
      <w:pPr>
        <w:pBdr/>
        <w:spacing/>
        <w:ind/>
        <w:rPr/>
      </w:pPr>
      <w:r>
        <w:rPr>
          <w:rFonts w:ascii="Times New Roman" w:hAnsi="Times New Roman" w:cs="Times New Roman"/>
          <w:b w:val="0"/>
          <w:i w:val="0"/>
          <w:sz w:val="18"/>
          <w:u w:val="none"/>
        </w:rPr>
        <w:t xml:space="preserve">2. T</w:t>
      </w:r>
      <w:r>
        <w:rPr>
          <w:rFonts w:ascii="Times New Roman" w:hAnsi="Times New Roman" w:cs="Times New Roman"/>
          <w:b w:val="0"/>
          <w:i w:val="0"/>
          <w:sz w:val="18"/>
          <w:u w:val="none"/>
        </w:rPr>
        <w:t xml:space="preserve">o provide a zero-dependency, space-optimized string distance analysis engine that computes Levenshtein edit distance and Jaro-Winkler similarity to detect single-character edits, transpositions, and separator normalization confusion in package identifiers.</w:t>
      </w:r>
      <w:r/>
    </w:p>
    <w:p>
      <w:pPr>
        <w:pBdr/>
        <w:spacing/>
        <w:ind/>
        <w:rPr/>
      </w:pPr>
      <w:r>
        <w:rPr>
          <w:rFonts w:ascii="Times New Roman" w:hAnsi="Times New Roman" w:cs="Times New Roman"/>
          <w:b w:val="0"/>
          <w:i w:val="0"/>
          <w:sz w:val="18"/>
          <w:u w:val="none"/>
        </w:rPr>
        <w:t xml:space="preserve">3. To eli</w:t>
      </w:r>
      <w:r>
        <w:rPr>
          <w:rFonts w:ascii="Times New Roman" w:hAnsi="Times New Roman" w:cs="Times New Roman"/>
          <w:b w:val="0"/>
          <w:i w:val="0"/>
          <w:sz w:val="18"/>
          <w:u w:val="none"/>
        </w:rPr>
        <w:t xml:space="preserve">minate the security dilution vulnerability inherent in linear multi-attribute scoring by implementing a non-linear Critical Threat Override Shield that prevents benign maintainer metadata from suppressing high-severity vulnerabilities or active typosquats.</w:t>
      </w:r>
      <w:r/>
    </w:p>
    <w:p>
      <w:pPr>
        <w:pBdr/>
        <w:spacing/>
        <w:ind/>
        <w:rPr/>
      </w:pPr>
      <w:r>
        <w:rPr>
          <w:rFonts w:ascii="Times New Roman" w:hAnsi="Times New Roman" w:cs="Times New Roman"/>
          <w:b w:val="0"/>
          <w:i w:val="0"/>
          <w:sz w:val="18"/>
          <w:u w:val="none"/>
        </w:rPr>
        <w:t xml:space="preserve">4. To eliminate upstream API rate-limiting bottlenecks (HTTP 429) and provide sub-second manifest scan latency within automated CI/CD pipelines via an embedded, WAL-mode local SQLite key-value cache.</w:t>
      </w:r>
      <w:r/>
    </w:p>
    <w:p>
      <w:pPr>
        <w:pBdr/>
        <w:spacing/>
        <w:ind/>
        <w:rPr/>
      </w:pPr>
      <w:r>
        <w:rPr>
          <w:rFonts w:ascii="Times New Roman" w:hAnsi="Times New Roman" w:cs="Times New Roman"/>
          <w:b w:val="0"/>
          <w:i w:val="0"/>
          <w:sz w:val="18"/>
          <w:u w:val="none"/>
        </w:rPr>
        <w:t xml:space="preserve">5. To provide complete mathematical explainability for all risk evaluations, emitting human-readable findings, exact string distance metrics, CVE advisories, and concrete remediation steps to eliminate developer alert fatigue.</w:t>
      </w:r>
      <w:r/>
    </w:p>
    <w:p>
      <w:pPr>
        <w:pBdr/>
        <w:spacing/>
        <w:ind/>
        <w:rPr/>
      </w:pPr>
      <w:r>
        <w:rPr>
          <w:rFonts w:ascii="Times New Roman" w:hAnsi="Times New Roman" w:cs="Times New Roman"/>
          <w:b w:val="0"/>
          <w:i w:val="0"/>
          <w:sz w:val="18"/>
          <w:u w:val="none"/>
        </w:rPr>
        <w:t xml:space="preserve">6. To enforce automated continuous integration policy gates through deterministic UNIX exit codes, stopping the deployment of compromised or vulnerable dependencies before execution.</w:t>
      </w:r>
      <w:r/>
    </w:p>
    <w:p>
      <w:pPr>
        <w:keepNext w:val="true"/>
        <w:pBdr/>
        <w:spacing w:after="60" w:before="160" w:line="276" w:lineRule="auto"/>
        <w:ind/>
        <w:rPr/>
      </w:pPr>
      <w:r>
        <w:rPr>
          <w:rFonts w:ascii="Times New Roman" w:hAnsi="Times New Roman" w:cs="Times New Roman"/>
          <w:b/>
          <w:i w:val="0"/>
          <w:sz w:val="18"/>
          <w:u w:val="single"/>
        </w:rPr>
        <w:t xml:space="preserve">6. Working principle of the invent (in brief)</w:t>
      </w:r>
      <w:r/>
    </w:p>
    <w:p>
      <w:pPr>
        <w:pBdr/>
        <w:spacing/>
        <w:ind/>
        <w:rPr/>
      </w:pPr>
      <w:r>
        <w:rPr>
          <w:rFonts w:ascii="Times New Roman" w:hAnsi="Times New Roman" w:cs="Times New Roman"/>
          <w:b w:val="0"/>
          <w:i w:val="0"/>
          <w:sz w:val="18"/>
          <w:u w:val="none"/>
        </w:rPr>
        <w:t xml:space="preserve">The working principle of the invention is summarized in the following ordered operational sequence:</w:t>
      </w:r>
      <w:r/>
    </w:p>
    <w:p>
      <w:pPr>
        <w:pBdr/>
        <w:spacing/>
        <w:ind/>
        <w:rPr/>
      </w:pPr>
      <w:r>
        <w:rPr>
          <w:rFonts w:ascii="Times New Roman" w:hAnsi="Times New Roman" w:cs="Times New Roman"/>
          <w:b w:val="0"/>
          <w:i w:val="0"/>
          <w:sz w:val="18"/>
          <w:u w:val="none"/>
        </w:rPr>
        <w:t xml:space="preserve">First, a dependency manifest file (e.g., 'package.json', 'requirements.txt', or 'pom.xml') is ingested by a multi-ecosystem parsing engine. The</w:t>
      </w:r>
      <w:r>
        <w:rPr>
          <w:rFonts w:ascii="Times New Roman" w:hAnsi="Times New Roman" w:cs="Times New Roman"/>
          <w:b w:val="0"/>
          <w:i w:val="0"/>
          <w:sz w:val="18"/>
          <w:u w:val="none"/>
        </w:rPr>
        <w:t xml:space="preserve"> engine infers the target ecosystem, strips syntax-specific modifiers (e.g., semver range prefixes, comments, and pip flags), and outputs a collection of normalized dependency coordinates, each defined by package name, declared version, and ecosystem type.</w:t>
      </w:r>
      <w:r/>
    </w:p>
    <w:p>
      <w:pPr>
        <w:pBdr/>
        <w:spacing/>
        <w:ind/>
        <w:rPr/>
      </w:pPr>
      <w:r>
        <w:rPr>
          <w:rFonts w:ascii="Times New Roman" w:hAnsi="Times New Roman" w:cs="Times New Roman"/>
          <w:b w:val="0"/>
          <w:i w:val="0"/>
          <w:sz w:val="18"/>
          <w:u w:val="none"/>
        </w:rPr>
        <w:t xml:space="preserve">Second, for each normalized dependency coordinate, the system dispatches parallel evaluation requests across three orthogonal feature analyzers:</w:t>
      </w:r>
      <w:r/>
    </w:p>
    <w:p>
      <w:pPr>
        <w:pBdr/>
        <w:spacing/>
        <w:ind/>
        <w:rPr/>
      </w:pPr>
      <w:r>
        <w:rPr>
          <w:rFonts w:ascii="Times New Roman" w:hAnsi="Times New Roman" w:cs="Times New Roman"/>
          <w:b w:val="0"/>
          <w:i w:val="0"/>
          <w:sz w:val="18"/>
          <w:u w:val="none"/>
        </w:rPr>
        <w:t xml:space="preserve">(a) A typosquatting analyzer checks package name membership against a curated catal</w:t>
      </w:r>
      <w:r>
        <w:rPr>
          <w:rFonts w:ascii="Times New Roman" w:hAnsi="Times New Roman" w:cs="Times New Roman"/>
          <w:b w:val="0"/>
          <w:i w:val="0"/>
          <w:sz w:val="18"/>
          <w:u w:val="none"/>
        </w:rPr>
        <w:t xml:space="preserve">og of high-reputation packages. If an exact match is absent, the analyzer evaluates hyphen-to-underscore normalization confusion and calculates native Levenshtein distance and Jaro-Winkler similarity against catalog entries to assign a typosquatting score.</w:t>
      </w:r>
      <w:r/>
    </w:p>
    <w:p>
      <w:pPr>
        <w:pBdr/>
        <w:spacing/>
        <w:ind/>
        <w:rPr/>
      </w:pPr>
      <w:r>
        <w:rPr>
          <w:rFonts w:ascii="Times New Roman" w:hAnsi="Times New Roman" w:cs="Times New Roman"/>
          <w:b w:val="0"/>
          <w:i w:val="0"/>
          <w:sz w:val="18"/>
          <w:u w:val="none"/>
        </w:rPr>
        <w:t xml:space="preserve">(b) A vulnerability analyzer constructs </w:t>
      </w:r>
      <w:r>
        <w:rPr>
          <w:rFonts w:ascii="Times New Roman" w:hAnsi="Times New Roman" w:cs="Times New Roman"/>
          <w:b w:val="0"/>
          <w:i w:val="0"/>
          <w:sz w:val="18"/>
          <w:u w:val="none"/>
        </w:rPr>
        <w:t xml:space="preserve">a namespace-scoped cache key and inspects an embedded SQLite cache. On a cache miss, it queries the Google OSV.dev REST API, stores the response in the cache, extracts CVSS numeric scores or categorical vectors, and computes a compound vulnerability score.</w:t>
      </w:r>
      <w:r/>
    </w:p>
    <w:p>
      <w:pPr>
        <w:pBdr/>
        <w:spacing/>
        <w:ind/>
        <w:rPr/>
      </w:pPr>
      <w:r>
        <w:rPr>
          <w:rFonts w:ascii="Times New Roman" w:hAnsi="Times New Roman" w:cs="Times New Roman"/>
          <w:b w:val="0"/>
          <w:i w:val="0"/>
          <w:sz w:val="18"/>
          <w:u w:val="none"/>
        </w:rPr>
        <w:t xml:space="preserve">(c) A maintainer trust analyzer checks version pinning status and queries package registry metadata to extract publication age, release dormancy, and source repository presence, computing an additive maintainer penalty score.</w:t>
      </w:r>
      <w:r/>
    </w:p>
    <w:p>
      <w:pPr>
        <w:pBdr/>
        <w:spacing/>
        <w:ind/>
        <w:rPr/>
      </w:pPr>
      <w:r>
        <w:rPr>
          <w:rFonts w:ascii="Times New Roman" w:hAnsi="Times New Roman" w:cs="Times New Roman"/>
          <w:b w:val="0"/>
          <w:i w:val="0"/>
          <w:sz w:val="18"/>
          <w:u w:val="none"/>
        </w:rPr>
        <w:t xml:space="preserve">Third, a deterministic risk engine computes a raw baseline weighted score by combining the vulnerability vector (45%), typosquatting vector (35%), and maintainer hygiene vector (20%).</w:t>
      </w:r>
      <w:r/>
    </w:p>
    <w:p>
      <w:pPr>
        <w:pBdr/>
        <w:spacing/>
        <w:ind/>
        <w:rPr/>
      </w:pPr>
      <w:r>
        <w:rPr>
          <w:rFonts w:ascii="Times New Roman" w:hAnsi="Times New Roman" w:cs="Times New Roman"/>
          <w:b w:val="0"/>
          <w:i w:val="0"/>
          <w:sz w:val="18"/>
          <w:u w:val="none"/>
        </w:rPr>
        <w:t xml:space="preserve">Fourth, the risk engine evaluates the maximum acute threat vector. If the peak vulnerability or typosquatting score meets or exce</w:t>
      </w:r>
      <w:r>
        <w:rPr>
          <w:rFonts w:ascii="Times New Roman" w:hAnsi="Times New Roman" w:cs="Times New Roman"/>
          <w:b w:val="0"/>
          <w:i w:val="0"/>
          <w:sz w:val="18"/>
          <w:u w:val="none"/>
        </w:rPr>
        <w:t xml:space="preserve">eds a critical threshold (9.0), the final score is non-linearly escalated to at least 95% of the peak vector. If it meets or exceeds a high threshold (7.5), it is escalated to at least 90% of the peak vector. Otherwise, the raw weighted score is preserved.</w:t>
      </w:r>
      <w:r/>
    </w:p>
    <w:p>
      <w:pPr>
        <w:pBdr/>
        <w:spacing/>
        <w:ind/>
        <w:rPr/>
      </w:pPr>
      <w:r>
        <w:rPr>
          <w:rFonts w:ascii="Times New Roman" w:hAnsi="Times New Roman" w:cs="Times New Roman"/>
          <w:b w:val="0"/>
          <w:i w:val="0"/>
          <w:sz w:val="18"/>
          <w:u w:val="none"/>
        </w:rPr>
        <w:t xml:space="preserve">Fifth, the final score is binned into a categorical risk tier (SAFE, LOW, MEDIUM, HIGH, CRITICAL). The risk tier is compared against a user-configured policy gate threshold. If any dependenc</w:t>
      </w:r>
      <w:r>
        <w:rPr>
          <w:rFonts w:ascii="Times New Roman" w:hAnsi="Times New Roman" w:cs="Times New Roman"/>
          <w:b w:val="0"/>
          <w:i w:val="0"/>
          <w:sz w:val="18"/>
          <w:u w:val="none"/>
        </w:rPr>
        <w:t xml:space="preserve">y breaches the threshold, the system halts execution, outputs color-coded terminal tables with explainable remediation recommendations, and terminates with UNIX exit code 1 to break the CI/CD build. If all dependencies pass, it terminates with exit code 0.</w:t>
      </w:r>
      <w:r/>
    </w:p>
    <w:p>
      <w:pPr>
        <w:keepNext w:val="true"/>
        <w:pBdr/>
        <w:spacing w:after="60" w:before="160" w:line="276" w:lineRule="auto"/>
        <w:ind/>
        <w:rPr/>
      </w:pPr>
      <w:r>
        <w:rPr>
          <w:rFonts w:ascii="Times New Roman" w:hAnsi="Times New Roman" w:cs="Times New Roman"/>
          <w:b/>
          <w:i w:val="0"/>
          <w:sz w:val="18"/>
          <w:u w:val="single"/>
        </w:rPr>
        <w:t xml:space="preserve">7. Description of the invention in detail (Include drawing and or photograph as needed)</w:t>
      </w:r>
      <w:r/>
    </w:p>
    <w:p>
      <w:pPr>
        <w:pBdr/>
        <w:spacing/>
        <w:ind/>
        <w:rPr/>
      </w:pPr>
      <w:r>
        <w:rPr>
          <w:rFonts w:ascii="Times New Roman" w:hAnsi="Times New Roman" w:cs="Times New Roman"/>
          <w:b w:val="0"/>
          <w:i w:val="0"/>
          <w:sz w:val="18"/>
          <w:u w:val="none"/>
        </w:rPr>
        <w:t xml:space="preserve">The system and method of the present invention are described in detail below with reference to the accompanying technical drawings.</w:t>
      </w:r>
      <w:r/>
    </w:p>
    <w:p>
      <w:pPr>
        <w:pBdr/>
        <w:spacing/>
        <w:ind/>
        <w:rPr/>
      </w:pPr>
      <w:r>
        <w:rPr>
          <w:rFonts w:ascii="Times New Roman" w:hAnsi="Times New Roman" w:cs="Times New Roman"/>
          <w:b/>
          <w:i w:val="0"/>
          <w:sz w:val="18"/>
          <w:u w:val="none"/>
        </w:rPr>
        <w:t xml:space="preserve">FIG. 1</w:t>
      </w:r>
      <w:r>
        <w:rPr>
          <w:rFonts w:ascii="Times New Roman" w:hAnsi="Times New Roman" w:cs="Times New Roman"/>
          <w:b w:val="0"/>
          <w:i w:val="0"/>
          <w:sz w:val="18"/>
          <w:u w:val="none"/>
        </w:rPr>
        <w:t xml:space="preserve"> is a block diagram illustrating the overall architecture of the software dependency risk assessment system (100) and its operational environment.</w:t>
      </w:r>
      <w:r/>
    </w:p>
    <w:p>
      <w:pPr>
        <w:pBdr/>
        <w:spacing/>
        <w:ind/>
        <w:rPr/>
      </w:pPr>
      <w:r>
        <w:rPr>
          <w:rFonts w:ascii="Times New Roman" w:hAnsi="Times New Roman" w:cs="Times New Roman"/>
          <w:b/>
          <w:i w:val="0"/>
          <w:sz w:val="18"/>
          <w:u w:val="none"/>
        </w:rPr>
        <w:t xml:space="preserve">FIG. 2</w:t>
      </w:r>
      <w:r>
        <w:rPr>
          <w:rFonts w:ascii="Times New Roman" w:hAnsi="Times New Roman" w:cs="Times New Roman"/>
          <w:b w:val="0"/>
          <w:i w:val="0"/>
          <w:sz w:val="18"/>
          <w:u w:val="none"/>
        </w:rPr>
        <w:t xml:space="preserve"> is a flowchart illustrating the multi-vector risk calculation process and the non-linear Critical Threat Override workflow.</w:t>
      </w:r>
      <w:r/>
    </w:p>
    <w:p>
      <w:pPr>
        <w:pBdr/>
        <w:spacing/>
        <w:ind/>
        <w:rPr/>
      </w:pPr>
      <w:r>
        <w:rPr>
          <w:rFonts w:ascii="Times New Roman" w:hAnsi="Times New Roman" w:cs="Times New Roman"/>
          <w:b/>
          <w:i w:val="0"/>
          <w:sz w:val="18"/>
          <w:u w:val="none"/>
        </w:rPr>
        <w:t xml:space="preserve">FIG. 3</w:t>
      </w:r>
      <w:r>
        <w:rPr>
          <w:rFonts w:ascii="Times New Roman" w:hAnsi="Times New Roman" w:cs="Times New Roman"/>
          <w:b w:val="0"/>
          <w:i w:val="0"/>
          <w:sz w:val="18"/>
          <w:u w:val="none"/>
        </w:rPr>
        <w:t xml:space="preserve"> is a schematic diagram illustrating the embedded caching subsystem architecture and Write-Ahead Logging (WAL) concurrency mechanism.</w:t>
      </w:r>
      <w:r/>
    </w:p>
    <w:p>
      <w:pPr>
        <w:pBdr/>
        <w:spacing w:after="40" w:before="80"/>
        <w:ind/>
        <w:jc w:val="center"/>
        <w:rPr/>
      </w:pPr>
      <w:r>
        <w:rPr>
          <w:rFonts w:ascii="Times New Roman" w:hAnsi="Times New Roman" w:cs="Times New Roman"/>
          <w:b w:val="0"/>
          <w:i w:val="0"/>
          <w:sz w:val="18"/>
          <w:u w:val="none"/>
        </w:rPr>
        <mc:AlternateContent>
          <mc:Choice Requires="wpg">
            <w:drawing>
              <wp:inline xmlns:wp="http://schemas.openxmlformats.org/drawingml/2006/wordprocessingDrawing" distT="0" distB="0" distL="0" distR="0">
                <wp:extent cx="5120640" cy="3043601"/>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a:picLocks noChangeAspect="1"/>
                        </pic:cNvPicPr>
                        <pic:nvPr/>
                      </pic:nvPicPr>
                      <pic:blipFill rotWithShape="1">
                        <a:blip r:embed="rId11"/>
                        <a:stretch/>
                      </pic:blipFill>
                      <pic:spPr bwMode="auto">
                        <a:xfrm>
                          <a:off x="0" y="0"/>
                          <a:ext cx="5120640" cy="30436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03.20pt;height:239.65pt;mso-wrap-distance-left:0.00pt;mso-wrap-distance-top:0.00pt;mso-wrap-distance-right:0.00pt;mso-wrap-distance-bottom:0.00pt;z-index:1;" stroked="false">
                <v:imagedata r:id="rId11" o:title=""/>
                <o:lock v:ext="edit" rotation="t"/>
              </v:shape>
            </w:pict>
          </mc:Fallback>
        </mc:AlternateContent>
      </w:r>
      <w:r/>
    </w:p>
    <w:p>
      <w:pPr>
        <w:pBdr/>
        <w:spacing w:after="120" w:before="0"/>
        <w:ind/>
        <w:jc w:val="center"/>
        <w:rPr/>
      </w:pPr>
      <w:r>
        <w:rPr>
          <w:rFonts w:ascii="Times New Roman" w:hAnsi="Times New Roman" w:cs="Times New Roman"/>
          <w:b w:val="0"/>
          <w:i/>
          <w:sz w:val="18"/>
          <w:u w:val="none"/>
        </w:rPr>
        <w:t xml:space="preserve">FIG. 1: Architecture of the software dependency risk assessment system (100) and operational environment.</w:t>
      </w:r>
      <w:r/>
    </w:p>
    <w:p>
      <w:pPr>
        <w:pBdr/>
        <w:spacing/>
        <w:ind/>
        <w:rPr/>
      </w:pPr>
      <w:r>
        <w:rPr>
          <w:rFonts w:ascii="Times New Roman" w:hAnsi="Times New Roman" w:cs="Times New Roman"/>
          <w:b w:val="0"/>
          <w:i w:val="0"/>
          <w:sz w:val="18"/>
          <w:u w:val="none"/>
        </w:rPr>
        <w:t xml:space="preserve">Referring to FIG. 1, the software dependency risk assessment system (100) operates within a computing environment comprising proc</w:t>
      </w:r>
      <w:r>
        <w:rPr>
          <w:rFonts w:ascii="Times New Roman" w:hAnsi="Times New Roman" w:cs="Times New Roman"/>
          <w:b w:val="0"/>
          <w:i w:val="0"/>
          <w:sz w:val="18"/>
          <w:u w:val="none"/>
        </w:rPr>
        <w:t xml:space="preserve">essors and memory. The system ingests one or more dependency manifest files (102) from an application source code repository. Manifest files (102) include npm manifests ('package.json'), PyPI manifests ('requirements.txt'), and Maven manifests ('pom.xml').</w:t>
      </w:r>
      <w:r/>
    </w:p>
    <w:p>
      <w:pPr>
        <w:pBdr/>
        <w:spacing/>
        <w:ind/>
        <w:rPr/>
      </w:pPr>
      <w:r>
        <w:rPr>
          <w:rFonts w:ascii="Times New Roman" w:hAnsi="Times New Roman" w:cs="Times New Roman"/>
          <w:b w:val="0"/>
          <w:i w:val="0"/>
          <w:sz w:val="18"/>
          <w:u w:val="none"/>
        </w:rPr>
        <w:t xml:space="preserve">The multi-ecosystem ingestion and normalization engine (104) reads the manifest file (102), determines the ecosystem type from file naming conventions or structural inspection, and token</w:t>
      </w:r>
      <w:r>
        <w:rPr>
          <w:rFonts w:ascii="Times New Roman" w:hAnsi="Times New Roman" w:cs="Times New Roman"/>
          <w:b w:val="0"/>
          <w:i w:val="0"/>
          <w:sz w:val="18"/>
          <w:u w:val="none"/>
        </w:rPr>
        <w:t xml:space="preserve">izes dependency declarations. In npm manifests, engine (104) parses direct, development, and peer dependencies, stripping semver prefixes ('^', '~', '&gt;=', '&lt;=', 'v') to isolate base version identifiers. In PyPI manifests, engine (104) removes inline commen</w:t>
      </w:r>
      <w:r>
        <w:rPr>
          <w:rFonts w:ascii="Times New Roman" w:hAnsi="Times New Roman" w:cs="Times New Roman"/>
          <w:b w:val="0"/>
          <w:i w:val="0"/>
          <w:sz w:val="18"/>
          <w:u w:val="none"/>
        </w:rPr>
        <w:t xml:space="preserve">ts and installer directives ('-r', '-i', '--extra-index-url') while extracting comparison operators ('==', '&gt;=', '&lt;=', '~='). In Maven manifests, engine (104) traverses XML element trees to extract groupId, artifactId, and version tags, assembling unified </w:t>
      </w:r>
      <w:r>
        <w:rPr>
          <w:rFonts w:ascii="Times New Roman" w:hAnsi="Times New Roman" w:cs="Times New Roman"/>
          <w:b w:val="0"/>
          <w:i w:val="0"/>
          <w:sz w:val="18"/>
          <w:u w:val="none"/>
        </w:rPr>
        <w:t xml:space="preserve">coordinate strings (e.g., 'org.apache.logging.log4j:log4j-core'). Engine (104) outputs standardized dependency objects to three parallel analyzers: the typosquatting analyzer (106), the vulnerability analyzer (108), and the maintainer trust analyzer (110).</w:t>
      </w:r>
      <w:r/>
    </w:p>
    <w:p>
      <w:pPr>
        <w:pBdr/>
        <w:spacing/>
        <w:ind/>
        <w:rPr/>
      </w:pPr>
      <w:r>
        <w:rPr>
          <w:rFonts w:ascii="Times New Roman" w:hAnsi="Times New Roman" w:cs="Times New Roman"/>
          <w:b/>
          <w:i w:val="0"/>
          <w:sz w:val="18"/>
          <w:u w:val="none"/>
        </w:rPr>
        <w:t xml:space="preserve">Typosquatting Analyzer (106):</w:t>
      </w:r>
      <w:r/>
    </w:p>
    <w:p>
      <w:pPr>
        <w:pBdr/>
        <w:spacing/>
        <w:ind/>
        <w:rPr/>
      </w:pPr>
      <w:r>
        <w:rPr>
          <w:rFonts w:ascii="Times New Roman" w:hAnsi="Times New Roman" w:cs="Times New Roman"/>
          <w:b w:val="0"/>
          <w:i w:val="0"/>
          <w:sz w:val="18"/>
          <w:u w:val="none"/>
        </w:rPr>
        <w:t xml:space="preserve">Analyzer (106) detects brand-jacking, typosquatting, </w:t>
      </w:r>
      <w:r>
        <w:rPr>
          <w:rFonts w:ascii="Times New Roman" w:hAnsi="Times New Roman" w:cs="Times New Roman"/>
          <w:b w:val="0"/>
          <w:i w:val="0"/>
          <w:sz w:val="18"/>
          <w:u w:val="none"/>
        </w:rPr>
        <w:t xml:space="preserve">and dependency confusion by comparing candidate package name p against a curated catalog C_e of high-reputation packages within ecosystem e. Catalog C_e contains established packages (e.g., 55 PyPI libraries, 50 npm libraries, and 12 Maven core artifacts).</w:t>
      </w:r>
      <w:r/>
    </w:p>
    <w:p>
      <w:pPr>
        <w:pBdr/>
        <w:spacing/>
        <w:ind/>
        <w:rPr/>
      </w:pPr>
      <w:r>
        <w:rPr>
          <w:rFonts w:ascii="Times New Roman" w:hAnsi="Times New Roman" w:cs="Times New Roman"/>
          <w:b w:val="0"/>
          <w:i w:val="0"/>
          <w:sz w:val="18"/>
          <w:u w:val="none"/>
        </w:rPr>
        <w:t xml:space="preserve">Analyzer (106) executes in three stages:</w:t>
      </w:r>
      <w:r/>
    </w:p>
    <w:p>
      <w:pPr>
        <w:pBdr/>
        <w:spacing/>
        <w:ind/>
        <w:rPr/>
      </w:pPr>
      <w:r>
        <w:rPr>
          <w:rFonts w:ascii="Times New Roman" w:hAnsi="Times New Roman" w:cs="Times New Roman"/>
          <w:b w:val="0"/>
          <w:i w:val="0"/>
          <w:sz w:val="18"/>
          <w:u w:val="none"/>
        </w:rPr>
        <w:t xml:space="preserve">1. Catalog Membership Check: If p matches an entry in C_e exactly, analyzer (106) returns score S_typo = 0.0 (SAFE).</w:t>
      </w:r>
      <w:r/>
    </w:p>
    <w:p>
      <w:pPr>
        <w:pBdr/>
        <w:spacing/>
        <w:ind/>
        <w:rPr/>
      </w:pPr>
      <w:r>
        <w:rPr>
          <w:rFonts w:ascii="Times New Roman" w:hAnsi="Times New Roman" w:cs="Times New Roman"/>
          <w:b w:val="0"/>
          <w:i w:val="0"/>
          <w:sz w:val="18"/>
          <w:u w:val="none"/>
        </w:rPr>
        <w:t xml:space="preserve">2. Separator Normalization Confusion: Punctuation substitution is a prevalent attack vector. Analyzer (106) applies a normalization</w:t>
      </w:r>
      <w:r>
        <w:rPr>
          <w:rFonts w:ascii="Times New Roman" w:hAnsi="Times New Roman" w:cs="Times New Roman"/>
          <w:b w:val="0"/>
          <w:i w:val="0"/>
          <w:sz w:val="18"/>
          <w:u w:val="none"/>
        </w:rPr>
        <w:t xml:space="preserve"> transform N(s) mapping all hyphens to underscores: N(s) = replace(s, '-', '_'). If N(p) = N(q) for some q in C_e while p != q (e.g., 'react_dom' targeting 'react-dom'), analyzer (106) identifies a high-confidence confusion attack and assigns S_typo = 9.5.</w:t>
      </w:r>
      <w:r/>
    </w:p>
    <w:p>
      <w:pPr>
        <w:pBdr/>
        <w:spacing/>
        <w:ind/>
        <w:rPr/>
      </w:pPr>
      <w:r>
        <w:rPr>
          <w:rFonts w:ascii="Times New Roman" w:hAnsi="Times New Roman" w:cs="Times New Roman"/>
          <w:b w:val="0"/>
          <w:i w:val="0"/>
          <w:sz w:val="18"/>
          <w:u w:val="none"/>
        </w:rPr>
        <w:t xml:space="preserve">3. String Distance Computation: Analyzer (106) executes two native algorithms implemented without external C-extensions:</w:t>
      </w:r>
      <w:r/>
    </w:p>
    <w:p>
      <w:pPr>
        <w:pBdr/>
        <w:spacing/>
        <w:ind/>
        <w:rPr/>
      </w:pPr>
      <w:r>
        <w:rPr>
          <w:rFonts w:ascii="Times New Roman" w:hAnsi="Times New Roman" w:cs="Times New Roman"/>
          <w:b w:val="0"/>
          <w:i w:val="0"/>
          <w:sz w:val="18"/>
          <w:u w:val="none"/>
        </w:rPr>
        <w:t xml:space="preserve">(a) Levenshtein Edit Distance: Computes the minimum single-character insertions, deletions, or substitutions required to trans</w:t>
      </w:r>
      <w:r>
        <w:rPr>
          <w:rFonts w:ascii="Times New Roman" w:hAnsi="Times New Roman" w:cs="Times New Roman"/>
          <w:b w:val="0"/>
          <w:i w:val="0"/>
          <w:sz w:val="18"/>
          <w:u w:val="none"/>
        </w:rPr>
        <w:t xml:space="preserve">form p into q. To achieve high performance with minimal memory overhead, the implementation allocates two alternating integer row buffers of length min(|p|, |q|) + 1, achieving O(min(|p|, |q|)) spatial memory efficiency instead of allocating a full matrix.</w:t>
      </w:r>
      <w:r/>
    </w:p>
    <w:p>
      <w:pPr>
        <w:pBdr/>
        <w:spacing/>
        <w:ind/>
        <w:rPr/>
      </w:pPr>
      <w:r>
        <w:rPr>
          <w:rFonts w:ascii="Times New Roman" w:hAnsi="Times New Roman" w:cs="Times New Roman"/>
          <w:b w:val="0"/>
          <w:i w:val="0"/>
          <w:sz w:val="18"/>
          <w:u w:val="none"/>
        </w:rPr>
        <w:t xml:space="preserve">(b) Jaro-Winkler Similarity: Computes matching characters within a sliding matching window Delta = floor(max(|p|, |q|</w:t>
      </w:r>
      <w:r>
        <w:rPr>
          <w:rFonts w:ascii="Times New Roman" w:hAnsi="Times New Roman" w:cs="Times New Roman"/>
          <w:b w:val="0"/>
          <w:i w:val="0"/>
          <w:sz w:val="18"/>
          <w:u w:val="none"/>
        </w:rPr>
        <w:t xml:space="preserve">) / 2) - 1 and calculates half-transpositions t to determine Jaro similarity d_j = (m/|p| + m/|q| + (m - t)/m) / 3. If d_j &gt;= 0.70, a prefix bonus is added for up to L = 4 matching leading characters with prefix scale factor p_scale = 0.1: d_jw = d_j + (L </w:t>
      </w:r>
      <w:r>
        <w:rPr>
          <w:rFonts w:ascii="Times New Roman" w:hAnsi="Times New Roman" w:cs="Times New Roman"/>
          <w:b w:val="0"/>
          <w:i/>
          <w:sz w:val="18"/>
          <w:u w:val="none"/>
        </w:rPr>
        <w:t xml:space="preserve"> p_scale </w:t>
      </w:r>
      <w:r>
        <w:rPr>
          <w:rFonts w:ascii="Times New Roman" w:hAnsi="Times New Roman" w:cs="Times New Roman"/>
          <w:b w:val="0"/>
          <w:i w:val="0"/>
          <w:sz w:val="18"/>
          <w:u w:val="none"/>
        </w:rPr>
        <w:t xml:space="preserve"> (1.0 - d_j)).</w:t>
      </w:r>
      <w:r/>
    </w:p>
    <w:p>
      <w:pPr>
        <w:pBdr/>
        <w:spacing/>
        <w:ind/>
        <w:rPr/>
      </w:pPr>
      <w:r>
        <w:rPr>
          <w:rFonts w:ascii="Times New Roman" w:hAnsi="Times New Roman" w:cs="Times New Roman"/>
          <w:b w:val="0"/>
          <w:i w:val="0"/>
          <w:sz w:val="18"/>
          <w:u w:val="none"/>
        </w:rPr>
        <w:t xml:space="preserve">Let q</w:t>
      </w:r>
      <w:r>
        <w:rPr>
          <w:rFonts w:ascii="Times New Roman" w:hAnsi="Times New Roman" w:cs="Times New Roman"/>
          <w:b w:val="0"/>
          <w:i/>
          <w:sz w:val="18"/>
          <w:u w:val="none"/>
        </w:rPr>
        <w:t xml:space="preserve"> be the catalog package yielding the highest similarity, with minimum edit distance Lev</w:t>
      </w:r>
      <w:r>
        <w:rPr>
          <w:rFonts w:ascii="Times New Roman" w:hAnsi="Times New Roman" w:cs="Times New Roman"/>
          <w:b w:val="0"/>
          <w:i w:val="0"/>
          <w:sz w:val="18"/>
          <w:u w:val="none"/>
        </w:rPr>
        <w:t xml:space="preserve"> and similarity d_jw*. Analyzer (106) assigns S_typo as follows:</w:t>
      </w:r>
      <w:r/>
    </w:p>
    <w:p>
      <w:pPr>
        <w:pBdr/>
        <w:spacing/>
        <w:ind/>
        <w:rPr/>
      </w:pPr>
      <w:r>
        <w:rPr>
          <w:rFonts w:ascii="Times New Roman" w:hAnsi="Times New Roman" w:cs="Times New Roman"/>
          <w:b w:val="0"/>
          <w:i w:val="0"/>
          <w:sz w:val="18"/>
          <w:u w:val="none"/>
        </w:rPr>
        <w:t xml:space="preserve">- If Lev</w:t>
      </w:r>
      <w:r>
        <w:rPr>
          <w:rFonts w:ascii="Times New Roman" w:hAnsi="Times New Roman" w:cs="Times New Roman"/>
          <w:b w:val="0"/>
          <w:i/>
          <w:sz w:val="18"/>
          <w:u w:val="none"/>
        </w:rPr>
        <w:t xml:space="preserve"> == 1 and d_jw</w:t>
      </w:r>
      <w:r>
        <w:rPr>
          <w:rFonts w:ascii="Times New Roman" w:hAnsi="Times New Roman" w:cs="Times New Roman"/>
          <w:b w:val="0"/>
          <w:i w:val="0"/>
          <w:sz w:val="18"/>
          <w:u w:val="none"/>
        </w:rPr>
        <w:t xml:space="preserve"> &gt;= 0.88: S_typo = 9.5 (Critical typosquat).</w:t>
      </w:r>
      <w:r/>
    </w:p>
    <w:p>
      <w:pPr>
        <w:pBdr/>
        <w:spacing/>
        <w:ind/>
        <w:rPr/>
      </w:pPr>
      <w:r>
        <w:rPr>
          <w:rFonts w:ascii="Times New Roman" w:hAnsi="Times New Roman" w:cs="Times New Roman"/>
          <w:b w:val="0"/>
          <w:i w:val="0"/>
          <w:sz w:val="18"/>
          <w:u w:val="none"/>
        </w:rPr>
        <w:t xml:space="preserve">- If Lev</w:t>
      </w:r>
      <w:r>
        <w:rPr>
          <w:rFonts w:ascii="Times New Roman" w:hAnsi="Times New Roman" w:cs="Times New Roman"/>
          <w:b w:val="0"/>
          <w:i/>
          <w:sz w:val="18"/>
          <w:u w:val="none"/>
        </w:rPr>
        <w:t xml:space="preserve"> == 2 and d_jw</w:t>
      </w:r>
      <w:r>
        <w:rPr>
          <w:rFonts w:ascii="Times New Roman" w:hAnsi="Times New Roman" w:cs="Times New Roman"/>
          <w:b w:val="0"/>
          <w:i w:val="0"/>
          <w:sz w:val="18"/>
          <w:u w:val="none"/>
        </w:rPr>
        <w:t xml:space="preserve"> &gt;= 0.85: S_typo = 7.5 (High/Moderate typosquat).</w:t>
      </w:r>
      <w:r/>
    </w:p>
    <w:p>
      <w:pPr>
        <w:pBdr/>
        <w:spacing/>
        <w:ind/>
        <w:rPr/>
      </w:pPr>
      <w:r>
        <w:rPr>
          <w:rFonts w:ascii="Times New Roman" w:hAnsi="Times New Roman" w:cs="Times New Roman"/>
          <w:b w:val="0"/>
          <w:i w:val="0"/>
          <w:sz w:val="18"/>
          <w:u w:val="none"/>
        </w:rPr>
        <w:t xml:space="preserve">- If d_jw* &gt;= 0.90: S_typo = 6.0 (Lexical similarity flag).</w:t>
      </w:r>
      <w:r/>
    </w:p>
    <w:p>
      <w:pPr>
        <w:pBdr/>
        <w:spacing/>
        <w:ind/>
        <w:rPr/>
      </w:pPr>
      <w:r>
        <w:rPr>
          <w:rFonts w:ascii="Times New Roman" w:hAnsi="Times New Roman" w:cs="Times New Roman"/>
          <w:b w:val="0"/>
          <w:i w:val="0"/>
          <w:sz w:val="18"/>
          <w:u w:val="none"/>
        </w:rPr>
        <w:t xml:space="preserve">- Otherwise: S_typo = 0.0.</w:t>
      </w:r>
      <w:r/>
    </w:p>
    <w:p>
      <w:pPr>
        <w:pBdr/>
        <w:spacing/>
        <w:ind/>
        <w:rPr/>
      </w:pPr>
      <w:r>
        <w:rPr>
          <w:rFonts w:ascii="Times New Roman" w:hAnsi="Times New Roman" w:cs="Times New Roman"/>
          <w:b/>
          <w:i w:val="0"/>
          <w:sz w:val="18"/>
          <w:u w:val="none"/>
        </w:rPr>
        <w:t xml:space="preserve">Vulnerability Analyzer (108) and Embedded Cache (112):</w:t>
      </w:r>
      <w:r/>
    </w:p>
    <w:p>
      <w:pPr>
        <w:pBdr/>
        <w:spacing/>
        <w:ind/>
        <w:rPr/>
      </w:pPr>
      <w:r>
        <w:rPr>
          <w:rFonts w:ascii="Times New Roman" w:hAnsi="Times New Roman" w:cs="Times New Roman"/>
          <w:b w:val="0"/>
          <w:i w:val="0"/>
          <w:sz w:val="18"/>
          <w:u w:val="none"/>
        </w:rPr>
        <w:t xml:space="preserve">Analyzer (108) maps candidate dependency (p, v) to known security advisories. To prevent API rate-limiting, analyzer (108) connects to embedded SQLite cache (112).</w:t>
      </w:r>
      <w:r/>
    </w:p>
    <w:p>
      <w:pPr>
        <w:pBdr/>
        <w:spacing w:after="40" w:before="80"/>
        <w:ind/>
        <w:jc w:val="center"/>
        <w:rPr/>
      </w:pPr>
      <w:r>
        <w:rPr>
          <w:rFonts w:ascii="Times New Roman" w:hAnsi="Times New Roman" w:cs="Times New Roman"/>
          <w:b w:val="0"/>
          <w:i w:val="0"/>
          <w:sz w:val="18"/>
          <w:u w:val="none"/>
        </w:rPr>
        <mc:AlternateContent>
          <mc:Choice Requires="wpg">
            <w:drawing>
              <wp:inline xmlns:wp="http://schemas.openxmlformats.org/drawingml/2006/wordprocessingDrawing" distT="0" distB="0" distL="0" distR="0">
                <wp:extent cx="4937760" cy="2500816"/>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ache.png"/>
                        <pic:cNvPicPr>
                          <a:picLocks noChangeAspect="1"/>
                        </pic:cNvPicPr>
                        <pic:nvPr/>
                      </pic:nvPicPr>
                      <pic:blipFill rotWithShape="1">
                        <a:blip r:embed="rId12"/>
                        <a:stretch/>
                      </pic:blipFill>
                      <pic:spPr bwMode="auto">
                        <a:xfrm>
                          <a:off x="0" y="0"/>
                          <a:ext cx="4937760" cy="2500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8.80pt;height:196.91pt;mso-wrap-distance-left:0.00pt;mso-wrap-distance-top:0.00pt;mso-wrap-distance-right:0.00pt;mso-wrap-distance-bottom:0.00pt;z-index:1;" stroked="false">
                <v:imagedata r:id="rId12" o:title=""/>
                <o:lock v:ext="edit" rotation="t"/>
              </v:shape>
            </w:pict>
          </mc:Fallback>
        </mc:AlternateContent>
      </w:r>
      <w:r/>
    </w:p>
    <w:p>
      <w:pPr>
        <w:pBdr/>
        <w:spacing w:after="120" w:before="0"/>
        <w:ind/>
        <w:jc w:val="center"/>
        <w:rPr/>
      </w:pPr>
      <w:r>
        <w:rPr>
          <w:rFonts w:ascii="Times New Roman" w:hAnsi="Times New Roman" w:cs="Times New Roman"/>
          <w:b w:val="0"/>
          <w:i/>
          <w:sz w:val="18"/>
          <w:u w:val="none"/>
        </w:rPr>
        <w:t xml:space="preserve">FIG. 3: Embedded SQLite caching subsystem architecture (300) and WAL concurrency mechanism.</w:t>
      </w:r>
      <w:r/>
    </w:p>
    <w:p>
      <w:pPr>
        <w:pBdr/>
        <w:spacing/>
        <w:ind/>
        <w:rPr/>
      </w:pPr>
      <w:r>
        <w:rPr>
          <w:rFonts w:ascii="Times New Roman" w:hAnsi="Times New Roman" w:cs="Times New Roman"/>
          <w:b w:val="0"/>
          <w:i w:val="0"/>
          <w:sz w:val="18"/>
          <w:u w:val="none"/>
        </w:rPr>
        <w:t xml:space="preserve">Referring to FIG. 3, embedded caching subsyste</w:t>
      </w:r>
      <w:r>
        <w:rPr>
          <w:rFonts w:ascii="Times New Roman" w:hAnsi="Times New Roman" w:cs="Times New Roman"/>
          <w:b w:val="0"/>
          <w:i w:val="0"/>
          <w:sz w:val="18"/>
          <w:u w:val="none"/>
        </w:rPr>
        <w:t xml:space="preserve">m (300) manages storage in database file (308) located at '~/.cache/scds/scds_cache.db'. Subsystem (300) enables Write-Ahead Logging (WAL) via 'PRAGMA journal_mode=WAL;'. Under WAL mode, write transactions append changes to a separate WAL log buffer (306),</w:t>
      </w:r>
      <w:r>
        <w:rPr>
          <w:rFonts w:ascii="Times New Roman" w:hAnsi="Times New Roman" w:cs="Times New Roman"/>
          <w:b w:val="0"/>
          <w:i w:val="0"/>
          <w:sz w:val="18"/>
          <w:u w:val="none"/>
        </w:rPr>
        <w:t xml:space="preserve"> allowing concurrent CI/CD processes (302a, 302b) and local CLI processes (302c) to execute non-blocking read transactions (310) simultaneously. Cache entries are keyed by namespace-scoped keys (304) formatted as '&lt;namespace&gt;:&lt;ecosystem&gt;:&lt;name&gt;:&lt;version&gt;'.</w:t>
      </w:r>
      <w:r/>
    </w:p>
    <w:p>
      <w:pPr>
        <w:pBdr/>
        <w:spacing/>
        <w:ind/>
        <w:rPr/>
      </w:pPr>
      <w:r>
        <w:rPr>
          <w:rFonts w:ascii="Times New Roman" w:hAnsi="Times New Roman" w:cs="Times New Roman"/>
          <w:b w:val="0"/>
          <w:i w:val="0"/>
          <w:sz w:val="18"/>
          <w:u w:val="none"/>
        </w:rPr>
        <w:t xml:space="preserve">When </w:t>
      </w:r>
      <w:r>
        <w:rPr>
          <w:rFonts w:ascii="Times New Roman" w:hAnsi="Times New Roman" w:cs="Times New Roman"/>
          <w:b w:val="0"/>
          <w:i w:val="0"/>
          <w:sz w:val="18"/>
          <w:u w:val="none"/>
        </w:rPr>
        <w:t xml:space="preserve">querying vulnerability data for dependency (p, v, e), analyzer (108) checks cache (112) under namespace 'osv'. On a cache hit, the stored JSON payload is deserialized immediately. On a cache miss, analyzer (108) queries the external Google OSV.dev REST API</w:t>
      </w:r>
      <w:r>
        <w:rPr>
          <w:rFonts w:ascii="Times New Roman" w:hAnsi="Times New Roman" w:cs="Times New Roman"/>
          <w:b w:val="0"/>
          <w:i w:val="0"/>
          <w:sz w:val="18"/>
          <w:u w:val="none"/>
        </w:rPr>
        <w:t xml:space="preserve"> (114) via endpoint 'https://api.osv.dev/v1/query'. The returned advisory payload is written to database (308) with an absolute expiration timestamp (current_time + 86400 seconds). Lazy expiration module (314) removes stale entries during subsequent reads.</w:t>
      </w:r>
      <w:r/>
    </w:p>
    <w:p>
      <w:pPr>
        <w:pBdr/>
        <w:spacing/>
        <w:ind/>
        <w:rPr/>
      </w:pPr>
      <w:r>
        <w:rPr>
          <w:rFonts w:ascii="Times New Roman" w:hAnsi="Times New Roman" w:cs="Times New Roman"/>
          <w:b w:val="0"/>
          <w:i w:val="0"/>
          <w:sz w:val="18"/>
          <w:u w:val="none"/>
        </w:rPr>
        <w:t xml:space="preserve">For each reported advisory k in advisory set A, analyzer (108) extracts CVSS metrics:</w:t>
      </w:r>
      <w:r/>
    </w:p>
    <w:p>
      <w:pPr>
        <w:pBdr/>
        <w:spacing/>
        <w:ind/>
        <w:rPr/>
      </w:pPr>
      <w:r>
        <w:rPr>
          <w:rFonts w:ascii="Times New Roman" w:hAnsi="Times New Roman" w:cs="Times New Roman"/>
          <w:b w:val="0"/>
          <w:i w:val="0"/>
          <w:sz w:val="18"/>
          <w:u w:val="none"/>
        </w:rPr>
        <w:t xml:space="preserve">- Direct numeric CVSS 3.x vectors: score in [0.0, 10.0].</w:t>
      </w:r>
      <w:r/>
    </w:p>
    <w:p>
      <w:pPr>
        <w:pBdr/>
        <w:spacing/>
        <w:ind/>
        <w:rPr/>
      </w:pPr>
      <w:r>
        <w:rPr>
          <w:rFonts w:ascii="Times New Roman" w:hAnsi="Times New Roman" w:cs="Times New Roman"/>
          <w:b w:val="0"/>
          <w:i w:val="0"/>
          <w:sz w:val="18"/>
          <w:u w:val="none"/>
        </w:rPr>
        <w:t xml:space="preserve">- Qualitative severity strings: CRITICAL maps to 9.5, HIGH maps to 8.0, MEDIUM maps to 5.5, and LOW maps to 3.0.</w:t>
      </w:r>
      <w:r/>
    </w:p>
    <w:p>
      <w:pPr>
        <w:pBdr/>
        <w:spacing/>
        <w:ind/>
        <w:rPr/>
      </w:pPr>
      <w:r>
        <w:rPr>
          <w:rFonts w:ascii="Times New Roman" w:hAnsi="Times New Roman" w:cs="Times New Roman"/>
          <w:b w:val="0"/>
          <w:i w:val="0"/>
          <w:sz w:val="18"/>
          <w:u w:val="none"/>
        </w:rPr>
        <w:t xml:space="preserve">To prevent score saturation while accounting for multi-exploit attack surfaces, analyzer (108) computes a compound vulnerability score:</w:t>
      </w:r>
      <w:r/>
    </w:p>
    <w:p>
      <w:pPr>
        <w:pBdr/>
        <w:spacing/>
        <w:ind/>
        <w:rPr/>
      </w:pPr>
      <w:r>
        <w:rPr>
          <w:rFonts w:ascii="Times New Roman" w:hAnsi="Times New Roman" w:cs="Times New Roman"/>
          <w:b/>
          <w:i w:val="0"/>
          <w:sz w:val="18"/>
          <w:u w:val="none"/>
        </w:rPr>
        <w:t xml:space="preserve">S_vuln = min(10.0, max_{k in A}(CVSS_k) + min(1.0, 0.2 * (|A| - 1)))</w:t>
      </w:r>
      <w:r/>
    </w:p>
    <w:p>
      <w:pPr>
        <w:pBdr/>
        <w:spacing/>
        <w:ind/>
        <w:rPr/>
      </w:pPr>
      <w:r>
        <w:rPr>
          <w:rFonts w:ascii="Times New Roman" w:hAnsi="Times New Roman" w:cs="Times New Roman"/>
          <w:b w:val="0"/>
          <w:i w:val="0"/>
          <w:sz w:val="18"/>
          <w:u w:val="none"/>
        </w:rPr>
        <w:t xml:space="preserve">where |A| is the total count of advisories. This bounds secondary vulnerability inflation to at most +1.0.</w:t>
      </w:r>
      <w:r/>
    </w:p>
    <w:p>
      <w:pPr>
        <w:pBdr/>
        <w:spacing/>
        <w:ind/>
        <w:rPr/>
      </w:pPr>
      <w:r>
        <w:rPr>
          <w:rFonts w:ascii="Times New Roman" w:hAnsi="Times New Roman" w:cs="Times New Roman"/>
          <w:b/>
          <w:i w:val="0"/>
          <w:sz w:val="18"/>
          <w:u w:val="none"/>
        </w:rPr>
        <w:t xml:space="preserve">Maintainer Trust Analyzer (110):</w:t>
      </w:r>
      <w:r/>
    </w:p>
    <w:p>
      <w:pPr>
        <w:pBdr/>
        <w:spacing/>
        <w:ind/>
        <w:rPr/>
      </w:pPr>
      <w:r>
        <w:rPr>
          <w:rFonts w:ascii="Times New Roman" w:hAnsi="Times New Roman" w:cs="Times New Roman"/>
          <w:b w:val="0"/>
          <w:i w:val="0"/>
          <w:sz w:val="18"/>
          <w:u w:val="none"/>
        </w:rPr>
        <w:t xml:space="preserve">Analyzer (110) evaluates registry hygiene signals against package registry APIs (116) (PyPI JSON API and npm registry endpoints), utilizing cache (112) under namespace 'maintainer'. Analyzer (110) calculates an additive penalty score:</w:t>
      </w:r>
      <w:r/>
    </w:p>
    <w:p>
      <w:pPr>
        <w:pBdr/>
        <w:spacing/>
        <w:ind/>
        <w:rPr/>
      </w:pPr>
      <w:r>
        <w:rPr>
          <w:rFonts w:ascii="Times New Roman" w:hAnsi="Times New Roman" w:cs="Times New Roman"/>
          <w:b/>
          <w:i w:val="0"/>
          <w:sz w:val="18"/>
          <w:u w:val="none"/>
        </w:rPr>
        <w:t xml:space="preserve">S_maint = min(10.0, f_pin + f_age + f_dorm + f_repo)</w:t>
      </w:r>
      <w:r/>
    </w:p>
    <w:p>
      <w:pPr>
        <w:pBdr/>
        <w:spacing/>
        <w:ind/>
        <w:rPr/>
      </w:pPr>
      <w:r>
        <w:rPr>
          <w:rFonts w:ascii="Times New Roman" w:hAnsi="Times New Roman" w:cs="Times New Roman"/>
          <w:b w:val="0"/>
          <w:i w:val="0"/>
          <w:sz w:val="18"/>
          <w:u w:val="none"/>
        </w:rPr>
        <w:t xml:space="preserve">where:</w:t>
      </w:r>
      <w:r/>
    </w:p>
    <w:p>
      <w:pPr>
        <w:pBdr/>
        <w:spacing/>
        <w:ind/>
        <w:rPr/>
      </w:pPr>
      <w:r>
        <w:rPr>
          <w:rFonts w:ascii="Times New Roman" w:hAnsi="Times New Roman" w:cs="Times New Roman"/>
          <w:b w:val="0"/>
          <w:i w:val="0"/>
          <w:sz w:val="18"/>
          <w:u w:val="none"/>
        </w:rPr>
        <w:t xml:space="preserve">- f_pin = 2.0 if version v is unpinned, empty, or wildcard.</w:t>
      </w:r>
      <w:r/>
    </w:p>
    <w:p>
      <w:pPr>
        <w:pBdr/>
        <w:spacing/>
        <w:ind/>
        <w:rPr/>
      </w:pPr>
      <w:r>
        <w:rPr>
          <w:rFonts w:ascii="Times New Roman" w:hAnsi="Times New Roman" w:cs="Times New Roman"/>
          <w:b w:val="0"/>
          <w:i w:val="0"/>
          <w:sz w:val="18"/>
          <w:u w:val="none"/>
        </w:rPr>
        <w:t xml:space="preserve">- f_age = 5.0 if package publication age &lt; 14 days; 2.5 if 14 &lt;= age &lt; 45 days; 0.0 otherwise.</w:t>
      </w:r>
      <w:r/>
    </w:p>
    <w:p>
      <w:pPr>
        <w:pBdr/>
        <w:spacing/>
        <w:ind/>
        <w:rPr/>
      </w:pPr>
      <w:r>
        <w:rPr>
          <w:rFonts w:ascii="Times New Roman" w:hAnsi="Times New Roman" w:cs="Times New Roman"/>
          <w:b w:val="0"/>
          <w:i w:val="0"/>
          <w:sz w:val="18"/>
          <w:u w:val="none"/>
        </w:rPr>
        <w:t xml:space="preserve">- f_dorm = 3.5 if last release date &gt; 1100 days (~3 years); 1.5 if 730 &lt; last release &lt;= 1100 days; 0.0 otherwise.</w:t>
      </w:r>
      <w:r/>
    </w:p>
    <w:p>
      <w:pPr>
        <w:pBdr/>
        <w:spacing/>
        <w:ind/>
        <w:rPr/>
      </w:pPr>
      <w:r>
        <w:rPr>
          <w:rFonts w:ascii="Times New Roman" w:hAnsi="Times New Roman" w:cs="Times New Roman"/>
          <w:b w:val="0"/>
          <w:i w:val="0"/>
          <w:sz w:val="18"/>
          <w:u w:val="none"/>
        </w:rPr>
        <w:t xml:space="preserve">- f_repo = 2.0 if metadata lacks a public source code repository link (GitHub/GitLab).</w:t>
      </w:r>
      <w:r/>
    </w:p>
    <w:p>
      <w:pPr>
        <w:pBdr/>
        <w:spacing/>
        <w:ind/>
        <w:rPr/>
      </w:pPr>
      <w:r>
        <w:rPr>
          <w:rFonts w:ascii="Times New Roman" w:hAnsi="Times New Roman" w:cs="Times New Roman"/>
          <w:b/>
          <w:i w:val="0"/>
          <w:sz w:val="18"/>
          <w:u w:val="none"/>
        </w:rPr>
        <w:t xml:space="preserve">Deterministic Risk Engine (118) and Critical Threat Override Shield (120):</w:t>
      </w:r>
      <w:r/>
    </w:p>
    <w:p>
      <w:pPr>
        <w:pBdr/>
        <w:spacing/>
        <w:ind/>
        <w:rPr/>
      </w:pPr>
      <w:r>
        <w:rPr>
          <w:rFonts w:ascii="Times New Roman" w:hAnsi="Times New Roman" w:cs="Times New Roman"/>
          <w:b w:val="0"/>
          <w:i w:val="0"/>
          <w:sz w:val="18"/>
          <w:u w:val="none"/>
        </w:rPr>
        <w:t xml:space="preserve">Referring to FIG. 1 and FIG. 2, risk engine (118) receives scores S_vuln, S_typo, and S_maint from the analyzers and computes a baseline raw weighted score at step (210):</w:t>
      </w:r>
      <w:r/>
    </w:p>
    <w:p>
      <w:pPr>
        <w:pBdr/>
        <w:spacing/>
        <w:ind/>
        <w:rPr/>
      </w:pPr>
      <w:r>
        <w:rPr>
          <w:rFonts w:ascii="Times New Roman" w:hAnsi="Times New Roman" w:cs="Times New Roman"/>
          <w:b/>
          <w:i w:val="0"/>
          <w:sz w:val="18"/>
          <w:u w:val="none"/>
        </w:rPr>
        <w:t xml:space="preserve">S_raw = (0.45 * S_vuln) + (0.35 * S_typo) + (0.20 * S_maint)</w:t>
      </w:r>
      <w:r/>
    </w:p>
    <w:p>
      <w:pPr>
        <w:pBdr/>
        <w:spacing w:after="40" w:before="80"/>
        <w:ind/>
        <w:jc w:val="center"/>
        <w:rPr/>
      </w:pPr>
      <w:r>
        <w:rPr>
          <w:rFonts w:ascii="Times New Roman" w:hAnsi="Times New Roman" w:cs="Times New Roman"/>
          <w:b w:val="0"/>
          <w:i w:val="0"/>
          <w:sz w:val="18"/>
          <w:u w:val="none"/>
        </w:rPr>
        <mc:AlternateContent>
          <mc:Choice Requires="wpg">
            <w:drawing>
              <wp:inline xmlns:wp="http://schemas.openxmlformats.org/drawingml/2006/wordprocessingDrawing" distT="0" distB="0" distL="0" distR="0">
                <wp:extent cx="2926080" cy="5360792"/>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a:picLocks noChangeAspect="1"/>
                        </pic:cNvPicPr>
                        <pic:nvPr/>
                      </pic:nvPicPr>
                      <pic:blipFill rotWithShape="1">
                        <a:blip r:embed="rId13"/>
                        <a:stretch/>
                      </pic:blipFill>
                      <pic:spPr bwMode="auto">
                        <a:xfrm>
                          <a:off x="0" y="0"/>
                          <a:ext cx="2926080" cy="53607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30.40pt;height:422.11pt;mso-wrap-distance-left:0.00pt;mso-wrap-distance-top:0.00pt;mso-wrap-distance-right:0.00pt;mso-wrap-distance-bottom:0.00pt;z-index:1;" stroked="false">
                <v:imagedata r:id="rId13" o:title=""/>
                <o:lock v:ext="edit" rotation="t"/>
              </v:shape>
            </w:pict>
          </mc:Fallback>
        </mc:AlternateContent>
      </w:r>
      <w:r/>
    </w:p>
    <w:p>
      <w:pPr>
        <w:pBdr/>
        <w:spacing w:after="120" w:before="0"/>
        <w:ind/>
        <w:jc w:val="center"/>
        <w:rPr/>
      </w:pPr>
      <w:r>
        <w:rPr>
          <w:rFonts w:ascii="Times New Roman" w:hAnsi="Times New Roman" w:cs="Times New Roman"/>
          <w:b w:val="0"/>
          <w:i/>
          <w:sz w:val="18"/>
          <w:u w:val="none"/>
        </w:rPr>
        <w:t xml:space="preserve">FIG. 2: Decision flowchart of multi-vector risk calculation and Critical Threat Override Shield (120).</w:t>
      </w:r>
      <w:r/>
    </w:p>
    <w:p>
      <w:pPr>
        <w:pBdr/>
        <w:spacing/>
        <w:ind/>
        <w:rPr/>
      </w:pPr>
      <w:r>
        <w:rPr>
          <w:rFonts w:ascii="Times New Roman" w:hAnsi="Times New Roman" w:cs="Times New Roman"/>
          <w:b w:val="0"/>
          <w:i w:val="0"/>
          <w:sz w:val="18"/>
          <w:u w:val="none"/>
        </w:rPr>
        <w:t xml:space="preserve">At step (212), the engine determines the maximum acute threat signal M = max(S_vuln, S_typo).</w:t>
      </w:r>
      <w:r/>
    </w:p>
    <w:p>
      <w:pPr>
        <w:pBdr/>
        <w:spacing/>
        <w:ind/>
        <w:rPr/>
      </w:pPr>
      <w:r>
        <w:rPr>
          <w:rFonts w:ascii="Times New Roman" w:hAnsi="Times New Roman" w:cs="Times New Roman"/>
          <w:b w:val="0"/>
          <w:i w:val="0"/>
          <w:sz w:val="18"/>
          <w:u w:val="none"/>
        </w:rPr>
        <w:t xml:space="preserve">At decision (214), the engine evaluates whether M &gt;= 9.0. If true, step (216) applies the critical override:</w:t>
      </w:r>
      <w:r/>
    </w:p>
    <w:p>
      <w:pPr>
        <w:pBdr/>
        <w:spacing/>
        <w:ind/>
        <w:rPr/>
      </w:pPr>
      <w:r>
        <w:rPr>
          <w:rFonts w:ascii="Times New Roman" w:hAnsi="Times New Roman" w:cs="Times New Roman"/>
          <w:b/>
          <w:i w:val="0"/>
          <w:sz w:val="18"/>
          <w:u w:val="none"/>
        </w:rPr>
        <w:t xml:space="preserve">S_final = max(S_raw, M * 0.95)</w:t>
      </w:r>
      <w:r/>
    </w:p>
    <w:p>
      <w:pPr>
        <w:pBdr/>
        <w:spacing/>
        <w:ind/>
        <w:rPr/>
      </w:pPr>
      <w:r>
        <w:rPr>
          <w:rFonts w:ascii="Times New Roman" w:hAnsi="Times New Roman" w:cs="Times New Roman"/>
          <w:b w:val="0"/>
          <w:i w:val="0"/>
          <w:sz w:val="18"/>
          <w:u w:val="none"/>
        </w:rPr>
        <w:t xml:space="preserve">If false, decision (218) evaluates whether 7.5 &lt;= M &lt; 9.0. If true, step (220) applies the high-threat override:</w:t>
      </w:r>
      <w:r/>
    </w:p>
    <w:p>
      <w:pPr>
        <w:pBdr/>
        <w:spacing/>
        <w:ind/>
        <w:rPr/>
      </w:pPr>
      <w:r>
        <w:rPr>
          <w:rFonts w:ascii="Times New Roman" w:hAnsi="Times New Roman" w:cs="Times New Roman"/>
          <w:b/>
          <w:i w:val="0"/>
          <w:sz w:val="18"/>
          <w:u w:val="none"/>
        </w:rPr>
        <w:t xml:space="preserve">S_final = max(S_raw, M * 0.90)</w:t>
      </w:r>
      <w:r/>
    </w:p>
    <w:p>
      <w:pPr>
        <w:pBdr/>
        <w:spacing/>
        <w:ind/>
        <w:rPr/>
      </w:pPr>
      <w:r>
        <w:rPr>
          <w:rFonts w:ascii="Times New Roman" w:hAnsi="Times New Roman" w:cs="Times New Roman"/>
          <w:b w:val="0"/>
          <w:i w:val="0"/>
          <w:sz w:val="18"/>
          <w:u w:val="none"/>
        </w:rPr>
        <w:t xml:space="preserve">If false, step (222) retains the raw baseline: </w:t>
      </w:r>
      <w:r>
        <w:rPr>
          <w:rFonts w:ascii="Times New Roman" w:hAnsi="Times New Roman" w:cs="Times New Roman"/>
          <w:b/>
          <w:i w:val="0"/>
          <w:sz w:val="18"/>
          <w:u w:val="none"/>
        </w:rPr>
        <w:t xml:space="preserve">S_final = S_raw</w:t>
      </w:r>
      <w:r>
        <w:rPr>
          <w:rFonts w:ascii="Times New Roman" w:hAnsi="Times New Roman" w:cs="Times New Roman"/>
          <w:b w:val="0"/>
          <w:i w:val="0"/>
          <w:sz w:val="18"/>
          <w:u w:val="none"/>
        </w:rPr>
        <w:t xml:space="preserve">.</w:t>
      </w:r>
      <w:r/>
    </w:p>
    <w:p>
      <w:pPr>
        <w:pBdr/>
        <w:spacing/>
        <w:ind/>
        <w:rPr/>
      </w:pPr>
      <w:r>
        <w:rPr>
          <w:rFonts w:ascii="Times New Roman" w:hAnsi="Times New Roman" w:cs="Times New Roman"/>
          <w:b w:val="0"/>
          <w:i w:val="0"/>
          <w:sz w:val="18"/>
          <w:u w:val="none"/>
        </w:rPr>
        <w:t xml:space="preserve">S_final is rounded to one decimal place in [0.0, 10.0].</w:t>
      </w:r>
      <w:r/>
    </w:p>
    <w:p>
      <w:pPr>
        <w:pBdr/>
        <w:spacing/>
        <w:ind/>
        <w:rPr/>
      </w:pPr>
      <w:r>
        <w:rPr>
          <w:rFonts w:ascii="Times New Roman" w:hAnsi="Times New Roman" w:cs="Times New Roman"/>
          <w:b w:val="0"/>
          <w:i w:val="0"/>
          <w:sz w:val="18"/>
          <w:u w:val="none"/>
        </w:rPr>
        <w:t xml:space="preserve">At step (224), engine (118) bins S_final into a categorical risk tier:</w:t>
      </w:r>
      <w:r/>
    </w:p>
    <w:p>
      <w:pPr>
        <w:pBdr/>
        <w:spacing/>
        <w:ind/>
        <w:rPr/>
      </w:pPr>
      <w:r>
        <w:rPr>
          <w:rFonts w:ascii="Times New Roman" w:hAnsi="Times New Roman" w:cs="Times New Roman"/>
          <w:b w:val="0"/>
          <w:i w:val="0"/>
          <w:sz w:val="18"/>
          <w:u w:val="none"/>
        </w:rPr>
        <w:t xml:space="preserve">- </w:t>
      </w:r>
      <w:r>
        <w:rPr>
          <w:rFonts w:ascii="Times New Roman" w:hAnsi="Times New Roman" w:cs="Times New Roman"/>
          <w:b/>
          <w:i w:val="0"/>
          <w:sz w:val="18"/>
          <w:u w:val="none"/>
        </w:rPr>
        <w:t xml:space="preserve">SAFE</w:t>
      </w:r>
      <w:r>
        <w:rPr>
          <w:rFonts w:ascii="Times New Roman" w:hAnsi="Times New Roman" w:cs="Times New Roman"/>
          <w:b w:val="0"/>
          <w:i w:val="0"/>
          <w:sz w:val="18"/>
          <w:u w:val="none"/>
        </w:rPr>
        <w:t xml:space="preserve">: 0.0 to 2.9</w:t>
      </w:r>
      <w:r/>
    </w:p>
    <w:p>
      <w:pPr>
        <w:pBdr/>
        <w:spacing/>
        <w:ind/>
        <w:rPr/>
      </w:pPr>
      <w:r>
        <w:rPr>
          <w:rFonts w:ascii="Times New Roman" w:hAnsi="Times New Roman" w:cs="Times New Roman"/>
          <w:b w:val="0"/>
          <w:i w:val="0"/>
          <w:sz w:val="18"/>
          <w:u w:val="none"/>
        </w:rPr>
        <w:t xml:space="preserve">- </w:t>
      </w:r>
      <w:r>
        <w:rPr>
          <w:rFonts w:ascii="Times New Roman" w:hAnsi="Times New Roman" w:cs="Times New Roman"/>
          <w:b/>
          <w:i w:val="0"/>
          <w:sz w:val="18"/>
          <w:u w:val="none"/>
        </w:rPr>
        <w:t xml:space="preserve">LOW</w:t>
      </w:r>
      <w:r>
        <w:rPr>
          <w:rFonts w:ascii="Times New Roman" w:hAnsi="Times New Roman" w:cs="Times New Roman"/>
          <w:b w:val="0"/>
          <w:i w:val="0"/>
          <w:sz w:val="18"/>
          <w:u w:val="none"/>
        </w:rPr>
        <w:t xml:space="preserve">: 3.0 to 5.4</w:t>
      </w:r>
      <w:r/>
    </w:p>
    <w:p>
      <w:pPr>
        <w:pBdr/>
        <w:spacing/>
        <w:ind/>
        <w:rPr/>
      </w:pPr>
      <w:r>
        <w:rPr>
          <w:rFonts w:ascii="Times New Roman" w:hAnsi="Times New Roman" w:cs="Times New Roman"/>
          <w:b w:val="0"/>
          <w:i w:val="0"/>
          <w:sz w:val="18"/>
          <w:u w:val="none"/>
        </w:rPr>
        <w:t xml:space="preserve">- </w:t>
      </w:r>
      <w:r>
        <w:rPr>
          <w:rFonts w:ascii="Times New Roman" w:hAnsi="Times New Roman" w:cs="Times New Roman"/>
          <w:b/>
          <w:i w:val="0"/>
          <w:sz w:val="18"/>
          <w:u w:val="none"/>
        </w:rPr>
        <w:t xml:space="preserve">MEDIUM</w:t>
      </w:r>
      <w:r>
        <w:rPr>
          <w:rFonts w:ascii="Times New Roman" w:hAnsi="Times New Roman" w:cs="Times New Roman"/>
          <w:b w:val="0"/>
          <w:i w:val="0"/>
          <w:sz w:val="18"/>
          <w:u w:val="none"/>
        </w:rPr>
        <w:t xml:space="preserve">: 5.5 to 7.4</w:t>
      </w:r>
      <w:r/>
    </w:p>
    <w:p>
      <w:pPr>
        <w:pBdr/>
        <w:spacing/>
        <w:ind/>
        <w:rPr/>
      </w:pPr>
      <w:r>
        <w:rPr>
          <w:rFonts w:ascii="Times New Roman" w:hAnsi="Times New Roman" w:cs="Times New Roman"/>
          <w:b w:val="0"/>
          <w:i w:val="0"/>
          <w:sz w:val="18"/>
          <w:u w:val="none"/>
        </w:rPr>
        <w:t xml:space="preserve">- </w:t>
      </w:r>
      <w:r>
        <w:rPr>
          <w:rFonts w:ascii="Times New Roman" w:hAnsi="Times New Roman" w:cs="Times New Roman"/>
          <w:b/>
          <w:i w:val="0"/>
          <w:sz w:val="18"/>
          <w:u w:val="none"/>
        </w:rPr>
        <w:t xml:space="preserve">HIGH</w:t>
      </w:r>
      <w:r>
        <w:rPr>
          <w:rFonts w:ascii="Times New Roman" w:hAnsi="Times New Roman" w:cs="Times New Roman"/>
          <w:b w:val="0"/>
          <w:i w:val="0"/>
          <w:sz w:val="18"/>
          <w:u w:val="none"/>
        </w:rPr>
        <w:t xml:space="preserve">: 7.5 to 8.9</w:t>
      </w:r>
      <w:r/>
    </w:p>
    <w:p>
      <w:pPr>
        <w:pBdr/>
        <w:spacing/>
        <w:ind/>
        <w:rPr/>
      </w:pPr>
      <w:r>
        <w:rPr>
          <w:rFonts w:ascii="Times New Roman" w:hAnsi="Times New Roman" w:cs="Times New Roman"/>
          <w:b w:val="0"/>
          <w:i w:val="0"/>
          <w:sz w:val="18"/>
          <w:u w:val="none"/>
        </w:rPr>
        <w:t xml:space="preserve">- </w:t>
      </w:r>
      <w:r>
        <w:rPr>
          <w:rFonts w:ascii="Times New Roman" w:hAnsi="Times New Roman" w:cs="Times New Roman"/>
          <w:b/>
          <w:i w:val="0"/>
          <w:sz w:val="18"/>
          <w:u w:val="none"/>
        </w:rPr>
        <w:t xml:space="preserve">CRITICAL</w:t>
      </w:r>
      <w:r>
        <w:rPr>
          <w:rFonts w:ascii="Times New Roman" w:hAnsi="Times New Roman" w:cs="Times New Roman"/>
          <w:b w:val="0"/>
          <w:i w:val="0"/>
          <w:sz w:val="18"/>
          <w:u w:val="none"/>
        </w:rPr>
        <w:t xml:space="preserve">: 9.0 to 10.0</w:t>
      </w:r>
      <w:r/>
    </w:p>
    <w:p>
      <w:pPr>
        <w:pBdr/>
        <w:spacing/>
        <w:ind/>
        <w:rPr/>
      </w:pPr>
      <w:r>
        <w:rPr>
          <w:rFonts w:ascii="Times New Roman" w:hAnsi="Times New Roman" w:cs="Times New Roman"/>
          <w:b/>
          <w:i w:val="0"/>
          <w:sz w:val="18"/>
          <w:u w:val="none"/>
        </w:rPr>
        <w:t xml:space="preserve">Downstream Gateways and Orchestration:</w:t>
      </w:r>
      <w:r/>
    </w:p>
    <w:p>
      <w:pPr>
        <w:pBdr/>
        <w:spacing/>
        <w:ind/>
        <w:rPr/>
      </w:pPr>
      <w:r>
        <w:rPr>
          <w:rFonts w:ascii="Times New Roman" w:hAnsi="Times New Roman" w:cs="Times New Roman"/>
          <w:b w:val="0"/>
          <w:i w:val="0"/>
          <w:sz w:val="18"/>
          <w:u w:val="none"/>
        </w:rPr>
        <w:t xml:space="preserve">At step (226), CI/CD policy gate (122) evaluates S_</w:t>
      </w:r>
      <w:r>
        <w:rPr>
          <w:rFonts w:ascii="Times New Roman" w:hAnsi="Times New Roman" w:cs="Times New Roman"/>
          <w:b w:val="0"/>
          <w:i w:val="0"/>
          <w:sz w:val="18"/>
          <w:u w:val="none"/>
        </w:rPr>
        <w:t xml:space="preserve">final against a configured threshold (e.g., '--fail-on HIGH'). If any dependency equals or exceeds the threshold rank, gate (122) halts pipeline execution and returns UNIX process exit code 1. If all dependencies satisfy the policy, it returns exit code 0.</w:t>
      </w:r>
      <w:r/>
    </w:p>
    <w:p>
      <w:pPr>
        <w:pBdr/>
        <w:spacing/>
        <w:ind/>
        <w:rPr/>
      </w:pPr>
      <w:r>
        <w:rPr>
          <w:rFonts w:ascii="Times New Roman" w:hAnsi="Times New Roman" w:cs="Times New Roman"/>
          <w:b w:val="0"/>
          <w:i w:val="0"/>
          <w:sz w:val="18"/>
          <w:u w:val="none"/>
        </w:rPr>
        <w:t xml:space="preserve">Developer CLI (124) renders formatted terminal tables with color-coded ris</w:t>
      </w:r>
      <w:r>
        <w:rPr>
          <w:rFonts w:ascii="Times New Roman" w:hAnsi="Times New Roman" w:cs="Times New Roman"/>
          <w:b w:val="0"/>
          <w:i w:val="0"/>
          <w:sz w:val="18"/>
          <w:u w:val="none"/>
        </w:rPr>
        <w:t xml:space="preserve">k badges, vector score breakdowns, and remediation advice (e.g., "Replace 'reqeusts' with verified package 'requests'", "Pin exact version '==1.2.3'"). Web dashboard server (126) provides a browser-based user interface with accordion views and JSON export.</w:t>
      </w:r>
      <w:r/>
    </w:p>
    <w:p>
      <w:pPr>
        <w:pBdr/>
        <w:spacing/>
        <w:ind/>
        <w:rPr/>
      </w:pPr>
      <w:r>
        <w:rPr>
          <w:rFonts w:ascii="Times New Roman" w:hAnsi="Times New Roman" w:cs="Times New Roman"/>
          <w:b w:val="0"/>
          <w:i w:val="0"/>
          <w:sz w:val="18"/>
          <w:u w:val="none"/>
        </w:rPr>
        <w:t xml:space="preserve">A repository-level orchestrator discovers manifests recursively across project trees, pruning non-source directories ('.git', 'node_modules', 'venv', 'target', 'dist'), and supports differential pull-request scanning via '--changed &lt;path&gt;'.</w:t>
      </w:r>
      <w:r/>
    </w:p>
    <w:p>
      <w:pPr>
        <w:keepNext w:val="true"/>
        <w:pBdr/>
        <w:spacing w:after="60" w:before="160" w:line="276" w:lineRule="auto"/>
        <w:ind/>
        <w:rPr/>
      </w:pPr>
      <w:r>
        <w:rPr>
          <w:rFonts w:ascii="Times New Roman" w:hAnsi="Times New Roman" w:cs="Times New Roman"/>
          <w:b/>
          <w:i w:val="0"/>
          <w:sz w:val="18"/>
          <w:u w:val="single"/>
        </w:rPr>
        <w:t xml:space="preserve">8. Experimental validation results:</w:t>
      </w:r>
      <w:r/>
    </w:p>
    <w:p>
      <w:pPr>
        <w:pBdr/>
        <w:spacing/>
        <w:ind/>
        <w:rPr/>
      </w:pPr>
      <w:r>
        <w:rPr>
          <w:rFonts w:ascii="Times New Roman" w:hAnsi="Times New Roman" w:cs="Times New Roman"/>
          <w:b w:val="0"/>
          <w:i w:val="0"/>
          <w:sz w:val="18"/>
          <w:u w:val="none"/>
        </w:rPr>
        <w:t xml:space="preserve">The software dependency risk assessment system was experimentally evaluated across auto</w:t>
      </w:r>
      <w:r>
        <w:rPr>
          <w:rFonts w:ascii="Times New Roman" w:hAnsi="Times New Roman" w:cs="Times New Roman"/>
          <w:b w:val="0"/>
          <w:i w:val="0"/>
          <w:sz w:val="18"/>
          <w:u w:val="none"/>
        </w:rPr>
        <w:t xml:space="preserve">mated test suites, execution latency benchmarks, multi-ecosystem case studies, and an ablation of the Critical Threat Override Shield. All experiments were conducted on an Apple Silicon computing platform (macOS 15.3, 16 GB unified memory, Python 3.10.12).</w:t>
      </w:r>
      <w:r/>
    </w:p>
    <w:p>
      <w:pPr>
        <w:pBdr/>
        <w:spacing/>
        <w:ind/>
        <w:rPr/>
      </w:pPr>
      <w:r>
        <w:rPr>
          <w:rFonts w:ascii="Times New Roman" w:hAnsi="Times New Roman" w:cs="Times New Roman"/>
          <w:b/>
          <w:i w:val="0"/>
          <w:sz w:val="18"/>
          <w:u w:val="none"/>
        </w:rPr>
        <w:t xml:space="preserve">1. Automated Test Suite Verification:</w:t>
      </w:r>
      <w:r/>
    </w:p>
    <w:p>
      <w:pPr>
        <w:pBdr/>
        <w:spacing/>
        <w:ind/>
        <w:rPr/>
      </w:pPr>
      <w:r>
        <w:rPr>
          <w:rFonts w:ascii="Times New Roman" w:hAnsi="Times New Roman" w:cs="Times New Roman"/>
          <w:b w:val="0"/>
          <w:i w:val="0"/>
          <w:sz w:val="18"/>
          <w:u w:val="none"/>
        </w:rPr>
        <w:t xml:space="preserve">The codebase includes 19 automated unit and integration tests distributed across 'tests/test_scds.py' (15 tests) and 'tests/test_orchestrator.py' (4 tests).</w:t>
      </w:r>
      <w:r/>
    </w:p>
    <w:p>
      <w:pPr>
        <w:pBdr/>
        <w:spacing/>
        <w:ind/>
        <w:rPr/>
      </w:pPr>
      <w:r>
        <w:rPr>
          <w:rFonts w:ascii="Times New Roman" w:hAnsi="Times New Roman" w:cs="Times New Roman"/>
          <w:b w:val="0"/>
          <w:i w:val="0"/>
          <w:sz w:val="18"/>
          <w:u w:val="none"/>
        </w:rPr>
        <w:t xml:space="preserve">- Distance Algorithm Tests: Verifies native Levenshtein distance on identical strings (dist=0), transpositions ('reqeusts' vs 'requests', dist=2), deletions ('lodsh' vs 'lodash', dist=1), and empty strings. Verifies Jaro-Winkler prefix scaling.</w:t>
      </w:r>
      <w:r/>
    </w:p>
    <w:p>
      <w:pPr>
        <w:pBdr/>
        <w:spacing/>
        <w:ind/>
        <w:rPr/>
      </w:pPr>
      <w:r>
        <w:rPr>
          <w:rFonts w:ascii="Times New Roman" w:hAnsi="Times New Roman" w:cs="Times New Roman"/>
          <w:b w:val="0"/>
          <w:i w:val="0"/>
          <w:sz w:val="18"/>
          <w:u w:val="none"/>
        </w:rPr>
        <w:t xml:space="preserve">- Parser Tests: Verifies semver modifier stripping on npm, comment/flag removal on PyPI, and XML coordinate extraction on Maven.</w:t>
      </w:r>
      <w:r/>
    </w:p>
    <w:p>
      <w:pPr>
        <w:pBdr/>
        <w:spacing/>
        <w:ind/>
        <w:rPr/>
      </w:pPr>
      <w:r>
        <w:rPr>
          <w:rFonts w:ascii="Times New Roman" w:hAnsi="Times New Roman" w:cs="Times New Roman"/>
          <w:b w:val="0"/>
          <w:i w:val="0"/>
          <w:sz w:val="18"/>
          <w:u w:val="none"/>
        </w:rPr>
        <w:t xml:space="preserve">- Typosquatting Escalation Tests: Verifies single-character substitution, character transposition, and separator confusion ('react_dom').</w:t>
      </w:r>
      <w:r/>
    </w:p>
    <w:p>
      <w:pPr>
        <w:pBdr/>
        <w:spacing/>
        <w:ind/>
        <w:rPr/>
      </w:pPr>
      <w:r>
        <w:rPr>
          <w:rFonts w:ascii="Times New Roman" w:hAnsi="Times New Roman" w:cs="Times New Roman"/>
          <w:b w:val="0"/>
          <w:i w:val="0"/>
          <w:sz w:val="18"/>
          <w:u w:val="none"/>
        </w:rPr>
        <w:t xml:space="preserve">- Cache Tests: Verifies SQLite WAL-mode storage, TTL expiration, and lazy eviction.</w:t>
      </w:r>
      <w:r/>
    </w:p>
    <w:p>
      <w:pPr>
        <w:pBdr/>
        <w:spacing/>
        <w:ind/>
        <w:rPr/>
      </w:pPr>
      <w:r>
        <w:rPr>
          <w:rFonts w:ascii="Times New Roman" w:hAnsi="Times New Roman" w:cs="Times New Roman"/>
          <w:b w:val="0"/>
          <w:i w:val="0"/>
          <w:sz w:val="18"/>
          <w:u w:val="none"/>
        </w:rPr>
        <w:t xml:space="preserve">- Risk Engine &amp; CI/CD Tests: Verifies policy gate exit codes (0 and 1) and threat escalation.</w:t>
      </w:r>
      <w:r/>
    </w:p>
    <w:p>
      <w:pPr>
        <w:pBdr/>
        <w:spacing/>
        <w:ind/>
        <w:rPr/>
      </w:pPr>
      <w:r>
        <w:rPr>
          <w:rFonts w:ascii="Times New Roman" w:hAnsi="Times New Roman" w:cs="Times New Roman"/>
          <w:b w:val="0"/>
          <w:i w:val="0"/>
          <w:sz w:val="18"/>
          <w:u w:val="none"/>
        </w:rPr>
        <w:t xml:space="preserve">Outcome: All 19 tests executed deterministically and passed with zero failures in 0.908 seconds.</w:t>
      </w:r>
      <w:r/>
    </w:p>
    <w:p>
      <w:pPr>
        <w:pBdr/>
        <w:spacing/>
        <w:ind/>
        <w:rPr/>
      </w:pPr>
      <w:r>
        <w:rPr>
          <w:rFonts w:ascii="Times New Roman" w:hAnsi="Times New Roman" w:cs="Times New Roman"/>
          <w:b/>
          <w:i w:val="0"/>
          <w:sz w:val="18"/>
          <w:u w:val="none"/>
        </w:rPr>
        <w:t xml:space="preserve">2. Manifest Scan Latency Benchmarking:</w:t>
      </w:r>
      <w:r/>
    </w:p>
    <w:p>
      <w:pPr>
        <w:pBdr/>
        <w:spacing/>
        <w:ind/>
        <w:rPr/>
      </w:pPr>
      <w:r>
        <w:rPr>
          <w:rFonts w:ascii="Times New Roman" w:hAnsi="Times New Roman" w:cs="Times New Roman"/>
          <w:b w:val="0"/>
          <w:i w:val="0"/>
          <w:sz w:val="18"/>
          <w:u w:val="none"/>
        </w:rPr>
        <w:t xml:space="preserve">To evaluate execution overhead within automated CI/CD pipelines, repeated warm-cache scan trials were executed across representative manifests in the repository. The measured results are summarized in the following table:</w:t>
      </w:r>
      <w:r/>
    </w:p>
    <w:tbl>
      <w:tblPr>
        <w:tblStyle w:val="753"/>
        <w:jc w:val="center"/>
        <w:tblW w:w="0" w:type="auto"/>
        <w:tblBorders/>
        <w:tblLook w:val="04A0" w:firstRow="1" w:lastRow="0" w:firstColumn="1" w:lastColumn="0" w:noHBand="0" w:noVBand="1"/>
      </w:tblPr>
      <w:tblGrid>
        <w:gridCol w:w="1505"/>
        <w:gridCol w:w="1505"/>
        <w:gridCol w:w="1505"/>
        <w:gridCol w:w="1505"/>
        <w:gridCol w:w="1505"/>
        <w:gridCol w:w="1505"/>
      </w:tblGrid>
      <w:tr>
        <w:trPr/>
        <w:tc>
          <w:tcPr>
            <w:shd w:val="clear" w:color="auto" w:fill="eaeaea"/>
            <w:tcBorders/>
            <w:tcMar>
              <w:left w:w="50" w:type="dxa"/>
              <w:top w:w="50" w:type="dxa"/>
              <w:right w:w="50" w:type="dxa"/>
              <w:bottom w:w="50" w:type="dxa"/>
            </w:tcMar>
            <w:tcW w:w="1728" w:type="dxa"/>
          </w:tcPr>
          <w:p>
            <w:pPr>
              <w:pBdr/>
              <w:spacing/>
              <w:ind/>
              <w:jc w:val="center"/>
              <w:rPr/>
            </w:pPr>
            <w:r>
              <w:rPr>
                <w:rFonts w:ascii="Times New Roman" w:hAnsi="Times New Roman" w:cs="Times New Roman"/>
                <w:b/>
                <w:i w:val="0"/>
                <w:sz w:val="18"/>
                <w:u w:val="none"/>
              </w:rPr>
              <w:t xml:space="preserve">Manifest File</w:t>
            </w:r>
            <w:r/>
          </w:p>
        </w:tc>
        <w:tc>
          <w:tcPr>
            <w:shd w:val="clear" w:color="auto" w:fill="eaeaea"/>
            <w:tcBorders/>
            <w:tcMar>
              <w:left w:w="50" w:type="dxa"/>
              <w:top w:w="50" w:type="dxa"/>
              <w:right w:w="50" w:type="dxa"/>
              <w:bottom w:w="50" w:type="dxa"/>
            </w:tcMar>
            <w:tcW w:w="1296" w:type="dxa"/>
          </w:tcPr>
          <w:p>
            <w:pPr>
              <w:pBdr/>
              <w:spacing/>
              <w:ind/>
              <w:jc w:val="center"/>
              <w:rPr/>
            </w:pPr>
            <w:r>
              <w:rPr>
                <w:rFonts w:ascii="Times New Roman" w:hAnsi="Times New Roman" w:cs="Times New Roman"/>
                <w:b/>
                <w:i w:val="0"/>
                <w:sz w:val="18"/>
                <w:u w:val="none"/>
              </w:rPr>
              <w:t xml:space="preserve">Ecosystem</w:t>
            </w:r>
            <w:r/>
          </w:p>
        </w:tc>
        <w:tc>
          <w:tcPr>
            <w:shd w:val="clear" w:color="auto" w:fill="eaeaea"/>
            <w:tcBorders/>
            <w:tcMar>
              <w:left w:w="50" w:type="dxa"/>
              <w:top w:w="50" w:type="dxa"/>
              <w:right w:w="50" w:type="dxa"/>
              <w:bottom w:w="50" w:type="dxa"/>
            </w:tcMar>
            <w:tcW w:w="1584" w:type="dxa"/>
          </w:tcPr>
          <w:p>
            <w:pPr>
              <w:pBdr/>
              <w:spacing/>
              <w:ind/>
              <w:jc w:val="center"/>
              <w:rPr/>
            </w:pPr>
            <w:r>
              <w:rPr>
                <w:rFonts w:ascii="Times New Roman" w:hAnsi="Times New Roman" w:cs="Times New Roman"/>
                <w:b/>
                <w:i w:val="0"/>
                <w:sz w:val="18"/>
                <w:u w:val="none"/>
              </w:rPr>
              <w:t xml:space="preserve">Dependencies Scanned</w:t>
            </w:r>
            <w:r/>
          </w:p>
        </w:tc>
        <w:tc>
          <w:tcPr>
            <w:shd w:val="clear" w:color="auto" w:fill="eaeaea"/>
            <w:tcBorders/>
            <w:tcMar>
              <w:left w:w="50" w:type="dxa"/>
              <w:top w:w="50" w:type="dxa"/>
              <w:right w:w="50" w:type="dxa"/>
              <w:bottom w:w="50" w:type="dxa"/>
            </w:tcMar>
            <w:tcW w:w="1440" w:type="dxa"/>
          </w:tcPr>
          <w:p>
            <w:pPr>
              <w:pBdr/>
              <w:spacing/>
              <w:ind/>
              <w:jc w:val="center"/>
              <w:rPr/>
            </w:pPr>
            <w:r>
              <w:rPr>
                <w:rFonts w:ascii="Times New Roman" w:hAnsi="Times New Roman" w:cs="Times New Roman"/>
                <w:b/>
                <w:i w:val="0"/>
                <w:sz w:val="18"/>
                <w:u w:val="none"/>
              </w:rPr>
              <w:t xml:space="preserve">Min Latency (ms)</w:t>
            </w:r>
            <w:r/>
          </w:p>
        </w:tc>
        <w:tc>
          <w:tcPr>
            <w:shd w:val="clear" w:color="auto" w:fill="eaeaea"/>
            <w:tcBorders/>
            <w:tcMar>
              <w:left w:w="50" w:type="dxa"/>
              <w:top w:w="50" w:type="dxa"/>
              <w:right w:w="50" w:type="dxa"/>
              <w:bottom w:w="50" w:type="dxa"/>
            </w:tcMar>
            <w:tcW w:w="1440" w:type="dxa"/>
          </w:tcPr>
          <w:p>
            <w:pPr>
              <w:pBdr/>
              <w:spacing/>
              <w:ind/>
              <w:jc w:val="center"/>
              <w:rPr/>
            </w:pPr>
            <w:r>
              <w:rPr>
                <w:rFonts w:ascii="Times New Roman" w:hAnsi="Times New Roman" w:cs="Times New Roman"/>
                <w:b/>
                <w:i w:val="0"/>
                <w:sz w:val="18"/>
                <w:u w:val="none"/>
              </w:rPr>
              <w:t xml:space="preserve">Mean Latency (ms)</w:t>
            </w:r>
            <w:r/>
          </w:p>
        </w:tc>
        <w:tc>
          <w:tcPr>
            <w:shd w:val="clear" w:color="auto" w:fill="eaeaea"/>
            <w:tcBorders/>
            <w:tcMar>
              <w:left w:w="50" w:type="dxa"/>
              <w:top w:w="50" w:type="dxa"/>
              <w:right w:w="50" w:type="dxa"/>
              <w:bottom w:w="50" w:type="dxa"/>
            </w:tcMar>
            <w:tcW w:w="1512" w:type="dxa"/>
          </w:tcPr>
          <w:p>
            <w:pPr>
              <w:pBdr/>
              <w:spacing/>
              <w:ind/>
              <w:jc w:val="center"/>
              <w:rPr/>
            </w:pPr>
            <w:r>
              <w:rPr>
                <w:rFonts w:ascii="Times New Roman" w:hAnsi="Times New Roman" w:cs="Times New Roman"/>
                <w:b/>
                <w:i w:val="0"/>
                <w:sz w:val="18"/>
                <w:u w:val="none"/>
              </w:rPr>
              <w:t xml:space="preserve">Max Latency (ms)</w:t>
            </w:r>
            <w:r/>
          </w:p>
        </w:tc>
      </w:tr>
      <w:tr>
        <w:trPr/>
        <w:tc>
          <w:tcPr>
            <w:tcBorders/>
            <w:tcMar>
              <w:left w:w="50" w:type="dxa"/>
              <w:top w:w="40" w:type="dxa"/>
              <w:right w:w="50" w:type="dxa"/>
              <w:bottom w:w="40" w:type="dxa"/>
            </w:tcMar>
            <w:tcW w:w="1728" w:type="dxa"/>
          </w:tcPr>
          <w:p>
            <w:pPr>
              <w:pBdr/>
              <w:spacing/>
              <w:ind/>
              <w:rPr/>
            </w:pPr>
            <w:r>
              <w:rPr>
                <w:rFonts w:ascii="Times New Roman" w:hAnsi="Times New Roman" w:cs="Times New Roman"/>
                <w:b w:val="0"/>
                <w:i w:val="0"/>
                <w:sz w:val="18"/>
                <w:u w:val="none"/>
              </w:rPr>
              <w:t xml:space="preserve">pom.xml</w:t>
            </w:r>
            <w:r/>
          </w:p>
        </w:tc>
        <w:tc>
          <w:tcPr>
            <w:tcBorders/>
            <w:tcMar>
              <w:left w:w="50" w:type="dxa"/>
              <w:top w:w="40" w:type="dxa"/>
              <w:right w:w="50" w:type="dxa"/>
              <w:bottom w:w="40" w:type="dxa"/>
            </w:tcMar>
            <w:tcW w:w="1296" w:type="dxa"/>
          </w:tcPr>
          <w:p>
            <w:pPr>
              <w:pBdr/>
              <w:spacing/>
              <w:ind/>
              <w:rPr/>
            </w:pPr>
            <w:r>
              <w:rPr>
                <w:rFonts w:ascii="Times New Roman" w:hAnsi="Times New Roman" w:cs="Times New Roman"/>
                <w:b w:val="0"/>
                <w:i w:val="0"/>
                <w:sz w:val="18"/>
                <w:u w:val="none"/>
              </w:rPr>
              <w:t xml:space="preserve">Maven</w:t>
            </w:r>
            <w:r/>
          </w:p>
        </w:tc>
        <w:tc>
          <w:tcPr>
            <w:tcBorders/>
            <w:tcMar>
              <w:left w:w="50" w:type="dxa"/>
              <w:top w:w="40" w:type="dxa"/>
              <w:right w:w="50" w:type="dxa"/>
              <w:bottom w:w="40" w:type="dxa"/>
            </w:tcMar>
            <w:tcW w:w="1584" w:type="dxa"/>
          </w:tcPr>
          <w:p>
            <w:pPr>
              <w:pBdr/>
              <w:spacing/>
              <w:ind/>
              <w:jc w:val="right"/>
              <w:rPr/>
            </w:pPr>
            <w:r>
              <w:rPr>
                <w:rFonts w:ascii="Times New Roman" w:hAnsi="Times New Roman" w:cs="Times New Roman"/>
                <w:b w:val="0"/>
                <w:i w:val="0"/>
                <w:sz w:val="18"/>
                <w:u w:val="none"/>
              </w:rPr>
              <w:t xml:space="preserve">3</w:t>
            </w:r>
            <w:r/>
          </w:p>
        </w:tc>
        <w:tc>
          <w:tcPr>
            <w:tcBorders/>
            <w:tcMar>
              <w:left w:w="50" w:type="dxa"/>
              <w:top w:w="40" w:type="dxa"/>
              <w:right w:w="50" w:type="dxa"/>
              <w:bottom w:w="40" w:type="dxa"/>
            </w:tcMar>
            <w:tcW w:w="1440" w:type="dxa"/>
          </w:tcPr>
          <w:p>
            <w:pPr>
              <w:pBdr/>
              <w:spacing/>
              <w:ind/>
              <w:jc w:val="right"/>
              <w:rPr/>
            </w:pPr>
            <w:r>
              <w:rPr>
                <w:rFonts w:ascii="Times New Roman" w:hAnsi="Times New Roman" w:cs="Times New Roman"/>
                <w:b w:val="0"/>
                <w:i w:val="0"/>
                <w:sz w:val="18"/>
                <w:u w:val="none"/>
              </w:rPr>
              <w:t xml:space="preserve">1.40</w:t>
            </w:r>
            <w:r/>
          </w:p>
        </w:tc>
        <w:tc>
          <w:tcPr>
            <w:tcBorders/>
            <w:tcMar>
              <w:left w:w="50" w:type="dxa"/>
              <w:top w:w="40" w:type="dxa"/>
              <w:right w:w="50" w:type="dxa"/>
              <w:bottom w:w="40" w:type="dxa"/>
            </w:tcMar>
            <w:tcW w:w="1440" w:type="dxa"/>
          </w:tcPr>
          <w:p>
            <w:pPr>
              <w:pBdr/>
              <w:spacing/>
              <w:ind/>
              <w:jc w:val="right"/>
              <w:rPr/>
            </w:pPr>
            <w:r>
              <w:rPr>
                <w:rFonts w:ascii="Times New Roman" w:hAnsi="Times New Roman" w:cs="Times New Roman"/>
                <w:b w:val="0"/>
                <w:i w:val="0"/>
                <w:sz w:val="18"/>
                <w:u w:val="none"/>
              </w:rPr>
              <w:t xml:space="preserve">1.68</w:t>
            </w:r>
            <w:r/>
          </w:p>
        </w:tc>
        <w:tc>
          <w:tcPr>
            <w:tcBorders/>
            <w:tcMar>
              <w:left w:w="50" w:type="dxa"/>
              <w:top w:w="40" w:type="dxa"/>
              <w:right w:w="50" w:type="dxa"/>
              <w:bottom w:w="40" w:type="dxa"/>
            </w:tcMar>
            <w:tcW w:w="1512" w:type="dxa"/>
          </w:tcPr>
          <w:p>
            <w:pPr>
              <w:pBdr/>
              <w:spacing/>
              <w:ind/>
              <w:jc w:val="right"/>
              <w:rPr/>
            </w:pPr>
            <w:r>
              <w:rPr>
                <w:rFonts w:ascii="Times New Roman" w:hAnsi="Times New Roman" w:cs="Times New Roman"/>
                <w:b w:val="0"/>
                <w:i w:val="0"/>
                <w:sz w:val="18"/>
                <w:u w:val="none"/>
              </w:rPr>
              <w:t xml:space="preserve">2.33</w:t>
            </w:r>
            <w:r/>
          </w:p>
        </w:tc>
      </w:tr>
      <w:tr>
        <w:trPr/>
        <w:tc>
          <w:tcPr>
            <w:tcBorders/>
            <w:tcMar>
              <w:left w:w="50" w:type="dxa"/>
              <w:top w:w="40" w:type="dxa"/>
              <w:right w:w="50" w:type="dxa"/>
              <w:bottom w:w="40" w:type="dxa"/>
            </w:tcMar>
            <w:tcW w:w="1728" w:type="dxa"/>
          </w:tcPr>
          <w:p>
            <w:pPr>
              <w:pBdr/>
              <w:spacing/>
              <w:ind/>
              <w:rPr/>
            </w:pPr>
            <w:r>
              <w:rPr>
                <w:rFonts w:ascii="Times New Roman" w:hAnsi="Times New Roman" w:cs="Times New Roman"/>
                <w:b w:val="0"/>
                <w:i w:val="0"/>
                <w:sz w:val="18"/>
                <w:u w:val="none"/>
              </w:rPr>
              <w:t xml:space="preserve">package.json</w:t>
            </w:r>
            <w:r/>
          </w:p>
        </w:tc>
        <w:tc>
          <w:tcPr>
            <w:tcBorders/>
            <w:tcMar>
              <w:left w:w="50" w:type="dxa"/>
              <w:top w:w="40" w:type="dxa"/>
              <w:right w:w="50" w:type="dxa"/>
              <w:bottom w:w="40" w:type="dxa"/>
            </w:tcMar>
            <w:tcW w:w="1296" w:type="dxa"/>
          </w:tcPr>
          <w:p>
            <w:pPr>
              <w:pBdr/>
              <w:spacing/>
              <w:ind/>
              <w:rPr/>
            </w:pPr>
            <w:r>
              <w:rPr>
                <w:rFonts w:ascii="Times New Roman" w:hAnsi="Times New Roman" w:cs="Times New Roman"/>
                <w:b w:val="0"/>
                <w:i w:val="0"/>
                <w:sz w:val="18"/>
                <w:u w:val="none"/>
              </w:rPr>
              <w:t xml:space="preserve">npm</w:t>
            </w:r>
            <w:r/>
          </w:p>
        </w:tc>
        <w:tc>
          <w:tcPr>
            <w:tcBorders/>
            <w:tcMar>
              <w:left w:w="50" w:type="dxa"/>
              <w:top w:w="40" w:type="dxa"/>
              <w:right w:w="50" w:type="dxa"/>
              <w:bottom w:w="40" w:type="dxa"/>
            </w:tcMar>
            <w:tcW w:w="1584" w:type="dxa"/>
          </w:tcPr>
          <w:p>
            <w:pPr>
              <w:pBdr/>
              <w:spacing/>
              <w:ind/>
              <w:jc w:val="right"/>
              <w:rPr/>
            </w:pPr>
            <w:r>
              <w:rPr>
                <w:rFonts w:ascii="Times New Roman" w:hAnsi="Times New Roman" w:cs="Times New Roman"/>
                <w:b w:val="0"/>
                <w:i w:val="0"/>
                <w:sz w:val="18"/>
                <w:u w:val="none"/>
              </w:rPr>
              <w:t xml:space="preserve">7</w:t>
            </w:r>
            <w:r/>
          </w:p>
        </w:tc>
        <w:tc>
          <w:tcPr>
            <w:tcBorders/>
            <w:tcMar>
              <w:left w:w="50" w:type="dxa"/>
              <w:top w:w="40" w:type="dxa"/>
              <w:right w:w="50" w:type="dxa"/>
              <w:bottom w:w="40" w:type="dxa"/>
            </w:tcMar>
            <w:tcW w:w="1440" w:type="dxa"/>
          </w:tcPr>
          <w:p>
            <w:pPr>
              <w:pBdr/>
              <w:spacing/>
              <w:ind/>
              <w:jc w:val="right"/>
              <w:rPr/>
            </w:pPr>
            <w:r>
              <w:rPr>
                <w:rFonts w:ascii="Times New Roman" w:hAnsi="Times New Roman" w:cs="Times New Roman"/>
                <w:b w:val="0"/>
                <w:i w:val="0"/>
                <w:sz w:val="18"/>
                <w:u w:val="none"/>
              </w:rPr>
              <w:t xml:space="preserve">70.45</w:t>
            </w:r>
            <w:r/>
          </w:p>
        </w:tc>
        <w:tc>
          <w:tcPr>
            <w:tcBorders/>
            <w:tcMar>
              <w:left w:w="50" w:type="dxa"/>
              <w:top w:w="40" w:type="dxa"/>
              <w:right w:w="50" w:type="dxa"/>
              <w:bottom w:w="40" w:type="dxa"/>
            </w:tcMar>
            <w:tcW w:w="1440" w:type="dxa"/>
          </w:tcPr>
          <w:p>
            <w:pPr>
              <w:pBdr/>
              <w:spacing/>
              <w:ind/>
              <w:jc w:val="right"/>
              <w:rPr/>
            </w:pPr>
            <w:r>
              <w:rPr>
                <w:rFonts w:ascii="Times New Roman" w:hAnsi="Times New Roman" w:cs="Times New Roman"/>
                <w:b w:val="0"/>
                <w:i w:val="0"/>
                <w:sz w:val="18"/>
                <w:u w:val="none"/>
              </w:rPr>
              <w:t xml:space="preserve">207.44</w:t>
            </w:r>
            <w:r/>
          </w:p>
        </w:tc>
        <w:tc>
          <w:tcPr>
            <w:tcBorders/>
            <w:tcMar>
              <w:left w:w="50" w:type="dxa"/>
              <w:top w:w="40" w:type="dxa"/>
              <w:right w:w="50" w:type="dxa"/>
              <w:bottom w:w="40" w:type="dxa"/>
            </w:tcMar>
            <w:tcW w:w="1512" w:type="dxa"/>
          </w:tcPr>
          <w:p>
            <w:pPr>
              <w:pBdr/>
              <w:spacing/>
              <w:ind/>
              <w:jc w:val="right"/>
              <w:rPr/>
            </w:pPr>
            <w:r>
              <w:rPr>
                <w:rFonts w:ascii="Times New Roman" w:hAnsi="Times New Roman" w:cs="Times New Roman"/>
                <w:b w:val="0"/>
                <w:i w:val="0"/>
                <w:sz w:val="18"/>
                <w:u w:val="none"/>
              </w:rPr>
              <w:t xml:space="preserve">718.21</w:t>
            </w:r>
            <w:r/>
          </w:p>
        </w:tc>
      </w:tr>
      <w:tr>
        <w:trPr/>
        <w:tc>
          <w:tcPr>
            <w:tcBorders/>
            <w:tcMar>
              <w:left w:w="50" w:type="dxa"/>
              <w:top w:w="40" w:type="dxa"/>
              <w:right w:w="50" w:type="dxa"/>
              <w:bottom w:w="40" w:type="dxa"/>
            </w:tcMar>
            <w:tcW w:w="1728" w:type="dxa"/>
          </w:tcPr>
          <w:p>
            <w:pPr>
              <w:pBdr/>
              <w:spacing/>
              <w:ind/>
              <w:rPr/>
            </w:pPr>
            <w:r>
              <w:rPr>
                <w:rFonts w:ascii="Times New Roman" w:hAnsi="Times New Roman" w:cs="Times New Roman"/>
                <w:b w:val="0"/>
                <w:i w:val="0"/>
                <w:sz w:val="18"/>
                <w:u w:val="none"/>
              </w:rPr>
              <w:t xml:space="preserve">requirements.txt</w:t>
            </w:r>
            <w:r/>
          </w:p>
        </w:tc>
        <w:tc>
          <w:tcPr>
            <w:tcBorders/>
            <w:tcMar>
              <w:left w:w="50" w:type="dxa"/>
              <w:top w:w="40" w:type="dxa"/>
              <w:right w:w="50" w:type="dxa"/>
              <w:bottom w:w="40" w:type="dxa"/>
            </w:tcMar>
            <w:tcW w:w="1296" w:type="dxa"/>
          </w:tcPr>
          <w:p>
            <w:pPr>
              <w:pBdr/>
              <w:spacing/>
              <w:ind/>
              <w:rPr/>
            </w:pPr>
            <w:r>
              <w:rPr>
                <w:rFonts w:ascii="Times New Roman" w:hAnsi="Times New Roman" w:cs="Times New Roman"/>
                <w:b w:val="0"/>
                <w:i w:val="0"/>
                <w:sz w:val="18"/>
                <w:u w:val="none"/>
              </w:rPr>
              <w:t xml:space="preserve">PyPI</w:t>
            </w:r>
            <w:r/>
          </w:p>
        </w:tc>
        <w:tc>
          <w:tcPr>
            <w:tcBorders/>
            <w:tcMar>
              <w:left w:w="50" w:type="dxa"/>
              <w:top w:w="40" w:type="dxa"/>
              <w:right w:w="50" w:type="dxa"/>
              <w:bottom w:w="40" w:type="dxa"/>
            </w:tcMar>
            <w:tcW w:w="1584" w:type="dxa"/>
          </w:tcPr>
          <w:p>
            <w:pPr>
              <w:pBdr/>
              <w:spacing/>
              <w:ind/>
              <w:jc w:val="right"/>
              <w:rPr/>
            </w:pPr>
            <w:r>
              <w:rPr>
                <w:rFonts w:ascii="Times New Roman" w:hAnsi="Times New Roman" w:cs="Times New Roman"/>
                <w:b w:val="0"/>
                <w:i w:val="0"/>
                <w:sz w:val="18"/>
                <w:u w:val="none"/>
              </w:rPr>
              <w:t xml:space="preserve">7</w:t>
            </w:r>
            <w:r/>
          </w:p>
        </w:tc>
        <w:tc>
          <w:tcPr>
            <w:tcBorders/>
            <w:tcMar>
              <w:left w:w="50" w:type="dxa"/>
              <w:top w:w="40" w:type="dxa"/>
              <w:right w:w="50" w:type="dxa"/>
              <w:bottom w:w="40" w:type="dxa"/>
            </w:tcMar>
            <w:tcW w:w="1440" w:type="dxa"/>
          </w:tcPr>
          <w:p>
            <w:pPr>
              <w:pBdr/>
              <w:spacing/>
              <w:ind/>
              <w:jc w:val="right"/>
              <w:rPr/>
            </w:pPr>
            <w:r>
              <w:rPr>
                <w:rFonts w:ascii="Times New Roman" w:hAnsi="Times New Roman" w:cs="Times New Roman"/>
                <w:b w:val="0"/>
                <w:i w:val="0"/>
                <w:sz w:val="18"/>
                <w:u w:val="none"/>
              </w:rPr>
              <w:t xml:space="preserve">101.18</w:t>
            </w:r>
            <w:r/>
          </w:p>
        </w:tc>
        <w:tc>
          <w:tcPr>
            <w:tcBorders/>
            <w:tcMar>
              <w:left w:w="50" w:type="dxa"/>
              <w:top w:w="40" w:type="dxa"/>
              <w:right w:w="50" w:type="dxa"/>
              <w:bottom w:w="40" w:type="dxa"/>
            </w:tcMar>
            <w:tcW w:w="1440" w:type="dxa"/>
          </w:tcPr>
          <w:p>
            <w:pPr>
              <w:pBdr/>
              <w:spacing/>
              <w:ind/>
              <w:jc w:val="right"/>
              <w:rPr/>
            </w:pPr>
            <w:r>
              <w:rPr>
                <w:rFonts w:ascii="Times New Roman" w:hAnsi="Times New Roman" w:cs="Times New Roman"/>
                <w:b w:val="0"/>
                <w:i w:val="0"/>
                <w:sz w:val="18"/>
                <w:u w:val="none"/>
              </w:rPr>
              <w:t xml:space="preserve">314.82</w:t>
            </w:r>
            <w:r/>
          </w:p>
        </w:tc>
        <w:tc>
          <w:tcPr>
            <w:tcBorders/>
            <w:tcMar>
              <w:left w:w="50" w:type="dxa"/>
              <w:top w:w="40" w:type="dxa"/>
              <w:right w:w="50" w:type="dxa"/>
              <w:bottom w:w="40" w:type="dxa"/>
            </w:tcMar>
            <w:tcW w:w="1512" w:type="dxa"/>
          </w:tcPr>
          <w:p>
            <w:pPr>
              <w:pBdr/>
              <w:spacing/>
              <w:ind/>
              <w:jc w:val="right"/>
              <w:rPr/>
            </w:pPr>
            <w:r>
              <w:rPr>
                <w:rFonts w:ascii="Times New Roman" w:hAnsi="Times New Roman" w:cs="Times New Roman"/>
                <w:b w:val="0"/>
                <w:i w:val="0"/>
                <w:sz w:val="18"/>
                <w:u w:val="none"/>
              </w:rPr>
              <w:t xml:space="preserve">1017.96</w:t>
            </w:r>
            <w:r/>
          </w:p>
        </w:tc>
      </w:tr>
    </w:tbl>
    <w:p>
      <w:pPr>
        <w:pBdr/>
        <w:spacing/>
        <w:ind/>
        <w:rPr/>
      </w:pPr>
      <w:r>
        <w:rPr>
          <w:rFonts w:ascii="Times New Roman" w:hAnsi="Times New Roman" w:cs="Times New Roman"/>
          <w:b w:val="0"/>
          <w:i w:val="0"/>
          <w:sz w:val="18"/>
          <w:u w:val="none"/>
        </w:rPr>
        <w:t xml:space="preserve">Analysis: For Maven manifests (3 dependencies), scanning completed in 1.40 ms (mean 1.68 ms). For npm manifests (7</w:t>
      </w:r>
      <w:r>
        <w:rPr>
          <w:rFonts w:ascii="Times New Roman" w:hAnsi="Times New Roman" w:cs="Times New Roman"/>
          <w:b w:val="0"/>
          <w:i w:val="0"/>
          <w:sz w:val="18"/>
          <w:u w:val="none"/>
        </w:rPr>
        <w:t xml:space="preserve"> dependencies, including parsing 23 distinct CVE advisories for 'axios'), warm-cache execution completed in 70.45 ms. For PyPI manifests (7 dependencies), warm-cache execution completed in 101.18 ms. Across all ecosystems, warm manifest evaluation complete</w:t>
      </w:r>
      <w:r>
        <w:rPr>
          <w:rFonts w:ascii="Times New Roman" w:hAnsi="Times New Roman" w:cs="Times New Roman"/>
          <w:b w:val="0"/>
          <w:i w:val="0"/>
          <w:sz w:val="18"/>
          <w:u w:val="none"/>
        </w:rPr>
        <w:t xml:space="preserve">d in under 105 ms. Compared to dynamic sandbox execution tools (DONAPI, OSCAR), which require several minutes per package, the present system delivers a 100x to 1000x speedup, establishing sub-second operational viability for synchronous CI/CD build gates.</w:t>
      </w:r>
      <w:r/>
    </w:p>
    <w:p>
      <w:pPr>
        <w:pBdr/>
        <w:spacing/>
        <w:ind/>
        <w:rPr/>
      </w:pPr>
      <w:r>
        <w:rPr>
          <w:rFonts w:ascii="Times New Roman" w:hAnsi="Times New Roman" w:cs="Times New Roman"/>
          <w:b/>
          <w:i w:val="0"/>
          <w:sz w:val="18"/>
          <w:u w:val="none"/>
        </w:rPr>
        <w:t xml:space="preserve">3. Multi-Ecosystem Case Studies:</w:t>
      </w:r>
      <w:r/>
    </w:p>
    <w:p>
      <w:pPr>
        <w:pBdr/>
        <w:spacing/>
        <w:ind/>
        <w:rPr/>
      </w:pPr>
      <w:r>
        <w:rPr>
          <w:rFonts w:ascii="Times New Roman" w:hAnsi="Times New Roman" w:cs="Times New Roman"/>
          <w:b w:val="0"/>
          <w:i w:val="0"/>
          <w:sz w:val="18"/>
          <w:u w:val="none"/>
        </w:rPr>
        <w:t xml:space="preserve">(a) </w:t>
      </w:r>
      <w:r>
        <w:rPr>
          <w:rFonts w:ascii="Times New Roman" w:hAnsi="Times New Roman" w:cs="Times New Roman"/>
          <w:b w:val="0"/>
          <w:i/>
          <w:sz w:val="18"/>
          <w:u w:val="none"/>
        </w:rPr>
        <w:t xml:space="preserve">npm Manifest ('samples/package.json')</w:t>
      </w:r>
      <w:r>
        <w:rPr>
          <w:rFonts w:ascii="Times New Roman" w:hAnsi="Times New Roman" w:cs="Times New Roman"/>
          <w:b w:val="0"/>
          <w:i w:val="0"/>
          <w:sz w:val="18"/>
          <w:u w:val="none"/>
        </w:rPr>
        <w:t xml:space="preserve">:</w:t>
      </w:r>
      <w:r/>
    </w:p>
    <w:p>
      <w:pPr>
        <w:pBdr/>
        <w:spacing/>
        <w:ind/>
        <w:rPr/>
      </w:pPr>
      <w:r>
        <w:rPr>
          <w:rFonts w:ascii="Times New Roman" w:hAnsi="Times New Roman" w:cs="Times New Roman"/>
          <w:b w:val="0"/>
          <w:i w:val="0"/>
          <w:sz w:val="18"/>
          <w:u w:val="none"/>
        </w:rPr>
        <w:t xml:space="preserve">- 'lodsh' (0.0.1): Identified as single-character edit typosquat targeting 'lodash' (Lev=1, JW=0.909). S_typo escalated to 9.5, yielding final score 9.5 (CRITICAL).</w:t>
      </w:r>
      <w:r/>
    </w:p>
    <w:p>
      <w:pPr>
        <w:pBdr/>
        <w:spacing/>
        <w:ind/>
        <w:rPr/>
      </w:pPr>
      <w:r>
        <w:rPr>
          <w:rFonts w:ascii="Times New Roman" w:hAnsi="Times New Roman" w:cs="Times New Roman"/>
          <w:b w:val="0"/>
          <w:i w:val="0"/>
          <w:sz w:val="18"/>
          <w:u w:val="none"/>
        </w:rPr>
        <w:t xml:space="preserve">- 'react_dom' (18.2.0): Triggered normalization confusion against 'react-dom' (score 9.5), yielding final score 9.5 (CRITICAL). Actionable recommendation emitted: "Replace 'react_dom' with verified legitimate package 'react-dom'".</w:t>
      </w:r>
      <w:r/>
    </w:p>
    <w:p>
      <w:pPr>
        <w:pBdr/>
        <w:spacing/>
        <w:ind/>
        <w:rPr/>
      </w:pPr>
      <w:r>
        <w:rPr>
          <w:rFonts w:ascii="Times New Roman" w:hAnsi="Times New Roman" w:cs="Times New Roman"/>
          <w:b w:val="0"/>
          <w:i w:val="0"/>
          <w:sz w:val="18"/>
          <w:u w:val="none"/>
        </w:rPr>
        <w:t xml:space="preserve">- 'lodash' (4.17.15): Lexically legitimate, but mapped to 4 prototype pollution CVEs. Compound vulnerability score evaluated to 8.1, yielding final score 7.7 (HIGH).</w:t>
      </w:r>
      <w:r/>
    </w:p>
    <w:p>
      <w:pPr>
        <w:pBdr/>
        <w:spacing/>
        <w:ind/>
        <w:rPr/>
      </w:pPr>
      <w:r>
        <w:rPr>
          <w:rFonts w:ascii="Times New Roman" w:hAnsi="Times New Roman" w:cs="Times New Roman"/>
          <w:b w:val="0"/>
          <w:i w:val="0"/>
          <w:sz w:val="18"/>
          <w:u w:val="none"/>
        </w:rPr>
        <w:t xml:space="preserve">- 'axios' (1.6.8): Mapped to 23 active advisories (including SSRF CVE-2024-39338 and header injection CVE-2026-42035). Compound formula evaluated to S_vuln = 9.0, yielding final score 8.1 (HIGH).</w:t>
      </w:r>
      <w:r/>
    </w:p>
    <w:p>
      <w:pPr>
        <w:pBdr/>
        <w:spacing/>
        <w:ind/>
        <w:rPr/>
      </w:pPr>
      <w:r>
        <w:rPr>
          <w:rFonts w:ascii="Times New Roman" w:hAnsi="Times New Roman" w:cs="Times New Roman"/>
          <w:b w:val="0"/>
          <w:i w:val="0"/>
          <w:sz w:val="18"/>
          <w:u w:val="none"/>
        </w:rPr>
        <w:t xml:space="preserve">- 'express', 'react', 'jest': Clean dependencies verified safe, receiving score 0.0 (SAFE).</w:t>
      </w:r>
      <w:r/>
    </w:p>
    <w:p>
      <w:pPr>
        <w:pBdr/>
        <w:spacing/>
        <w:ind/>
        <w:rPr/>
      </w:pPr>
      <w:r>
        <w:rPr>
          <w:rFonts w:ascii="Times New Roman" w:hAnsi="Times New Roman" w:cs="Times New Roman"/>
          <w:b w:val="0"/>
          <w:i w:val="0"/>
          <w:sz w:val="18"/>
          <w:u w:val="none"/>
        </w:rPr>
        <w:t xml:space="preserve">(b) </w:t>
      </w:r>
      <w:r>
        <w:rPr>
          <w:rFonts w:ascii="Times New Roman" w:hAnsi="Times New Roman" w:cs="Times New Roman"/>
          <w:b w:val="0"/>
          <w:i/>
          <w:sz w:val="18"/>
          <w:u w:val="none"/>
        </w:rPr>
        <w:t xml:space="preserve">PyPI Manifest ('samples/requirements.txt')</w:t>
      </w:r>
      <w:r>
        <w:rPr>
          <w:rFonts w:ascii="Times New Roman" w:hAnsi="Times New Roman" w:cs="Times New Roman"/>
          <w:b w:val="0"/>
          <w:i w:val="0"/>
          <w:sz w:val="18"/>
          <w:u w:val="none"/>
        </w:rPr>
        <w:t xml:space="preserve">:</w:t>
      </w:r>
      <w:r/>
    </w:p>
    <w:p>
      <w:pPr>
        <w:pBdr/>
        <w:spacing/>
        <w:ind/>
        <w:rPr/>
      </w:pPr>
      <w:r>
        <w:rPr>
          <w:rFonts w:ascii="Times New Roman" w:hAnsi="Times New Roman" w:cs="Times New Roman"/>
          <w:b w:val="0"/>
          <w:i w:val="0"/>
          <w:sz w:val="18"/>
          <w:u w:val="none"/>
        </w:rPr>
        <w:t xml:space="preserve">- 'coloramaa' (0.4.6): Flagged as single-character insertion typosquat targeting 'colorama' (Lev=1, JW=0.978). Final score: 9.0 (CRITICAL).</w:t>
      </w:r>
      <w:r/>
    </w:p>
    <w:p>
      <w:pPr>
        <w:pBdr/>
        <w:spacing/>
        <w:ind/>
        <w:rPr/>
      </w:pPr>
      <w:r>
        <w:rPr>
          <w:rFonts w:ascii="Times New Roman" w:hAnsi="Times New Roman" w:cs="Times New Roman"/>
          <w:b w:val="0"/>
          <w:i w:val="0"/>
          <w:sz w:val="18"/>
          <w:u w:val="none"/>
        </w:rPr>
        <w:t xml:space="preserve">- 'reqeusts' (0.0.1): Character transposition targeting 'requests' (Lev=2, JW=0.971). Final score: 6.8 (MEDIUM).</w:t>
      </w:r>
      <w:r/>
    </w:p>
    <w:p>
      <w:pPr>
        <w:pBdr/>
        <w:spacing/>
        <w:ind/>
        <w:rPr/>
      </w:pPr>
      <w:r>
        <w:rPr>
          <w:rFonts w:ascii="Times New Roman" w:hAnsi="Times New Roman" w:cs="Times New Roman"/>
          <w:b w:val="0"/>
          <w:i w:val="0"/>
          <w:sz w:val="18"/>
          <w:u w:val="none"/>
        </w:rPr>
        <w:t xml:space="preserve">- 'pydantic' (unspecified version): Maintainer analyzer flagged UNPINNED_VERSION (+2.0 penalty), final score: 2.9 (SAFE). Guidance emitted: "Pin exact dependency version (e.g., '==1.2.3')".</w:t>
      </w:r>
      <w:r/>
    </w:p>
    <w:p>
      <w:pPr>
        <w:pBdr/>
        <w:spacing/>
        <w:ind/>
        <w:rPr/>
      </w:pPr>
      <w:r>
        <w:rPr>
          <w:rFonts w:ascii="Times New Roman" w:hAnsi="Times New Roman" w:cs="Times New Roman"/>
          <w:b w:val="0"/>
          <w:i w:val="0"/>
          <w:sz w:val="18"/>
          <w:u w:val="none"/>
        </w:rPr>
        <w:t xml:space="preserve">- 'requests' (2.20.0) and 'urllib3' (1.24.2): Flagged for 8 and 22 known vulnerabilities, receiving 7.7 (HIGH).</w:t>
      </w:r>
      <w:r/>
    </w:p>
    <w:p>
      <w:pPr>
        <w:pBdr/>
        <w:spacing/>
        <w:ind/>
        <w:rPr/>
      </w:pPr>
      <w:r>
        <w:rPr>
          <w:rFonts w:ascii="Times New Roman" w:hAnsi="Times New Roman" w:cs="Times New Roman"/>
          <w:b w:val="0"/>
          <w:i w:val="0"/>
          <w:sz w:val="18"/>
          <w:u w:val="none"/>
        </w:rPr>
        <w:t xml:space="preserve">(c) </w:t>
      </w:r>
      <w:r>
        <w:rPr>
          <w:rFonts w:ascii="Times New Roman" w:hAnsi="Times New Roman" w:cs="Times New Roman"/>
          <w:b w:val="0"/>
          <w:i/>
          <w:sz w:val="18"/>
          <w:u w:val="none"/>
        </w:rPr>
        <w:t xml:space="preserve">Maven Manifest ('samples/pom.xml')</w:t>
      </w:r>
      <w:r>
        <w:rPr>
          <w:rFonts w:ascii="Times New Roman" w:hAnsi="Times New Roman" w:cs="Times New Roman"/>
          <w:b w:val="0"/>
          <w:i w:val="0"/>
          <w:sz w:val="18"/>
          <w:u w:val="none"/>
        </w:rPr>
        <w:t xml:space="preserve">:</w:t>
      </w:r>
      <w:r/>
    </w:p>
    <w:p>
      <w:pPr>
        <w:pBdr/>
        <w:spacing/>
        <w:ind/>
        <w:rPr/>
      </w:pPr>
      <w:r>
        <w:rPr>
          <w:rFonts w:ascii="Times New Roman" w:hAnsi="Times New Roman" w:cs="Times New Roman"/>
          <w:b w:val="0"/>
          <w:i w:val="0"/>
          <w:sz w:val="18"/>
          <w:u w:val="none"/>
        </w:rPr>
        <w:t xml:space="preserve">- 'org.apache.logging.log4j:log4j-core' (2.14.1): Mapped to Log4Shell (CVE-2021-44228, CVSS 9.8). S_vuln evaluated to 10.0, final score evaluated to 9.5 (CRITICAL). Exit code 1 returned under policy '--fail-on HIGH'.</w:t>
      </w:r>
      <w:r/>
    </w:p>
    <w:p>
      <w:pPr>
        <w:pBdr/>
        <w:spacing/>
        <w:ind/>
        <w:rPr/>
      </w:pPr>
      <w:r>
        <w:rPr>
          <w:rFonts w:ascii="Times New Roman" w:hAnsi="Times New Roman" w:cs="Times New Roman"/>
          <w:b/>
          <w:i w:val="0"/>
          <w:sz w:val="18"/>
          <w:u w:val="none"/>
        </w:rPr>
        <w:t xml:space="preserve">4. Ablation of Critical Threat Override Shield:</w:t>
      </w:r>
      <w:r/>
    </w:p>
    <w:p>
      <w:pPr>
        <w:pBdr/>
        <w:spacing/>
        <w:ind/>
        <w:rPr/>
      </w:pPr>
      <w:r>
        <w:rPr>
          <w:rFonts w:ascii="Times New Roman" w:hAnsi="Times New Roman" w:cs="Times New Roman"/>
          <w:b w:val="0"/>
          <w:i w:val="0"/>
          <w:sz w:val="18"/>
          <w:u w:val="none"/>
        </w:rPr>
        <w:t xml:space="preserve">To evaluate the override shield, an ablation was conducted comparing linear weighted scoring (S_raw) against the non-linear override (S_final) across the three critical attack cases:</w:t>
      </w:r>
      <w:r/>
    </w:p>
    <w:tbl>
      <w:tblPr>
        <w:tblStyle w:val="753"/>
        <w:jc w:val="center"/>
        <w:tblW w:w="0" w:type="auto"/>
        <w:tblBorders/>
        <w:tblLook w:val="04A0" w:firstRow="1" w:lastRow="0" w:firstColumn="1" w:lastColumn="0" w:noHBand="0" w:noVBand="1"/>
      </w:tblPr>
      <w:tblGrid>
        <w:gridCol w:w="1806"/>
        <w:gridCol w:w="1806"/>
        <w:gridCol w:w="1806"/>
        <w:gridCol w:w="1806"/>
        <w:gridCol w:w="1806"/>
      </w:tblGrid>
      <w:tr>
        <w:trPr/>
        <w:tc>
          <w:tcPr>
            <w:shd w:val="clear" w:color="auto" w:fill="eaeaea"/>
            <w:tcBorders/>
            <w:tcMar>
              <w:left w:w="50" w:type="dxa"/>
              <w:top w:w="50" w:type="dxa"/>
              <w:right w:w="50" w:type="dxa"/>
              <w:bottom w:w="50" w:type="dxa"/>
            </w:tcMar>
            <w:tcW w:w="1800" w:type="dxa"/>
          </w:tcPr>
          <w:p>
            <w:pPr>
              <w:pBdr/>
              <w:spacing/>
              <w:ind/>
              <w:jc w:val="center"/>
              <w:rPr/>
            </w:pPr>
            <w:r>
              <w:rPr>
                <w:rFonts w:ascii="Times New Roman" w:hAnsi="Times New Roman" w:cs="Times New Roman"/>
                <w:b/>
                <w:i w:val="0"/>
                <w:sz w:val="18"/>
                <w:u w:val="none"/>
              </w:rPr>
              <w:t xml:space="preserve">Package Under Test</w:t>
            </w:r>
            <w:r/>
          </w:p>
        </w:tc>
        <w:tc>
          <w:tcPr>
            <w:shd w:val="clear" w:color="auto" w:fill="eaeaea"/>
            <w:tcBorders/>
            <w:tcMar>
              <w:left w:w="50" w:type="dxa"/>
              <w:top w:w="50" w:type="dxa"/>
              <w:right w:w="50" w:type="dxa"/>
              <w:bottom w:w="50" w:type="dxa"/>
            </w:tcMar>
            <w:tcW w:w="2160" w:type="dxa"/>
          </w:tcPr>
          <w:p>
            <w:pPr>
              <w:pBdr/>
              <w:spacing/>
              <w:ind/>
              <w:jc w:val="center"/>
              <w:rPr/>
            </w:pPr>
            <w:r>
              <w:rPr>
                <w:rFonts w:ascii="Times New Roman" w:hAnsi="Times New Roman" w:cs="Times New Roman"/>
                <w:b/>
                <w:i w:val="0"/>
                <w:sz w:val="18"/>
                <w:u w:val="none"/>
              </w:rPr>
              <w:t xml:space="preserve">Detected Threat Signal</w:t>
            </w:r>
            <w:r/>
          </w:p>
        </w:tc>
        <w:tc>
          <w:tcPr>
            <w:shd w:val="clear" w:color="auto" w:fill="eaeaea"/>
            <w:tcBorders/>
            <w:tcMar>
              <w:left w:w="50" w:type="dxa"/>
              <w:top w:w="50" w:type="dxa"/>
              <w:right w:w="50" w:type="dxa"/>
              <w:bottom w:w="50" w:type="dxa"/>
            </w:tcMar>
            <w:tcW w:w="1584" w:type="dxa"/>
          </w:tcPr>
          <w:p>
            <w:pPr>
              <w:pBdr/>
              <w:spacing/>
              <w:ind/>
              <w:jc w:val="center"/>
              <w:rPr/>
            </w:pPr>
            <w:r>
              <w:rPr>
                <w:rFonts w:ascii="Times New Roman" w:hAnsi="Times New Roman" w:cs="Times New Roman"/>
                <w:b/>
                <w:i w:val="0"/>
                <w:sz w:val="18"/>
                <w:u w:val="none"/>
              </w:rPr>
              <w:t xml:space="preserve">S_raw (Linear Sum)</w:t>
            </w:r>
            <w:r/>
          </w:p>
        </w:tc>
        <w:tc>
          <w:tcPr>
            <w:shd w:val="clear" w:color="auto" w:fill="eaeaea"/>
            <w:tcBorders/>
            <w:tcMar>
              <w:left w:w="50" w:type="dxa"/>
              <w:top w:w="50" w:type="dxa"/>
              <w:right w:w="50" w:type="dxa"/>
              <w:bottom w:w="50" w:type="dxa"/>
            </w:tcMar>
            <w:tcW w:w="1656" w:type="dxa"/>
          </w:tcPr>
          <w:p>
            <w:pPr>
              <w:pBdr/>
              <w:spacing/>
              <w:ind/>
              <w:jc w:val="center"/>
              <w:rPr/>
            </w:pPr>
            <w:r>
              <w:rPr>
                <w:rFonts w:ascii="Times New Roman" w:hAnsi="Times New Roman" w:cs="Times New Roman"/>
                <w:b/>
                <w:i w:val="0"/>
                <w:sz w:val="18"/>
                <w:u w:val="none"/>
              </w:rPr>
              <w:t xml:space="preserve">S_final (Override Shield)</w:t>
            </w:r>
            <w:r/>
          </w:p>
        </w:tc>
        <w:tc>
          <w:tcPr>
            <w:shd w:val="clear" w:color="auto" w:fill="eaeaea"/>
            <w:tcBorders/>
            <w:tcMar>
              <w:left w:w="50" w:type="dxa"/>
              <w:top w:w="50" w:type="dxa"/>
              <w:right w:w="50" w:type="dxa"/>
              <w:bottom w:w="50" w:type="dxa"/>
            </w:tcMar>
            <w:tcW w:w="1800" w:type="dxa"/>
          </w:tcPr>
          <w:p>
            <w:pPr>
              <w:pBdr/>
              <w:spacing/>
              <w:ind/>
              <w:jc w:val="center"/>
              <w:rPr/>
            </w:pPr>
            <w:r>
              <w:rPr>
                <w:rFonts w:ascii="Times New Roman" w:hAnsi="Times New Roman" w:cs="Times New Roman"/>
                <w:b/>
                <w:i w:val="0"/>
                <w:sz w:val="18"/>
                <w:u w:val="none"/>
              </w:rPr>
              <w:t xml:space="preserve">CI/CD Gate Policy Action</w:t>
            </w:r>
            <w:r/>
          </w:p>
        </w:tc>
      </w:tr>
      <w:tr>
        <w:trPr/>
        <w:tc>
          <w:tcPr>
            <w:tcBorders/>
            <w:tcMar>
              <w:left w:w="50" w:type="dxa"/>
              <w:top w:w="40" w:type="dxa"/>
              <w:right w:w="50" w:type="dxa"/>
              <w:bottom w:w="40" w:type="dxa"/>
            </w:tcMar>
            <w:tcW w:w="1800" w:type="dxa"/>
          </w:tcPr>
          <w:p>
            <w:pPr>
              <w:pBdr/>
              <w:spacing/>
              <w:ind/>
              <w:rPr/>
            </w:pPr>
            <w:r>
              <w:rPr>
                <w:rFonts w:ascii="Times New Roman" w:hAnsi="Times New Roman" w:cs="Times New Roman"/>
                <w:b w:val="0"/>
                <w:i w:val="0"/>
                <w:sz w:val="18"/>
                <w:u w:val="none"/>
              </w:rPr>
              <w:t xml:space="preserve">lodsh (0.0.1)</w:t>
            </w:r>
            <w:r/>
          </w:p>
        </w:tc>
        <w:tc>
          <w:tcPr>
            <w:tcBorders/>
            <w:tcMar>
              <w:left w:w="50" w:type="dxa"/>
              <w:top w:w="40" w:type="dxa"/>
              <w:right w:w="50" w:type="dxa"/>
              <w:bottom w:w="40" w:type="dxa"/>
            </w:tcMar>
            <w:tcW w:w="2160" w:type="dxa"/>
          </w:tcPr>
          <w:p>
            <w:pPr>
              <w:pBdr/>
              <w:spacing/>
              <w:ind/>
              <w:rPr/>
            </w:pPr>
            <w:r>
              <w:rPr>
                <w:rFonts w:ascii="Times New Roman" w:hAnsi="Times New Roman" w:cs="Times New Roman"/>
                <w:b w:val="0"/>
                <w:i w:val="0"/>
                <w:sz w:val="18"/>
                <w:u w:val="none"/>
              </w:rPr>
              <w:t xml:space="preserve">Typosquat (S_t = 9.5)</w:t>
            </w:r>
            <w:r/>
          </w:p>
        </w:tc>
        <w:tc>
          <w:tcPr>
            <w:tcBorders/>
            <w:tcMar>
              <w:left w:w="50" w:type="dxa"/>
              <w:top w:w="40" w:type="dxa"/>
              <w:right w:w="50" w:type="dxa"/>
              <w:bottom w:w="40" w:type="dxa"/>
            </w:tcMar>
            <w:tcW w:w="1584" w:type="dxa"/>
          </w:tcPr>
          <w:p>
            <w:pPr>
              <w:pBdr/>
              <w:spacing/>
              <w:ind/>
              <w:jc w:val="center"/>
              <w:rPr/>
            </w:pPr>
            <w:r>
              <w:rPr>
                <w:rFonts w:ascii="Times New Roman" w:hAnsi="Times New Roman" w:cs="Times New Roman"/>
                <w:b w:val="0"/>
                <w:i w:val="0"/>
                <w:sz w:val="18"/>
                <w:u w:val="none"/>
              </w:rPr>
              <w:t xml:space="preserve">3.32 (LOW RISK)</w:t>
            </w:r>
            <w:r/>
          </w:p>
        </w:tc>
        <w:tc>
          <w:tcPr>
            <w:tcBorders/>
            <w:tcMar>
              <w:left w:w="50" w:type="dxa"/>
              <w:top w:w="40" w:type="dxa"/>
              <w:right w:w="50" w:type="dxa"/>
              <w:bottom w:w="40" w:type="dxa"/>
            </w:tcMar>
            <w:tcW w:w="1656" w:type="dxa"/>
          </w:tcPr>
          <w:p>
            <w:pPr>
              <w:pBdr/>
              <w:spacing/>
              <w:ind/>
              <w:jc w:val="center"/>
              <w:rPr/>
            </w:pPr>
            <w:r>
              <w:rPr>
                <w:rFonts w:ascii="Times New Roman" w:hAnsi="Times New Roman" w:cs="Times New Roman"/>
                <w:b w:val="0"/>
                <w:i w:val="0"/>
                <w:sz w:val="18"/>
                <w:u w:val="none"/>
              </w:rPr>
              <w:t xml:space="preserve">9.5 (CRITICAL)</w:t>
            </w:r>
            <w:r/>
          </w:p>
        </w:tc>
        <w:tc>
          <w:tcPr>
            <w:tcBorders/>
            <w:tcMar>
              <w:left w:w="50" w:type="dxa"/>
              <w:top w:w="40" w:type="dxa"/>
              <w:right w:w="50" w:type="dxa"/>
              <w:bottom w:w="40" w:type="dxa"/>
            </w:tcMar>
            <w:tcW w:w="1800" w:type="dxa"/>
          </w:tcPr>
          <w:p>
            <w:pPr>
              <w:pBdr/>
              <w:spacing/>
              <w:ind/>
              <w:rPr/>
            </w:pPr>
            <w:r>
              <w:rPr>
                <w:rFonts w:ascii="Times New Roman" w:hAnsi="Times New Roman" w:cs="Times New Roman"/>
                <w:b w:val="0"/>
                <w:i w:val="0"/>
                <w:sz w:val="18"/>
                <w:u w:val="none"/>
              </w:rPr>
              <w:t xml:space="preserve">BLOCKED (Exit code 1)</w:t>
            </w:r>
            <w:r/>
          </w:p>
        </w:tc>
      </w:tr>
      <w:tr>
        <w:trPr/>
        <w:tc>
          <w:tcPr>
            <w:tcBorders/>
            <w:tcMar>
              <w:left w:w="50" w:type="dxa"/>
              <w:top w:w="40" w:type="dxa"/>
              <w:right w:w="50" w:type="dxa"/>
              <w:bottom w:w="40" w:type="dxa"/>
            </w:tcMar>
            <w:tcW w:w="1800" w:type="dxa"/>
          </w:tcPr>
          <w:p>
            <w:pPr>
              <w:pBdr/>
              <w:spacing/>
              <w:ind/>
              <w:rPr/>
            </w:pPr>
            <w:r>
              <w:rPr>
                <w:rFonts w:ascii="Times New Roman" w:hAnsi="Times New Roman" w:cs="Times New Roman"/>
                <w:b w:val="0"/>
                <w:i w:val="0"/>
                <w:sz w:val="18"/>
                <w:u w:val="none"/>
              </w:rPr>
              <w:t xml:space="preserve">react_dom (18.2.0)</w:t>
            </w:r>
            <w:r/>
          </w:p>
        </w:tc>
        <w:tc>
          <w:tcPr>
            <w:tcBorders/>
            <w:tcMar>
              <w:left w:w="50" w:type="dxa"/>
              <w:top w:w="40" w:type="dxa"/>
              <w:right w:w="50" w:type="dxa"/>
              <w:bottom w:w="40" w:type="dxa"/>
            </w:tcMar>
            <w:tcW w:w="2160" w:type="dxa"/>
          </w:tcPr>
          <w:p>
            <w:pPr>
              <w:pBdr/>
              <w:spacing/>
              <w:ind/>
              <w:rPr/>
            </w:pPr>
            <w:r>
              <w:rPr>
                <w:rFonts w:ascii="Times New Roman" w:hAnsi="Times New Roman" w:cs="Times New Roman"/>
                <w:b w:val="0"/>
                <w:i w:val="0"/>
                <w:sz w:val="18"/>
                <w:u w:val="none"/>
              </w:rPr>
              <w:t xml:space="preserve">Separator Confusion (S_t = 9.5)</w:t>
            </w:r>
            <w:r/>
          </w:p>
        </w:tc>
        <w:tc>
          <w:tcPr>
            <w:tcBorders/>
            <w:tcMar>
              <w:left w:w="50" w:type="dxa"/>
              <w:top w:w="40" w:type="dxa"/>
              <w:right w:w="50" w:type="dxa"/>
              <w:bottom w:w="40" w:type="dxa"/>
            </w:tcMar>
            <w:tcW w:w="1584" w:type="dxa"/>
          </w:tcPr>
          <w:p>
            <w:pPr>
              <w:pBdr/>
              <w:spacing/>
              <w:ind/>
              <w:jc w:val="center"/>
              <w:rPr/>
            </w:pPr>
            <w:r>
              <w:rPr>
                <w:rFonts w:ascii="Times New Roman" w:hAnsi="Times New Roman" w:cs="Times New Roman"/>
                <w:b w:val="0"/>
                <w:i w:val="0"/>
                <w:sz w:val="18"/>
                <w:u w:val="none"/>
              </w:rPr>
              <w:t xml:space="preserve">3.32 (LOW RISK)</w:t>
            </w:r>
            <w:r/>
          </w:p>
        </w:tc>
        <w:tc>
          <w:tcPr>
            <w:tcBorders/>
            <w:tcMar>
              <w:left w:w="50" w:type="dxa"/>
              <w:top w:w="40" w:type="dxa"/>
              <w:right w:w="50" w:type="dxa"/>
              <w:bottom w:w="40" w:type="dxa"/>
            </w:tcMar>
            <w:tcW w:w="1656" w:type="dxa"/>
          </w:tcPr>
          <w:p>
            <w:pPr>
              <w:pBdr/>
              <w:spacing/>
              <w:ind/>
              <w:jc w:val="center"/>
              <w:rPr/>
            </w:pPr>
            <w:r>
              <w:rPr>
                <w:rFonts w:ascii="Times New Roman" w:hAnsi="Times New Roman" w:cs="Times New Roman"/>
                <w:b w:val="0"/>
                <w:i w:val="0"/>
                <w:sz w:val="18"/>
                <w:u w:val="none"/>
              </w:rPr>
              <w:t xml:space="preserve">9.5 (CRITICAL)</w:t>
            </w:r>
            <w:r/>
          </w:p>
        </w:tc>
        <w:tc>
          <w:tcPr>
            <w:tcBorders/>
            <w:tcMar>
              <w:left w:w="50" w:type="dxa"/>
              <w:top w:w="40" w:type="dxa"/>
              <w:right w:w="50" w:type="dxa"/>
              <w:bottom w:w="40" w:type="dxa"/>
            </w:tcMar>
            <w:tcW w:w="1800" w:type="dxa"/>
          </w:tcPr>
          <w:p>
            <w:pPr>
              <w:pBdr/>
              <w:spacing/>
              <w:ind/>
              <w:rPr/>
            </w:pPr>
            <w:r>
              <w:rPr>
                <w:rFonts w:ascii="Times New Roman" w:hAnsi="Times New Roman" w:cs="Times New Roman"/>
                <w:b w:val="0"/>
                <w:i w:val="0"/>
                <w:sz w:val="18"/>
                <w:u w:val="none"/>
              </w:rPr>
              <w:t xml:space="preserve">BLOCKED (Exit code 1)</w:t>
            </w:r>
            <w:r/>
          </w:p>
        </w:tc>
      </w:tr>
      <w:tr>
        <w:trPr/>
        <w:tc>
          <w:tcPr>
            <w:tcBorders/>
            <w:tcMar>
              <w:left w:w="50" w:type="dxa"/>
              <w:top w:w="40" w:type="dxa"/>
              <w:right w:w="50" w:type="dxa"/>
              <w:bottom w:w="40" w:type="dxa"/>
            </w:tcMar>
            <w:tcW w:w="1800" w:type="dxa"/>
          </w:tcPr>
          <w:p>
            <w:pPr>
              <w:pBdr/>
              <w:spacing/>
              <w:ind/>
              <w:rPr/>
            </w:pPr>
            <w:r>
              <w:rPr>
                <w:rFonts w:ascii="Times New Roman" w:hAnsi="Times New Roman" w:cs="Times New Roman"/>
                <w:b w:val="0"/>
                <w:i w:val="0"/>
                <w:sz w:val="18"/>
                <w:u w:val="none"/>
              </w:rPr>
              <w:t xml:space="preserve">log4j-core (2.14.1)</w:t>
            </w:r>
            <w:r/>
          </w:p>
        </w:tc>
        <w:tc>
          <w:tcPr>
            <w:tcBorders/>
            <w:tcMar>
              <w:left w:w="50" w:type="dxa"/>
              <w:top w:w="40" w:type="dxa"/>
              <w:right w:w="50" w:type="dxa"/>
              <w:bottom w:w="40" w:type="dxa"/>
            </w:tcMar>
            <w:tcW w:w="2160" w:type="dxa"/>
          </w:tcPr>
          <w:p>
            <w:pPr>
              <w:pBdr/>
              <w:spacing/>
              <w:ind/>
              <w:rPr/>
            </w:pPr>
            <w:r>
              <w:rPr>
                <w:rFonts w:ascii="Times New Roman" w:hAnsi="Times New Roman" w:cs="Times New Roman"/>
                <w:b w:val="0"/>
                <w:i w:val="0"/>
                <w:sz w:val="18"/>
                <w:u w:val="none"/>
              </w:rPr>
              <w:t xml:space="preserve">Log4Shell RCE (S_v = 10.0)</w:t>
            </w:r>
            <w:r/>
          </w:p>
        </w:tc>
        <w:tc>
          <w:tcPr>
            <w:tcBorders/>
            <w:tcMar>
              <w:left w:w="50" w:type="dxa"/>
              <w:top w:w="40" w:type="dxa"/>
              <w:right w:w="50" w:type="dxa"/>
              <w:bottom w:w="40" w:type="dxa"/>
            </w:tcMar>
            <w:tcW w:w="1584" w:type="dxa"/>
          </w:tcPr>
          <w:p>
            <w:pPr>
              <w:pBdr/>
              <w:spacing/>
              <w:ind/>
              <w:jc w:val="center"/>
              <w:rPr/>
            </w:pPr>
            <w:r>
              <w:rPr>
                <w:rFonts w:ascii="Times New Roman" w:hAnsi="Times New Roman" w:cs="Times New Roman"/>
                <w:b w:val="0"/>
                <w:i w:val="0"/>
                <w:sz w:val="18"/>
                <w:u w:val="none"/>
              </w:rPr>
              <w:t xml:space="preserve">4.50 (LOW RISK)</w:t>
            </w:r>
            <w:r/>
          </w:p>
        </w:tc>
        <w:tc>
          <w:tcPr>
            <w:tcBorders/>
            <w:tcMar>
              <w:left w:w="50" w:type="dxa"/>
              <w:top w:w="40" w:type="dxa"/>
              <w:right w:w="50" w:type="dxa"/>
              <w:bottom w:w="40" w:type="dxa"/>
            </w:tcMar>
            <w:tcW w:w="1656" w:type="dxa"/>
          </w:tcPr>
          <w:p>
            <w:pPr>
              <w:pBdr/>
              <w:spacing/>
              <w:ind/>
              <w:jc w:val="center"/>
              <w:rPr/>
            </w:pPr>
            <w:r>
              <w:rPr>
                <w:rFonts w:ascii="Times New Roman" w:hAnsi="Times New Roman" w:cs="Times New Roman"/>
                <w:b w:val="0"/>
                <w:i w:val="0"/>
                <w:sz w:val="18"/>
                <w:u w:val="none"/>
              </w:rPr>
              <w:t xml:space="preserve">9.5 (CRITICAL)</w:t>
            </w:r>
            <w:r/>
          </w:p>
        </w:tc>
        <w:tc>
          <w:tcPr>
            <w:tcBorders/>
            <w:tcMar>
              <w:left w:w="50" w:type="dxa"/>
              <w:top w:w="40" w:type="dxa"/>
              <w:right w:w="50" w:type="dxa"/>
              <w:bottom w:w="40" w:type="dxa"/>
            </w:tcMar>
            <w:tcW w:w="1800" w:type="dxa"/>
          </w:tcPr>
          <w:p>
            <w:pPr>
              <w:pBdr/>
              <w:spacing/>
              <w:ind/>
              <w:rPr/>
            </w:pPr>
            <w:r>
              <w:rPr>
                <w:rFonts w:ascii="Times New Roman" w:hAnsi="Times New Roman" w:cs="Times New Roman"/>
                <w:b w:val="0"/>
                <w:i w:val="0"/>
                <w:sz w:val="18"/>
                <w:u w:val="none"/>
              </w:rPr>
              <w:t xml:space="preserve">BLOCKED (Exit code 1)</w:t>
            </w:r>
            <w:r/>
          </w:p>
        </w:tc>
      </w:tr>
    </w:tbl>
    <w:p>
      <w:pPr>
        <w:pBdr/>
        <w:spacing w:before="80"/>
        <w:ind/>
        <w:rPr/>
      </w:pPr>
      <w:r>
        <w:rPr>
          <w:rFonts w:ascii="Times New Roman" w:hAnsi="Times New Roman" w:cs="Times New Roman"/>
          <w:b w:val="0"/>
          <w:i w:val="0"/>
          <w:sz w:val="18"/>
          <w:u w:val="none"/>
        </w:rPr>
        <w:t xml:space="preserve">The ablation demonstrates that without the Critical Threat Override Shield, linear weighted summation dilutes hi</w:t>
      </w:r>
      <w:r>
        <w:rPr>
          <w:rFonts w:ascii="Times New Roman" w:hAnsi="Times New Roman" w:cs="Times New Roman"/>
          <w:b w:val="0"/>
          <w:i w:val="0"/>
          <w:sz w:val="18"/>
          <w:u w:val="none"/>
        </w:rPr>
        <w:t xml:space="preserve">gh-severity exploits down into an acceptable 'Low Risk' tier (3.32 to 4.50) due to clean secondary metadata, resulting in false-negative policy bypass. The override shield escalates all three packages to &gt;= 9.5, successfully blocking the vulnerable builds.</w:t>
      </w:r>
      <w:r/>
    </w:p>
    <w:p>
      <w:pPr>
        <w:keepNext w:val="true"/>
        <w:pBdr/>
        <w:spacing w:after="60" w:before="160" w:line="276" w:lineRule="auto"/>
        <w:ind/>
        <w:rPr/>
      </w:pPr>
      <w:r>
        <w:rPr>
          <w:rFonts w:ascii="Times New Roman" w:hAnsi="Times New Roman" w:cs="Times New Roman"/>
          <w:b/>
          <w:i w:val="0"/>
          <w:sz w:val="18"/>
          <w:u w:val="single"/>
        </w:rPr>
        <w:t xml:space="preserve">9. What aspect(s) of the invention need(s) protection?</w:t>
      </w:r>
      <w:r/>
    </w:p>
    <w:p>
      <w:pPr>
        <w:pBdr/>
        <w:spacing/>
        <w:ind/>
        <w:rPr/>
      </w:pPr>
      <w:r>
        <w:rPr>
          <w:rFonts w:ascii="Times New Roman" w:hAnsi="Times New Roman" w:cs="Times New Roman"/>
          <w:b w:val="0"/>
          <w:i w:val="0"/>
          <w:sz w:val="18"/>
          <w:u w:val="none"/>
        </w:rPr>
        <w:t xml:space="preserve">The following candidate technical aspects are identified for review by the inventor and patent counsel for potential patent protection:</w:t>
      </w:r>
      <w:r/>
    </w:p>
    <w:p>
      <w:pPr>
        <w:pBdr/>
        <w:spacing/>
        <w:ind/>
        <w:rPr/>
      </w:pPr>
      <w:r>
        <w:rPr>
          <w:rFonts w:ascii="Times New Roman" w:hAnsi="Times New Roman" w:cs="Times New Roman"/>
          <w:b w:val="0"/>
          <w:i w:val="0"/>
          <w:sz w:val="18"/>
          <w:u w:val="none"/>
        </w:rPr>
        <w:t xml:space="preserve">1. A computer-implemented method for automated software dependency risk assessment in continuous integration pipelines, comprising:</w:t>
      </w:r>
      <w:r/>
    </w:p>
    <w:p>
      <w:pPr>
        <w:pBdr/>
        <w:spacing/>
        <w:ind/>
        <w:rPr/>
      </w:pPr>
      <w:r>
        <w:rPr>
          <w:rFonts w:ascii="Times New Roman" w:hAnsi="Times New Roman" w:cs="Times New Roman"/>
          <w:b w:val="0"/>
          <w:i w:val="0"/>
          <w:sz w:val="18"/>
          <w:u w:val="none"/>
        </w:rPr>
        <w:t xml:space="preserve">- Ingesting a software dependency manifest file and extracting normalized dependency coordinates comprising package identifier, declared version, and ecosystem type;</w:t>
      </w:r>
      <w:r/>
    </w:p>
    <w:p>
      <w:pPr>
        <w:pBdr/>
        <w:spacing/>
        <w:ind/>
        <w:rPr/>
      </w:pPr>
      <w:r>
        <w:rPr>
          <w:rFonts w:ascii="Times New Roman" w:hAnsi="Times New Roman" w:cs="Times New Roman"/>
          <w:b w:val="0"/>
          <w:i w:val="0"/>
          <w:sz w:val="18"/>
          <w:u w:val="none"/>
        </w:rPr>
        <w:t xml:space="preserve">- Executing parallel feature extraction across an edit-distance typosquatting analyzer, an advisory vulnerability mapping analyzer, and a registry maintainer trust analyzer;</w:t>
      </w:r>
      <w:r/>
    </w:p>
    <w:p>
      <w:pPr>
        <w:pBdr/>
        <w:spacing/>
        <w:ind/>
        <w:rPr/>
      </w:pPr>
      <w:r>
        <w:rPr>
          <w:rFonts w:ascii="Times New Roman" w:hAnsi="Times New Roman" w:cs="Times New Roman"/>
          <w:b w:val="0"/>
          <w:i w:val="0"/>
          <w:sz w:val="18"/>
          <w:u w:val="none"/>
        </w:rPr>
        <w:t xml:space="preserve">- Calculating a baseline raw weighted risk score from the analyzers;</w:t>
      </w:r>
      <w:r/>
    </w:p>
    <w:p>
      <w:pPr>
        <w:pBdr/>
        <w:spacing/>
        <w:ind/>
        <w:rPr/>
      </w:pPr>
      <w:r>
        <w:rPr>
          <w:rFonts w:ascii="Times New Roman" w:hAnsi="Times New Roman" w:cs="Times New Roman"/>
          <w:b w:val="0"/>
          <w:i w:val="0"/>
          <w:sz w:val="18"/>
          <w:u w:val="none"/>
        </w:rPr>
        <w:t xml:space="preserve">- Applying a non-linear threat override rule that compares the maximum acute threat vector against predetermined critical thresholds and selectively escalates the final score to prevent benign metadata dilution; and</w:t>
      </w:r>
      <w:r/>
    </w:p>
    <w:p>
      <w:pPr>
        <w:pBdr/>
        <w:spacing/>
        <w:ind/>
        <w:rPr/>
      </w:pPr>
      <w:r>
        <w:rPr>
          <w:rFonts w:ascii="Times New Roman" w:hAnsi="Times New Roman" w:cs="Times New Roman"/>
          <w:b w:val="0"/>
          <w:i w:val="0"/>
          <w:sz w:val="18"/>
          <w:u w:val="none"/>
        </w:rPr>
        <w:t xml:space="preserve">- Evaluating the final score against a policy gate threshold and emitting a deterministic process exit code to halt automated build deployment upon policy breach.</w:t>
      </w:r>
      <w:r/>
    </w:p>
    <w:p>
      <w:pPr>
        <w:pBdr/>
        <w:spacing/>
        <w:ind/>
        <w:rPr/>
      </w:pPr>
      <w:r>
        <w:rPr>
          <w:rFonts w:ascii="Times New Roman" w:hAnsi="Times New Roman" w:cs="Times New Roman"/>
          <w:b w:val="0"/>
          <w:i w:val="0"/>
          <w:sz w:val="18"/>
          <w:u w:val="none"/>
        </w:rPr>
        <w:t xml:space="preserve">2. The non-linear Critical Threat Override Shield mechanism, wherein if the maximum acute threat score M = max(S_vuln, S_typo) exceeds a critical threshold (e.g., 9.0), the final score is mathematically constrained to S_final &gt;= max(S_raw, M </w:t>
      </w:r>
      <w:r>
        <w:rPr>
          <w:rFonts w:ascii="Times New Roman" w:hAnsi="Times New Roman" w:cs="Times New Roman"/>
          <w:b w:val="0"/>
          <w:i/>
          <w:sz w:val="18"/>
          <w:u w:val="none"/>
        </w:rPr>
        <w:t xml:space="preserve"> 0.95), and if M exceeds a high threshold (e.g., 7.5), S_final &gt;= max(S_raw, M </w:t>
      </w:r>
      <w:r>
        <w:rPr>
          <w:rFonts w:ascii="Times New Roman" w:hAnsi="Times New Roman" w:cs="Times New Roman"/>
          <w:b w:val="0"/>
          <w:i w:val="0"/>
          <w:sz w:val="18"/>
          <w:u w:val="none"/>
        </w:rPr>
        <w:t xml:space="preserve"> 0.90), thereby eliminating utility dilution of remote code execution CVEs and active typosquats by benign maintainer history.</w:t>
      </w:r>
      <w:r/>
    </w:p>
    <w:p>
      <w:pPr>
        <w:pBdr/>
        <w:spacing/>
        <w:ind/>
        <w:rPr/>
      </w:pPr>
      <w:r>
        <w:rPr>
          <w:rFonts w:ascii="Times New Roman" w:hAnsi="Times New Roman" w:cs="Times New Roman"/>
          <w:b w:val="0"/>
          <w:i w:val="0"/>
          <w:sz w:val="18"/>
          <w:u w:val="none"/>
        </w:rPr>
        <w:t xml:space="preserve">3. The compound vulnerability severity aggregation formulation:</w:t>
        <w:br/>
        <w:t xml:space="preserve">S_vuln</w:t>
      </w:r>
      <w:r>
        <w:rPr>
          <w:rFonts w:ascii="Times New Roman" w:hAnsi="Times New Roman" w:cs="Times New Roman"/>
          <w:b w:val="0"/>
          <w:i w:val="0"/>
          <w:sz w:val="18"/>
          <w:u w:val="none"/>
        </w:rPr>
        <w:t xml:space="preserve"> = min(10.0, max_{k in A}(CVSS_k) + min(1.0, 0.2 * (|A| - 1)))</w:t>
        <w:br/>
        <w:t xml:space="preserve">which asymptotically bounds multi-vulnerability score accumulation to at most +1.0 above peak CVSS severity, preventing premature score saturation while accounting for compound attack surfaces.</w:t>
      </w:r>
      <w:r/>
    </w:p>
    <w:p>
      <w:pPr>
        <w:pBdr/>
        <w:spacing/>
        <w:ind/>
        <w:rPr/>
      </w:pPr>
      <w:r>
        <w:rPr>
          <w:rFonts w:ascii="Times New Roman" w:hAnsi="Times New Roman" w:cs="Times New Roman"/>
          <w:b w:val="0"/>
          <w:i w:val="0"/>
          <w:sz w:val="18"/>
          <w:u w:val="none"/>
        </w:rPr>
        <w:t xml:space="preserve">4. The rate-limit-resistant embedded caching architecture for CI/CD environments, comprising an embedded SQLite database</w:t>
      </w:r>
      <w:r>
        <w:rPr>
          <w:rFonts w:ascii="Times New Roman" w:hAnsi="Times New Roman" w:cs="Times New Roman"/>
          <w:b w:val="0"/>
          <w:i w:val="0"/>
          <w:sz w:val="18"/>
          <w:u w:val="none"/>
        </w:rPr>
        <w:t xml:space="preserve"> configured in Write-Ahead Logging (WAL) journal mode, namespace-isolated key hashing ('osv' and 'maintainer'), and lazy TTL expiration, permitting concurrent non-blocking reads across parallel CI runners while eliminating HTTP 429 upstream query failures.</w:t>
      </w:r>
      <w:r/>
    </w:p>
    <w:p>
      <w:pPr>
        <w:pBdr/>
        <w:spacing/>
        <w:ind/>
        <w:rPr/>
      </w:pPr>
      <w:r>
        <w:rPr>
          <w:rFonts w:ascii="Times New Roman" w:hAnsi="Times New Roman" w:cs="Times New Roman"/>
          <w:b w:val="0"/>
          <w:i w:val="0"/>
          <w:sz w:val="18"/>
          <w:u w:val="none"/>
        </w:rPr>
        <w:t xml:space="preserve">5. The multi-ecosystem typosquatting and confusion detection</w:t>
      </w:r>
      <w:r>
        <w:rPr>
          <w:rFonts w:ascii="Times New Roman" w:hAnsi="Times New Roman" w:cs="Times New Roman"/>
          <w:b w:val="0"/>
          <w:i w:val="0"/>
          <w:sz w:val="18"/>
          <w:u w:val="none"/>
        </w:rPr>
        <w:t xml:space="preserve"> method combining separator normalization (mapping hyphens to underscores to detect cross-punctuation mimicry) with zero-dependency, alternating two-row Levenshtein distance buffers and Jaro-Winkler similarity calculations against curated package catalogs.</w:t>
      </w:r>
      <w:r/>
    </w:p>
    <w:p>
      <w:pPr>
        <w:pBdr/>
        <w:spacing/>
        <w:ind/>
        <w:rPr/>
      </w:pPr>
      <w:r>
        <w:rPr>
          <w:rFonts w:ascii="Times New Roman" w:hAnsi="Times New Roman" w:cs="Times New Roman"/>
          <w:b w:val="0"/>
          <w:i w:val="0"/>
          <w:sz w:val="18"/>
          <w:u w:val="none"/>
        </w:rPr>
        <w:t xml:space="preserve">6. The reposi</w:t>
      </w:r>
      <w:r>
        <w:rPr>
          <w:rFonts w:ascii="Times New Roman" w:hAnsi="Times New Roman" w:cs="Times New Roman"/>
          <w:b w:val="0"/>
          <w:i w:val="0"/>
          <w:sz w:val="18"/>
          <w:u w:val="none"/>
        </w:rPr>
        <w:t xml:space="preserve">tory-level orchestration method comprising recursive manifest discovery across project trees with build artifact exclusion filtering, paired with differential pull-request auditing that targets only manifest paths modified within a designated commit range.</w:t>
      </w:r>
      <w:r/>
    </w:p>
    <w:p>
      <w:pPr>
        <w:pBdr/>
        <w:spacing/>
        <w:ind/>
        <w:rPr/>
      </w:pPr>
      <w:r>
        <w:rPr>
          <w:rFonts w:ascii="Times New Roman" w:hAnsi="Times New Roman" w:cs="Times New Roman"/>
          <w:b w:val="0"/>
          <w:i w:val="0"/>
          <w:sz w:val="18"/>
          <w:u w:val="none"/>
        </w:rPr>
        <w:t xml:space="preserve">7. Computing apparatus, system architectures, and non-transitory computer-readable storage media embodying executable instructions for performing the aforementioned methods.</w:t>
      </w:r>
      <w:r/>
    </w:p>
    <w:sectPr>
      <w:headerReference w:type="default" r:id="rId9"/>
      <w:footnotePr/>
      <w:endnotePr/>
      <w:type w:val="nextPage"/>
      <w:pgSz w:h="16834" w:orient="portrait" w:w="11909"/>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90"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7146"/>
      <w:gridCol w:w="1260"/>
      <w:gridCol w:w="1454"/>
    </w:tblGrid>
    <w:tr>
      <w:trPr>
        <w:trHeight w:val="551"/>
      </w:trPr>
      <w:tc>
        <w:tcPr>
          <w:tcBorders/>
          <w:tcW w:w="7146" w:type="dxa"/>
          <w:vMerge w:val="restart"/>
        </w:tcPr>
        <w:p w14:paraId="733585A9">
          <w:pPr>
            <w:pStyle w:val="1_2224"/>
            <w:pBdr/>
            <w:spacing w:before="156"/>
            <w:ind/>
            <w:jc w:val="left"/>
            <w:rPr>
              <w:b/>
              <w:sz w:val="24"/>
            </w:rPr>
          </w:pPr>
          <w:r>
            <w:rPr>
              <w:b/>
              <w:sz w:val="24"/>
            </w:rPr>
          </w:r>
          <w:r>
            <mc:AlternateContent>
              <mc:Choice Requires="wpg">
                <w:drawing>
                  <wp:anchor xmlns:wp="http://schemas.openxmlformats.org/drawingml/2006/wordprocessingDrawing" xmlns:wp14="http://schemas.microsoft.com/office/word/2010/wordprocessingDrawing" distT="0" distB="0" distL="0" distR="0" simplePos="0" relativeHeight="487340032" behindDoc="1" locked="0" layoutInCell="1" allowOverlap="1">
                    <wp:simplePos x="0" y="0"/>
                    <wp:positionH relativeFrom="page">
                      <wp:posOffset>-45974</wp:posOffset>
                    </wp:positionH>
                    <wp:positionV relativeFrom="page">
                      <wp:posOffset>-152473</wp:posOffset>
                    </wp:positionV>
                    <wp:extent cx="1247140" cy="180975"/>
                    <wp:effectExtent l="0" t="0" r="0" b="0"/>
                    <wp:wrapNone/>
                    <wp:docPr id="1" name="Textbox 1"/>
                    <wp:cNvGraphicFramePr/>
                    <a:graphic xmlns:a="http://schemas.openxmlformats.org/drawingml/2006/main">
                      <a:graphicData uri="http://schemas.microsoft.com/office/word/2010/wordprocessingShape">
                        <wps:wsp>
                          <wps:cNvPr id="1757893285" name="Textbox 1"/>
                          <wps:cNvSpPr txBox="1"/>
                          <wps:spPr bwMode="auto">
                            <a:xfrm rot="0" flipH="0" flipV="0">
                              <a:off x="0" y="0"/>
                              <a:ext cx="1247139" cy="180974"/>
                            </a:xfrm>
                            <a:prstGeom prst="rect">
                              <a:avLst/>
                            </a:prstGeom>
                          </wps:spPr>
                          <wps:txbx>
                            <w:txbxContent>
                              <w:p w14:paraId="1B4384F3">
                                <w:pPr>
                                  <w:pBdr/>
                                  <w:spacing w:before="11"/>
                                  <w:ind w:right="0" w:firstLine="0" w:left="20"/>
                                  <w:jc w:val="left"/>
                                  <w:rPr>
                                    <w:sz w:val="22"/>
                                  </w:rPr>
                                </w:pPr>
                                <w:r>
                                  <w:rPr>
                                    <w:sz w:val="22"/>
                                  </w:rPr>
                                  <w:t xml:space="preserve">©VIT</w:t>
                                </w:r>
                                <w:r>
                                  <w:rPr>
                                    <w:spacing w:val="-2"/>
                                    <w:sz w:val="22"/>
                                  </w:rPr>
                                  <w:t xml:space="preserve">IPR&amp;TTCELL</w:t>
                                </w:r>
                                <w:r>
                                  <w:rPr>
                                    <w:sz w:val="22"/>
                                  </w:rPr>
                                </w:r>
                                <w:r>
                                  <w:rPr>
                                    <w:sz w:val="22"/>
                                  </w:rPr>
                                </w:r>
                                <w:r>
                                  <w:rPr>
                                    <w:sz w:val="22"/>
                                  </w:rPr>
                                </w:r>
                              </w:p>
                            </w:txbxContent>
                          </wps:txbx>
                          <wps:bodyPr wrap="square" lIns="0" tIns="0" rIns="0" bIns="0" rtlCol="0">
                            <a:noAutofit/>
                          </wps:bodyPr>
                        </wps:wsp>
                      </a:graphicData>
                    </a:graphic>
                  </wp:anchor>
                </w:drawing>
              </mc:Choice>
              <mc:Fallback>
                <w:pict>
                  <v:shape id="shape 0" o:spid="_x0000_s0" o:spt="202" type="#_x0000_t202" style="position:absolute;z-index:-487340032;o:allowoverlap:true;o:allowincell:true;mso-position-horizontal-relative:page;margin-left:-3.62pt;mso-position-horizontal:absolute;mso-position-vertical-relative:page;margin-top:-12.01pt;mso-position-vertical:absolute;width:98.20pt;height:14.25pt;mso-wrap-distance-left:0.00pt;mso-wrap-distance-top:0.00pt;mso-wrap-distance-right:0.00pt;mso-wrap-distance-bottom:0.00pt;rotation:0;visibility:visible;" filled="f">
                    <v:textbox inset="0,0,0,0">
                      <w:txbxContent>
                        <w:p w14:paraId="1B4384F3">
                          <w:pPr>
                            <w:pBdr/>
                            <w:spacing w:before="11"/>
                            <w:ind w:right="0" w:firstLine="0" w:left="20"/>
                            <w:jc w:val="left"/>
                            <w:rPr>
                              <w:sz w:val="22"/>
                            </w:rPr>
                          </w:pPr>
                          <w:r>
                            <w:rPr>
                              <w:sz w:val="22"/>
                            </w:rPr>
                            <w:t xml:space="preserve">©VIT</w:t>
                          </w:r>
                          <w:r>
                            <w:rPr>
                              <w:spacing w:val="-2"/>
                              <w:sz w:val="22"/>
                            </w:rPr>
                            <w:t xml:space="preserve">IPR&amp;TTCELL</w:t>
                          </w:r>
                          <w:r>
                            <w:rPr>
                              <w:sz w:val="22"/>
                            </w:rPr>
                          </w:r>
                          <w:r>
                            <w:rPr>
                              <w:sz w:val="22"/>
                            </w:rPr>
                          </w:r>
                          <w:r>
                            <w:rPr>
                              <w:sz w:val="22"/>
                            </w:rPr>
                          </w:r>
                        </w:p>
                      </w:txbxContent>
                    </v:textbox>
                  </v:shape>
                </w:pict>
              </mc:Fallback>
            </mc:AlternateContent>
          </w:r>
          <w:r>
            <w:rPr>
              <w:b/>
              <w:sz w:val="24"/>
            </w:rPr>
          </w:r>
          <w:r>
            <w:rPr>
              <w:b/>
              <w:sz w:val="24"/>
            </w:rPr>
          </w:r>
        </w:p>
        <w:p w14:paraId="5D88BDED">
          <w:pPr>
            <w:pStyle w:val="1_2224"/>
            <w:pBdr/>
            <w:tabs>
              <w:tab w:val="left" w:leader="none" w:pos="2652"/>
            </w:tabs>
            <w:spacing/>
            <w:ind w:left="374"/>
            <w:jc w:val="left"/>
            <w:rPr>
              <w:b/>
              <w:sz w:val="24"/>
            </w:rPr>
          </w:pPr>
          <w:r>
            <w:rPr>
              <w:position w:val="-18"/>
            </w:rPr>
            <mc:AlternateContent>
              <mc:Choice Requires="wpg">
                <w:drawing>
                  <wp:inline xmlns:wp="http://schemas.openxmlformats.org/drawingml/2006/wordprocessingDrawing" distT="0" distB="0" distL="0" distR="0">
                    <wp:extent cx="1296034" cy="392992"/>
                    <wp:effectExtent l="0" t="0" r="0" b="0"/>
                    <wp:docPr id="2" name="Image 3"/>
                    <wp:cNvGraphicFramePr/>
                    <a:graphic xmlns:a="http://schemas.openxmlformats.org/drawingml/2006/main">
                      <a:graphicData uri="http://schemas.openxmlformats.org/drawingml/2006/picture">
                        <pic:pic xmlns:pic="http://schemas.openxmlformats.org/drawingml/2006/picture">
                          <pic:nvPicPr>
                            <pic:cNvPr id="1951192407" name="Image 3"/>
                            <pic:cNvPicPr/>
                            <pic:nvPr/>
                          </pic:nvPicPr>
                          <pic:blipFill rotWithShape="1">
                            <a:blip r:embed="rId1"/>
                            <a:stretch/>
                          </pic:blipFill>
                          <pic:spPr bwMode="auto">
                            <a:xfrm>
                              <a:off x="0" y="0"/>
                              <a:ext cx="1296033" cy="3929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02.05pt;height:30.94pt;mso-wrap-distance-left:0.00pt;mso-wrap-distance-top:0.00pt;mso-wrap-distance-right:0.00pt;mso-wrap-distance-bottom:0.00pt;z-index:1;" stroked="false">
                    <v:imagedata r:id="rId1" o:title=""/>
                    <o:lock v:ext="edit" rotation="t"/>
                  </v:shape>
                </w:pict>
              </mc:Fallback>
            </mc:AlternateContent>
          </w:r>
          <w:r>
            <w:rPr>
              <w:sz w:val="20"/>
            </w:rPr>
            <w:tab/>
          </w:r>
          <w:r>
            <w:rPr>
              <w:b/>
              <w:sz w:val="24"/>
            </w:rPr>
            <w:t xml:space="preserve">Invention</w:t>
          </w:r>
          <w:r>
            <w:rPr>
              <w:b/>
              <w:spacing w:val="-5"/>
              <w:sz w:val="24"/>
            </w:rPr>
            <w:t xml:space="preserve"> </w:t>
          </w:r>
          <w:r>
            <w:rPr>
              <w:b/>
              <w:sz w:val="24"/>
            </w:rPr>
            <w:t xml:space="preserve">Disclosure</w:t>
          </w:r>
          <w:r>
            <w:rPr>
              <w:b/>
              <w:spacing w:val="-3"/>
              <w:sz w:val="24"/>
            </w:rPr>
            <w:t xml:space="preserve"> </w:t>
          </w:r>
          <w:r>
            <w:rPr>
              <w:b/>
              <w:sz w:val="24"/>
            </w:rPr>
            <w:t xml:space="preserve">Format</w:t>
          </w:r>
          <w:r>
            <w:rPr>
              <w:b/>
              <w:spacing w:val="-2"/>
              <w:sz w:val="24"/>
            </w:rPr>
            <w:t xml:space="preserve"> </w:t>
          </w:r>
          <w:r>
            <w:rPr>
              <w:b/>
              <w:sz w:val="24"/>
            </w:rPr>
            <w:t xml:space="preserve">(IDF)-</w:t>
          </w:r>
          <w:r>
            <w:rPr>
              <w:b/>
              <w:spacing w:val="-10"/>
              <w:sz w:val="24"/>
            </w:rPr>
            <w:t xml:space="preserve">B</w:t>
          </w:r>
          <w:r>
            <w:rPr>
              <w:b/>
              <w:sz w:val="24"/>
            </w:rPr>
          </w:r>
          <w:r>
            <w:rPr>
              <w:b/>
              <w:sz w:val="24"/>
            </w:rPr>
          </w:r>
        </w:p>
      </w:tc>
      <w:tc>
        <w:tcPr>
          <w:tcBorders/>
          <w:tcW w:w="1260" w:type="dxa"/>
        </w:tcPr>
        <w:p w14:paraId="01A8E993">
          <w:pPr>
            <w:pStyle w:val="1_2224"/>
            <w:pBdr/>
            <w:spacing w:before="181"/>
            <w:ind w:right="28" w:left="15"/>
            <w:rPr>
              <w:rFonts w:ascii="Arial"/>
              <w:sz w:val="16"/>
            </w:rPr>
          </w:pPr>
          <w:r>
            <w:rPr>
              <w:rFonts w:ascii="Arial"/>
              <w:sz w:val="16"/>
            </w:rPr>
            <w:t xml:space="preserve">Document</w:t>
          </w:r>
          <w:r>
            <w:rPr>
              <w:rFonts w:ascii="Arial"/>
              <w:spacing w:val="-7"/>
              <w:sz w:val="16"/>
            </w:rPr>
            <w:t xml:space="preserve"> </w:t>
          </w:r>
          <w:r>
            <w:rPr>
              <w:rFonts w:ascii="Arial"/>
              <w:spacing w:val="-5"/>
              <w:sz w:val="16"/>
            </w:rPr>
            <w:t xml:space="preserve">No.</w:t>
          </w:r>
          <w:r>
            <w:rPr>
              <w:rFonts w:ascii="Arial"/>
              <w:sz w:val="16"/>
            </w:rPr>
          </w:r>
          <w:r>
            <w:rPr>
              <w:rFonts w:ascii="Arial"/>
              <w:sz w:val="16"/>
            </w:rPr>
          </w:r>
        </w:p>
      </w:tc>
      <w:tc>
        <w:tcPr>
          <w:tcBorders/>
          <w:tcW w:w="1454" w:type="dxa"/>
        </w:tcPr>
        <w:p w14:paraId="4866BC88">
          <w:pPr>
            <w:pStyle w:val="1_2224"/>
            <w:pBdr/>
            <w:spacing w:before="181"/>
            <w:ind w:left="106"/>
            <w:jc w:val="left"/>
            <w:rPr>
              <w:rFonts w:ascii="Arial"/>
              <w:sz w:val="16"/>
            </w:rPr>
          </w:pPr>
          <w:r>
            <w:rPr>
              <w:rFonts w:ascii="Arial"/>
              <w:spacing w:val="-2"/>
              <w:sz w:val="16"/>
            </w:rPr>
            <w:t xml:space="preserve">02-IPR-</w:t>
          </w:r>
          <w:r>
            <w:rPr>
              <w:rFonts w:ascii="Arial"/>
              <w:spacing w:val="-4"/>
              <w:sz w:val="16"/>
            </w:rPr>
            <w:t xml:space="preserve">R003</w:t>
          </w:r>
          <w:r>
            <w:rPr>
              <w:rFonts w:ascii="Arial"/>
              <w:sz w:val="16"/>
            </w:rPr>
          </w:r>
          <w:r>
            <w:rPr>
              <w:rFonts w:ascii="Arial"/>
              <w:sz w:val="16"/>
            </w:rPr>
          </w:r>
        </w:p>
      </w:tc>
    </w:tr>
    <w:tr>
      <w:trPr>
        <w:trHeight w:val="400"/>
      </w:trPr>
      <w:tc>
        <w:tcPr>
          <w:tcBorders>
            <w:top w:val="none" w:color="000000" w:sz="4" w:space="0"/>
          </w:tcBorders>
          <w:tcW w:w="7146" w:type="dxa"/>
          <w:vMerge w:val="continue"/>
        </w:tcPr>
        <w:p w14:paraId="428E2AAC">
          <w:pPr>
            <w:pBdr/>
            <w:spacing/>
            <w:ind/>
            <w:rPr>
              <w:sz w:val="2"/>
              <w:szCs w:val="2"/>
            </w:rPr>
          </w:pPr>
          <w:r>
            <w:rPr>
              <w:sz w:val="2"/>
              <w:szCs w:val="2"/>
            </w:rPr>
          </w:r>
          <w:r>
            <w:rPr>
              <w:sz w:val="2"/>
              <w:szCs w:val="2"/>
            </w:rPr>
          </w:r>
          <w:r>
            <w:rPr>
              <w:sz w:val="2"/>
              <w:szCs w:val="2"/>
            </w:rPr>
          </w:r>
        </w:p>
      </w:tc>
      <w:tc>
        <w:tcPr>
          <w:tcBorders/>
          <w:tcW w:w="1260" w:type="dxa"/>
        </w:tcPr>
        <w:p w14:paraId="465710A8">
          <w:pPr>
            <w:pStyle w:val="1_2224"/>
            <w:pBdr/>
            <w:spacing w:before="104"/>
            <w:ind w:right="28" w:left="7"/>
            <w:rPr>
              <w:rFonts w:ascii="Arial"/>
              <w:sz w:val="16"/>
            </w:rPr>
          </w:pPr>
          <w:r>
            <w:rPr>
              <w:rFonts w:ascii="Arial"/>
              <w:sz w:val="16"/>
            </w:rPr>
            <w:t xml:space="preserve">Issue</w:t>
          </w:r>
          <w:r>
            <w:rPr>
              <w:rFonts w:ascii="Arial"/>
              <w:spacing w:val="-5"/>
              <w:sz w:val="16"/>
            </w:rPr>
            <w:t xml:space="preserve"> </w:t>
          </w:r>
          <w:r>
            <w:rPr>
              <w:rFonts w:ascii="Arial"/>
              <w:spacing w:val="-2"/>
              <w:sz w:val="16"/>
            </w:rPr>
            <w:t xml:space="preserve">No/Date</w:t>
          </w:r>
          <w:r>
            <w:rPr>
              <w:rFonts w:ascii="Arial"/>
              <w:sz w:val="16"/>
            </w:rPr>
          </w:r>
          <w:r>
            <w:rPr>
              <w:rFonts w:ascii="Arial"/>
              <w:sz w:val="16"/>
            </w:rPr>
          </w:r>
        </w:p>
      </w:tc>
      <w:tc>
        <w:tcPr>
          <w:tcBorders/>
          <w:tcW w:w="1454" w:type="dxa"/>
        </w:tcPr>
        <w:p w14:paraId="7AA1D734">
          <w:pPr>
            <w:pStyle w:val="1_2224"/>
            <w:pBdr/>
            <w:spacing w:before="104"/>
            <w:ind w:left="106"/>
            <w:jc w:val="left"/>
            <w:rPr>
              <w:rFonts w:ascii="Arial"/>
              <w:sz w:val="16"/>
            </w:rPr>
          </w:pPr>
          <w:r>
            <w:rPr>
              <w:rFonts w:ascii="Arial"/>
              <w:spacing w:val="-2"/>
              <w:sz w:val="16"/>
            </w:rPr>
            <w:t xml:space="preserve">2/01.02.2024</w:t>
          </w:r>
          <w:r>
            <w:rPr>
              <w:rFonts w:ascii="Arial"/>
              <w:sz w:val="16"/>
            </w:rPr>
          </w:r>
          <w:r>
            <w:rPr>
              <w:rFonts w:ascii="Arial"/>
              <w:sz w:val="16"/>
            </w:rPr>
          </w:r>
        </w:p>
      </w:tc>
    </w:tr>
    <w:tr>
      <w:trPr>
        <w:trHeight w:val="397"/>
      </w:trPr>
      <w:tc>
        <w:tcPr>
          <w:tcBorders>
            <w:top w:val="none" w:color="000000" w:sz="4" w:space="0"/>
          </w:tcBorders>
          <w:tcW w:w="7146" w:type="dxa"/>
          <w:vMerge w:val="continue"/>
        </w:tcPr>
        <w:p w14:paraId="5DC377E2">
          <w:pPr>
            <w:pBdr/>
            <w:spacing/>
            <w:ind/>
            <w:rPr>
              <w:sz w:val="2"/>
              <w:szCs w:val="2"/>
            </w:rPr>
          </w:pPr>
          <w:r>
            <w:rPr>
              <w:sz w:val="2"/>
              <w:szCs w:val="2"/>
            </w:rPr>
          </w:r>
          <w:r>
            <w:rPr>
              <w:sz w:val="2"/>
              <w:szCs w:val="2"/>
            </w:rPr>
          </w:r>
          <w:r>
            <w:rPr>
              <w:sz w:val="2"/>
              <w:szCs w:val="2"/>
            </w:rPr>
          </w:r>
        </w:p>
      </w:tc>
      <w:tc>
        <w:tcPr>
          <w:tcBorders/>
          <w:tcW w:w="1260" w:type="dxa"/>
        </w:tcPr>
        <w:p w14:paraId="2AC68A38">
          <w:pPr>
            <w:pStyle w:val="1_2224"/>
            <w:pBdr/>
            <w:spacing w:before="104"/>
            <w:ind w:right="28"/>
            <w:rPr>
              <w:rFonts w:ascii="Arial"/>
              <w:sz w:val="16"/>
            </w:rPr>
          </w:pPr>
          <w:r>
            <w:rPr>
              <w:rFonts w:ascii="Arial"/>
              <w:sz w:val="16"/>
            </w:rPr>
            <w:t xml:space="preserve">Amd.</w:t>
          </w:r>
          <w:r>
            <w:rPr>
              <w:rFonts w:ascii="Arial"/>
              <w:spacing w:val="-4"/>
              <w:sz w:val="16"/>
            </w:rPr>
            <w:t xml:space="preserve"> </w:t>
          </w:r>
          <w:r>
            <w:rPr>
              <w:rFonts w:ascii="Arial"/>
              <w:spacing w:val="-2"/>
              <w:sz w:val="16"/>
            </w:rPr>
            <w:t xml:space="preserve">No/Date</w:t>
          </w:r>
          <w:r>
            <w:rPr>
              <w:rFonts w:ascii="Arial"/>
              <w:sz w:val="16"/>
            </w:rPr>
          </w:r>
          <w:r>
            <w:rPr>
              <w:rFonts w:ascii="Arial"/>
              <w:sz w:val="16"/>
            </w:rPr>
          </w:r>
        </w:p>
      </w:tc>
      <w:tc>
        <w:tcPr>
          <w:tcBorders/>
          <w:tcW w:w="1454" w:type="dxa"/>
        </w:tcPr>
        <w:p w14:paraId="1CE0D65E">
          <w:pPr>
            <w:pStyle w:val="1_2224"/>
            <w:pBdr/>
            <w:spacing w:before="104"/>
            <w:ind w:left="106"/>
            <w:jc w:val="left"/>
            <w:rPr>
              <w:rFonts w:ascii="Arial"/>
              <w:sz w:val="16"/>
            </w:rPr>
          </w:pPr>
          <w:r>
            <w:rPr>
              <w:rFonts w:ascii="Arial"/>
              <w:spacing w:val="-2"/>
              <w:sz w:val="16"/>
            </w:rPr>
            <w:t xml:space="preserve">0/00.00.0000</w:t>
          </w:r>
          <w:r>
            <w:rPr>
              <w:rFonts w:ascii="Arial"/>
              <w:sz w:val="16"/>
            </w:rPr>
          </w:r>
          <w:r>
            <w:rPr>
              <w:rFonts w:ascii="Arial"/>
              <w:sz w:val="16"/>
            </w:rPr>
          </w:r>
        </w:p>
      </w:tc>
    </w:tr>
  </w:tbl>
  <w:p w14:paraId="17FA6568">
    <w:pPr>
      <w:pBdr/>
      <w:spacing/>
      <w:ind/>
      <w:rPr/>
    </w:pPr>
    <w:r>
      <w:rPr>
        <w:b w:val="0"/>
        <w:sz w:val="20"/>
      </w:rPr>
    </w:r>
    <w:r/>
    <w:r/>
  </w:p>
  <w:p w14:paraId="7ECFDEF8">
    <w:pPr>
      <w:pStyle w:val="68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60" w:line="276" w:lineRule="auto"/>
      <w:ind/>
    </w:pPr>
    <w:rPr>
      <w:rFonts w:ascii="Times New Roman" w:hAnsi="Times New Roman"/>
      <w:sz w:val="18"/>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_2224" w:customStyle="1">
    <w:name w:val="Table Paragraph"/>
    <w:basedOn w:val="700"/>
    <w:uiPriority w:val="1"/>
    <w:qFormat/>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0" w:left="0"/>
      <w:contextualSpacing w:val="false"/>
      <w:jc w:val="center"/>
    </w:pPr>
    <w:rPr>
      <w:rFonts w:ascii="Times New Roman" w:hAnsi="Times New Roman" w:eastAsia="Times New Roman" w:cs="Times New Roman"/>
      <w:b w:val="0"/>
      <w:bCs w:val="0"/>
      <w:i w:val="0"/>
      <w:iCs w:val="0"/>
      <w:caps w:val="0"/>
      <w:smallCaps w:val="0"/>
      <w:strike w:val="0"/>
      <w:vanish w:val="0"/>
      <w:color w:val="auto"/>
      <w:spacing w:val="0"/>
      <w:position w:val="0"/>
      <w:sz w:val="22"/>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2026-10-22T15:23:48Z</dcterms:modified>
  <cp:category/>
</cp:coreProperties>
</file>