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248574185"/>
        <w:docPartObj>
          <w:docPartGallery w:val="Cover Pages"/>
          <w:docPartUnique/>
        </w:docPartObj>
      </w:sdtPr>
      <w:sdtEndPr>
        <w:rPr>
          <w:rFonts w:eastAsia="Times New Roman" w:cstheme="minorHAnsi"/>
          <w:color w:val="auto"/>
          <w:sz w:val="28"/>
          <w:szCs w:val="28"/>
        </w:rPr>
      </w:sdtEndPr>
      <w:sdtContent>
        <w:p w14:paraId="0FA6E044" w14:textId="77777777" w:rsidR="009F2B49" w:rsidRDefault="009F2B4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2899BD8C" w14:textId="3215F6B9" w:rsidR="009F2B49" w:rsidRDefault="009F2B4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06FF96D" wp14:editId="02C087AB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E785DB7A66E4FB8AAB248688B98301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0960A1" w14:textId="467282EF" w:rsidR="009F2B49" w:rsidRDefault="009F2B4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Research For GreenField lOCAL hUB</w:t>
              </w:r>
            </w:p>
          </w:sdtContent>
        </w:sdt>
        <w:sdt>
          <w:sdtPr>
            <w:rPr>
              <w:rFonts w:ascii="Malgun Gothic" w:hAnsi="Malgun Gothic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2D14F2F168D414A82914FE75E8A9B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CCBFE0" w14:textId="139FE656" w:rsidR="009F2B49" w:rsidRDefault="009F2B4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9F2B49">
                <w:rPr>
                  <w:rFonts w:ascii="Malgun Gothic" w:hAnsi="Malgun Gothic"/>
                  <w:color w:val="4472C4" w:themeColor="accent1"/>
                  <w:sz w:val="28"/>
                  <w:szCs w:val="28"/>
                </w:rPr>
                <w:t>For Greenfield Local Hub</w:t>
              </w:r>
            </w:p>
          </w:sdtContent>
        </w:sdt>
        <w:p w14:paraId="58E9E7D7" w14:textId="77777777" w:rsidR="009F2B49" w:rsidRDefault="009F2B4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216006" wp14:editId="2E6D82C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Malgun Gothic" w:hAnsi="Malgun Gothic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6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9010FD8" w14:textId="706CDC1C" w:rsidR="009F2B49" w:rsidRDefault="009F2B4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Malgun Gothic" w:hAnsi="Malgun Gothic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16 March 2026</w:t>
                                    </w:r>
                                  </w:p>
                                </w:sdtContent>
                              </w:sdt>
                              <w:p w14:paraId="28C9A5EA" w14:textId="5525A6F0" w:rsidR="009F2B49" w:rsidRDefault="009F2B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Malgun Gothic" w:hAnsi="Malgun Gothic"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F2B49">
                                      <w:rPr>
                                        <w:rFonts w:ascii="Malgun Gothic" w:hAnsi="Malgun Gothic"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For Greenfield Local Hub</w:t>
                                    </w:r>
                                  </w:sdtContent>
                                </w:sdt>
                              </w:p>
                              <w:p w14:paraId="5AEED0AE" w14:textId="5EBAE3D3" w:rsidR="009F2B49" w:rsidRDefault="009F2B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2160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Malgun Gothic" w:hAnsi="Malgun Gothic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6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9010FD8" w14:textId="706CDC1C" w:rsidR="009F2B49" w:rsidRDefault="009F2B4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16 March 2026</w:t>
                              </w:r>
                            </w:p>
                          </w:sdtContent>
                        </w:sdt>
                        <w:p w14:paraId="28C9A5EA" w14:textId="5525A6F0" w:rsidR="009F2B49" w:rsidRDefault="009F2B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Malgun Gothic" w:hAnsi="Malgun Gothic"/>
                                <w:color w:val="4472C4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F2B49">
                                <w:rPr>
                                  <w:rFonts w:ascii="Malgun Gothic" w:hAnsi="Malgun Gothic"/>
                                  <w:color w:val="4472C4" w:themeColor="accent1"/>
                                  <w:sz w:val="28"/>
                                  <w:szCs w:val="28"/>
                                </w:rPr>
                                <w:t>For Greenfield Local Hub</w:t>
                              </w:r>
                            </w:sdtContent>
                          </w:sdt>
                        </w:p>
                        <w:p w14:paraId="5AEED0AE" w14:textId="5EBAE3D3" w:rsidR="009F2B49" w:rsidRDefault="009F2B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A3FBAEE" wp14:editId="39F308BD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3D648D" w14:textId="4602D4C1" w:rsidR="009F2B49" w:rsidRDefault="009F2B49">
          <w:pPr>
            <w:rPr>
              <w:rFonts w:eastAsia="Times New Roman" w:cstheme="minorHAnsi"/>
              <w:sz w:val="28"/>
              <w:szCs w:val="28"/>
              <w:lang w:eastAsia="en-GB"/>
            </w:rPr>
          </w:pPr>
          <w:r>
            <w:rPr>
              <w:rFonts w:eastAsia="Times New Roman" w:cstheme="minorHAnsi"/>
              <w:sz w:val="28"/>
              <w:szCs w:val="28"/>
              <w:lang w:eastAsia="en-GB"/>
            </w:rPr>
            <w:br w:type="page"/>
          </w:r>
        </w:p>
      </w:sdtContent>
    </w:sdt>
    <w:p w14:paraId="5B0D6BA6" w14:textId="3DC5543C" w:rsidR="000E45C3" w:rsidRDefault="00B75C18" w:rsidP="00B75C18">
      <w:pPr>
        <w:jc w:val="center"/>
        <w:rPr>
          <w:b/>
          <w:bCs/>
          <w:sz w:val="28"/>
          <w:szCs w:val="28"/>
          <w:u w:val="single"/>
        </w:rPr>
      </w:pPr>
      <w:r w:rsidRPr="00B75C18">
        <w:rPr>
          <w:b/>
          <w:bCs/>
          <w:sz w:val="28"/>
          <w:szCs w:val="28"/>
          <w:u w:val="single"/>
        </w:rPr>
        <w:lastRenderedPageBreak/>
        <w:t>Two Existing Apps/Website</w:t>
      </w:r>
    </w:p>
    <w:p w14:paraId="7F47B9E0" w14:textId="46C3DA86" w:rsidR="00B75C18" w:rsidRDefault="00B75C18" w:rsidP="0064066B">
      <w:pPr>
        <w:pStyle w:val="Heading1"/>
      </w:pPr>
      <w:r w:rsidRPr="00B75C18">
        <w:t>App1</w:t>
      </w:r>
      <w:r>
        <w:t xml:space="preserve">: </w:t>
      </w:r>
      <w:proofErr w:type="spellStart"/>
      <w:r>
        <w:t>Farmdrop</w:t>
      </w:r>
      <w:proofErr w:type="spellEnd"/>
      <w:r>
        <w:t xml:space="preserve"> </w:t>
      </w:r>
    </w:p>
    <w:p w14:paraId="62A33007" w14:textId="661EB9A0" w:rsidR="00B75C18" w:rsidRDefault="00B75C18" w:rsidP="00B75C1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Farmdrop</w:t>
      </w:r>
      <w:proofErr w:type="spellEnd"/>
      <w:r>
        <w:rPr>
          <w:sz w:val="28"/>
          <w:szCs w:val="28"/>
        </w:rPr>
        <w:t xml:space="preserve"> is an online platform connecting local farmers and producers directly to customers. </w:t>
      </w:r>
    </w:p>
    <w:p w14:paraId="4A89E0D3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Key Features:</w:t>
      </w:r>
    </w:p>
    <w:p w14:paraId="2682E109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Online ordering for delivery and collection of local food products</w:t>
      </w:r>
    </w:p>
    <w:p w14:paraId="05FFDCB5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Customer accounts with order history</w:t>
      </w:r>
    </w:p>
    <w:p w14:paraId="43C2B557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Detailed producer profiles and transparency about sourcing and methods</w:t>
      </w:r>
    </w:p>
    <w:p w14:paraId="1FB39D2E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Promotions, discounts, and seasonal offers</w:t>
      </w:r>
    </w:p>
    <w:p w14:paraId="48A1A7A1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Secure online payments</w:t>
      </w:r>
    </w:p>
    <w:p w14:paraId="7CA8B4FC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Strengths:</w:t>
      </w:r>
    </w:p>
    <w:p w14:paraId="6F341E28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Focuses entirely on local food producers, building trust with customers</w:t>
      </w:r>
    </w:p>
    <w:p w14:paraId="3D75D30D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User-friendly interface with clear product availability</w:t>
      </w:r>
    </w:p>
    <w:p w14:paraId="6C2E7090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Producers can manage inventory and orders efficiently</w:t>
      </w:r>
    </w:p>
    <w:p w14:paraId="4CA13228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Encourages buying locally, supporting sustainable practices</w:t>
      </w:r>
    </w:p>
    <w:p w14:paraId="5F0E0D75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Weaknesses:</w:t>
      </w:r>
    </w:p>
    <w:p w14:paraId="3927350B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Limited loyalty program integration beyond basic offers</w:t>
      </w:r>
    </w:p>
    <w:p w14:paraId="302AC448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 xml:space="preserve">Branding primarily </w:t>
      </w:r>
      <w:proofErr w:type="spellStart"/>
      <w:r w:rsidRPr="00B75C18">
        <w:rPr>
          <w:rFonts w:asciiTheme="minorHAnsi" w:hAnsiTheme="minorHAnsi" w:cstheme="minorHAnsi"/>
          <w:sz w:val="28"/>
          <w:szCs w:val="28"/>
        </w:rPr>
        <w:t>centered</w:t>
      </w:r>
      <w:proofErr w:type="spellEnd"/>
      <w:r w:rsidRPr="00B75C18">
        <w:rPr>
          <w:rFonts w:asciiTheme="minorHAnsi" w:hAnsiTheme="minorHAnsi" w:cstheme="minorHAnsi"/>
          <w:sz w:val="28"/>
          <w:szCs w:val="28"/>
        </w:rPr>
        <w:t xml:space="preserve"> on the platform, not individual producers</w:t>
      </w:r>
    </w:p>
    <w:p w14:paraId="73B8DD76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Delivery may not cover all regions</w:t>
      </w:r>
    </w:p>
    <w:p w14:paraId="1614F9DF" w14:textId="77777777" w:rsidR="00B75C18" w:rsidRPr="00B75C18" w:rsidRDefault="00B75C18" w:rsidP="00B75C1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4066B">
        <w:rPr>
          <w:rStyle w:val="Heading2Char"/>
        </w:rPr>
        <w:t>Relevance to GLH:</w:t>
      </w:r>
      <w:r w:rsidRPr="0064066B">
        <w:rPr>
          <w:rStyle w:val="Heading2Char"/>
        </w:rPr>
        <w:br/>
      </w:r>
      <w:proofErr w:type="spellStart"/>
      <w:r w:rsidRPr="00B75C18">
        <w:rPr>
          <w:rFonts w:asciiTheme="minorHAnsi" w:hAnsiTheme="minorHAnsi" w:cstheme="minorHAnsi"/>
          <w:sz w:val="28"/>
          <w:szCs w:val="28"/>
        </w:rPr>
        <w:t>Farmdrop</w:t>
      </w:r>
      <w:proofErr w:type="spellEnd"/>
      <w:r w:rsidRPr="00B75C18">
        <w:rPr>
          <w:rFonts w:asciiTheme="minorHAnsi" w:hAnsiTheme="minorHAnsi" w:cstheme="minorHAnsi"/>
          <w:sz w:val="28"/>
          <w:szCs w:val="28"/>
        </w:rPr>
        <w:t xml:space="preserve"> demonstrates how an online marketplace can connect customers with local producers, manage orders, and provide product transparency. GLH can adopt a similar model but add a more robust loyalty scheme and a branded system tailored to their cooperative.</w:t>
      </w:r>
    </w:p>
    <w:p w14:paraId="43C41913" w14:textId="77777777" w:rsidR="00B75C18" w:rsidRDefault="00B75C18" w:rsidP="0064066B">
      <w:pPr>
        <w:pStyle w:val="Heading1"/>
      </w:pPr>
    </w:p>
    <w:p w14:paraId="57212044" w14:textId="34E4DFB9" w:rsidR="00B75C18" w:rsidRDefault="00B75C18" w:rsidP="0064066B">
      <w:pPr>
        <w:pStyle w:val="Heading1"/>
      </w:pPr>
      <w:r>
        <w:t xml:space="preserve">App2: Local Food </w:t>
      </w:r>
      <w:proofErr w:type="spellStart"/>
      <w:r>
        <w:t>MarketMaker</w:t>
      </w:r>
      <w:proofErr w:type="spellEnd"/>
      <w:r>
        <w:t xml:space="preserve"> </w:t>
      </w:r>
    </w:p>
    <w:p w14:paraId="1127558E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is a platform designed to help local producers showcase products to consumers and businesses.</w:t>
      </w:r>
    </w:p>
    <w:p w14:paraId="2D09E55B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lastRenderedPageBreak/>
        <w:t>Key Features:</w:t>
      </w:r>
    </w:p>
    <w:p w14:paraId="6FB09372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Producer profiles with product details and sourcing information</w:t>
      </w:r>
    </w:p>
    <w:p w14:paraId="64156FE0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Online ordering and product availability display</w:t>
      </w:r>
    </w:p>
    <w:p w14:paraId="2571E122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Customer accounts with order tracking and history</w:t>
      </w:r>
    </w:p>
    <w:p w14:paraId="1CD69964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Dashboard for producers to manage stock and view orders</w:t>
      </w:r>
    </w:p>
    <w:p w14:paraId="6FC7421B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Scheduling and order management features</w:t>
      </w:r>
    </w:p>
    <w:p w14:paraId="4A3FE92A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t>Strengths:</w:t>
      </w:r>
    </w:p>
    <w:p w14:paraId="10E0C4B5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Strong focus on local food supply chain and producer visibility</w:t>
      </w:r>
    </w:p>
    <w:p w14:paraId="19E6FC11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Provides a complete producer dashboard for inventory management</w:t>
      </w:r>
    </w:p>
    <w:p w14:paraId="4D60E760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Supports a wide range of products and order types</w:t>
      </w:r>
    </w:p>
    <w:p w14:paraId="1999277E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Flexible for both B2C (customers) and B2B (restaurants, stores)</w:t>
      </w:r>
    </w:p>
    <w:p w14:paraId="238CC98B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t>Weaknesses:</w:t>
      </w:r>
    </w:p>
    <w:p w14:paraId="6B1C98E2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Limited customer loyalty program options</w:t>
      </w:r>
    </w:p>
    <w:p w14:paraId="43220991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User interface is more functional than visually engaging</w:t>
      </w:r>
    </w:p>
    <w:p w14:paraId="0BD5D612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Delivery options depend on individual producers rather than centralized logistics</w:t>
      </w:r>
    </w:p>
    <w:p w14:paraId="25823493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Style w:val="Heading2Char"/>
          <w:lang w:eastAsia="en-GB"/>
        </w:rPr>
        <w:t>Relevance to GLH:</w:t>
      </w:r>
      <w:r w:rsidRPr="0064066B">
        <w:rPr>
          <w:rFonts w:eastAsia="Times New Roman" w:cstheme="minorHAnsi"/>
          <w:sz w:val="28"/>
          <w:szCs w:val="28"/>
          <w:lang w:eastAsia="en-GB"/>
        </w:rPr>
        <w:br/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illustrates effective producer and stock management in a marketplace context. GLH can use similar dashboard and ordering features while integrating loyalty programs, promotions, and a more attractive, customer-friendly interface.</w:t>
      </w:r>
    </w:p>
    <w:p w14:paraId="0F27C28C" w14:textId="6B9673C8" w:rsidR="0064066B" w:rsidRPr="0064066B" w:rsidRDefault="0064066B" w:rsidP="0064066B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14:paraId="035F31DB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Style w:val="Heading1Char"/>
          <w:lang w:eastAsia="en-GB"/>
        </w:rPr>
        <w:t>Conclusion of Market Research for GLH:</w:t>
      </w:r>
      <w:r w:rsidRPr="0064066B">
        <w:rPr>
          <w:rStyle w:val="Heading1Char"/>
          <w:lang w:eastAsia="en-GB"/>
        </w:rPr>
        <w:br/>
      </w:r>
      <w:r w:rsidRPr="0064066B">
        <w:rPr>
          <w:rFonts w:eastAsia="Times New Roman" w:cstheme="minorHAnsi"/>
          <w:sz w:val="28"/>
          <w:szCs w:val="28"/>
          <w:lang w:eastAsia="en-GB"/>
        </w:rPr>
        <w:t xml:space="preserve">Existing platforms like </w:t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Farmdrop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and </w:t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focus on either customer ordering or producer management, but rarely combine all features seamlessly. GLH’s digital solution will combine:</w:t>
      </w:r>
    </w:p>
    <w:p w14:paraId="76084C7D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Online ordering for delivery and collection</w:t>
      </w:r>
    </w:p>
    <w:p w14:paraId="376B3E83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Detailed producer profiles and local sourcing info</w:t>
      </w:r>
    </w:p>
    <w:p w14:paraId="2849FF08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Customer accounts with order history</w:t>
      </w:r>
    </w:p>
    <w:p w14:paraId="39C9AEC6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Promotions and loyalty rewards</w:t>
      </w:r>
    </w:p>
    <w:p w14:paraId="0942A5BE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A producer dashboard for stock, product, and order management</w:t>
      </w:r>
    </w:p>
    <w:p w14:paraId="5CDD2C42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lastRenderedPageBreak/>
        <w:t>This approach ensures a fully branded solution that gives GLH control over both the customer experience and the cooperative’s operations.</w:t>
      </w:r>
    </w:p>
    <w:p w14:paraId="4B678CE8" w14:textId="77777777" w:rsidR="0064066B" w:rsidRPr="0064066B" w:rsidRDefault="0064066B" w:rsidP="00B75C18">
      <w:pPr>
        <w:rPr>
          <w:rFonts w:cstheme="minorHAnsi"/>
          <w:sz w:val="28"/>
          <w:szCs w:val="28"/>
        </w:rPr>
      </w:pPr>
    </w:p>
    <w:sectPr w:rsidR="0064066B" w:rsidRPr="0064066B" w:rsidSect="009F2B4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66F"/>
    <w:multiLevelType w:val="multilevel"/>
    <w:tmpl w:val="5A6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208F"/>
    <w:multiLevelType w:val="multilevel"/>
    <w:tmpl w:val="9A5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42B0"/>
    <w:multiLevelType w:val="multilevel"/>
    <w:tmpl w:val="231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27A5B"/>
    <w:multiLevelType w:val="multilevel"/>
    <w:tmpl w:val="88F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11C1D"/>
    <w:multiLevelType w:val="multilevel"/>
    <w:tmpl w:val="8BB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565C1"/>
    <w:multiLevelType w:val="multilevel"/>
    <w:tmpl w:val="DD2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270C7"/>
    <w:multiLevelType w:val="multilevel"/>
    <w:tmpl w:val="C54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18"/>
    <w:rsid w:val="000E45C3"/>
    <w:rsid w:val="003A3593"/>
    <w:rsid w:val="0064066B"/>
    <w:rsid w:val="006945FF"/>
    <w:rsid w:val="007D4053"/>
    <w:rsid w:val="009F2B49"/>
    <w:rsid w:val="00B7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833E"/>
  <w15:chartTrackingRefBased/>
  <w15:docId w15:val="{070A143C-2FA8-4EA2-A90B-8DDAC168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75C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40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6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9F2B49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9F2B49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E785DB7A66E4FB8AAB248688B983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4D7FB-BFAB-4005-AA5C-F07E22D19943}"/>
      </w:docPartPr>
      <w:docPartBody>
        <w:p w:rsidR="00000000" w:rsidRDefault="00490B79" w:rsidP="00490B79">
          <w:pPr>
            <w:pStyle w:val="6E785DB7A66E4FB8AAB248688B98301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2D14F2F168D414A82914FE75E8A9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A3B57-A47A-4AF1-AACB-852338F00BD9}"/>
      </w:docPartPr>
      <w:docPartBody>
        <w:p w:rsidR="00000000" w:rsidRDefault="00490B79" w:rsidP="00490B79">
          <w:pPr>
            <w:pStyle w:val="82D14F2F168D414A82914FE75E8A9BC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79"/>
    <w:rsid w:val="003F186B"/>
    <w:rsid w:val="0049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785DB7A66E4FB8AAB248688B983018">
    <w:name w:val="6E785DB7A66E4FB8AAB248688B983018"/>
    <w:rsid w:val="00490B79"/>
  </w:style>
  <w:style w:type="paragraph" w:customStyle="1" w:styleId="82D14F2F168D414A82914FE75E8A9BC6">
    <w:name w:val="82D14F2F168D414A82914FE75E8A9BC6"/>
    <w:rsid w:val="00490B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 Greenfield Local Hub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For GreenField lOCAL hUB</dc:title>
  <dc:subject>For Greenfield Local Hub</dc:subject>
  <dc:creator>Digi-T-Y2-2@dom.sandwell.ac.uk</dc:creator>
  <cp:keywords/>
  <dc:description/>
  <cp:lastModifiedBy>Digi-T-Y2-2@dom.sandwell.ac.uk</cp:lastModifiedBy>
  <cp:revision>2</cp:revision>
  <dcterms:created xsi:type="dcterms:W3CDTF">2026-03-16T14:46:00Z</dcterms:created>
  <dcterms:modified xsi:type="dcterms:W3CDTF">2026-03-16T14:46:00Z</dcterms:modified>
</cp:coreProperties>
</file>