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Calibri" w:hAnsi="Calibri"/>
          <w:b/>
          <w:color w:val="003876"/>
          <w:sz w:val="34"/>
        </w:rPr>
        <w:t>BALTICPLUS LOYALTY &amp; PROMOTIONAL ANALYTICS — BOARD REPORT</w:t>
      </w:r>
    </w:p>
    <w:p>
      <w:pPr>
        <w:spacing w:before="0" w:after="120"/>
        <w:pBdr>
          <w:bottom w:val="single" w:sz="6" w:space="4" w:color="D0D7DE"/>
        </w:pBdr>
      </w:pPr>
      <w:r>
        <w:rPr>
          <w:rFonts w:ascii="Calibri" w:hAnsi="Calibri"/>
          <w:b/>
          <w:color w:val="525E6C"/>
          <w:sz w:val="19"/>
        </w:rPr>
        <w:t>End-to-End POS Sales Data Cleaning • Pre/Post Campaign Incrementality • Basket Halo Effect • Customer RFM Segmentation</w:t>
        <w:br/>
        <w:t>Author: Debbrata Kumar Adhikary (Vilnius, Lithuania)  |  Scope: 140 Baltic Stores (LT, LV, EE) • 50,000 Loyalty Members • 520,000 Validated Baskets</w:t>
      </w:r>
    </w:p>
    <w:p>
      <w:pPr>
        <w:keepNext/>
        <w:spacing w:before="200" w:after="80"/>
        <w:pBdr>
          <w:bottom w:val="single" w:sz="8" w:space="2" w:color="003876"/>
        </w:pBdr>
      </w:pPr>
      <w:r>
        <w:rPr>
          <w:rFonts w:ascii="Calibri" w:hAnsi="Calibri"/>
          <w:b/>
          <w:color w:val="003876"/>
          <w:sz w:val="23"/>
        </w:rPr>
        <w:t>1. EXECUTIVE OVERVIEW &amp; BALTIC MARKET PERFORMANCE (LT, LV, EE)</w:t>
      </w:r>
    </w:p>
    <w:p>
      <w:pPr>
        <w:spacing w:line="276" w:lineRule="auto" w:after="80"/>
      </w:pPr>
      <w:r>
        <w:rPr>
          <w:rFonts w:ascii="Calibri" w:hAnsi="Calibri"/>
          <w:color w:val="1E242B"/>
          <w:sz w:val="19"/>
        </w:rPr>
        <w:t>Across 528,390 raw POS transaction records ingested from 140 Baltic stores (87 in Lithuania, 30 in Latvia, 23 in Estonia), our automated SQL and Python data quality pipeline removed 3,420 duplicate receipt scans, isolated 2,180 negative refund rows, imputed 1,150 missing store terminal IDs, and reconciled 1,640 unredeemed coupon glitches—yielding 520,000 validated Gold-layer baskets representing €13.08M in net sales.</w:t>
        <w:br/>
        <w:t>• Loyalty App Penetration: 68.0% of all Baltic transactions and 79.1% of total net revenue (€10.35M) are generated via Loyalty App scans.</w:t>
        <w:br/>
        <w:t>• Basket Value Uplift: Loyalty App baskets average €29.26 compared to €16.43 for non-loyalty guest baskets—an uplift of +€12.83 (+78.1%) per visit.</w:t>
      </w:r>
    </w:p>
    <w:p>
      <w:pPr>
        <w:spacing w:after="40"/>
        <w:jc w:val="center"/>
      </w:pPr>
      <w:r>
        <w:drawing>
          <wp:inline xmlns:a="http://schemas.openxmlformats.org/drawingml/2006/main" xmlns:pic="http://schemas.openxmlformats.org/drawingml/2006/picture">
            <wp:extent cx="4248000" cy="2498824"/>
            <wp:docPr id="1" name="Picture 1"/>
            <wp:cNvGraphicFramePr>
              <a:graphicFrameLocks noChangeAspect="1"/>
            </wp:cNvGraphicFramePr>
            <a:graphic>
              <a:graphicData uri="http://schemas.openxmlformats.org/drawingml/2006/picture">
                <pic:pic>
                  <pic:nvPicPr>
                    <pic:cNvPr id="0" name="03_baltic_country_basket_comparison.png"/>
                    <pic:cNvPicPr/>
                  </pic:nvPicPr>
                  <pic:blipFill>
                    <a:blip r:embed="rId9"/>
                    <a:stretch>
                      <a:fillRect/>
                    </a:stretch>
                  </pic:blipFill>
                  <pic:spPr>
                    <a:xfrm>
                      <a:off x="0" y="0"/>
                      <a:ext cx="4248000" cy="2498824"/>
                    </a:xfrm>
                    <a:prstGeom prst="rect"/>
                  </pic:spPr>
                </pic:pic>
              </a:graphicData>
            </a:graphic>
          </wp:inline>
        </w:drawing>
      </w:r>
    </w:p>
    <w:p>
      <w:pPr>
        <w:keepNext/>
        <w:spacing w:before="200" w:after="80"/>
        <w:pBdr>
          <w:bottom w:val="single" w:sz="8" w:space="2" w:color="003876"/>
        </w:pBdr>
      </w:pPr>
      <w:r>
        <w:rPr>
          <w:rFonts w:ascii="Calibri" w:hAnsi="Calibri"/>
          <w:b/>
          <w:color w:val="003876"/>
          <w:sz w:val="23"/>
        </w:rPr>
        <w:t>2. END-TO-END CAMPAIGN PRE/POST INCREMENTALITY &amp; MARKET BASKET HALO EFFECT</w:t>
      </w:r>
    </w:p>
    <w:p>
      <w:pPr>
        <w:spacing w:line="269" w:lineRule="auto" w:after="60"/>
      </w:pPr>
      <w:r>
        <w:rPr>
          <w:rFonts w:ascii="Calibri" w:hAnsi="Calibri"/>
          <w:color w:val="1E242B"/>
          <w:sz w:val="19"/>
        </w:rPr>
        <w:t>Evaluating campaigns solely by redemption count hides two major margin leaks: (1) Cannibalization (subsidizing loyal customers who would have bought the item at full price) and (2) Pantry-Loading / Stockpiling (where deep discounts on non-perishables cause a -26.5% sales collapse in the 4 weeks post-campaign). Using Difference-in-Differences across 4 weeks Pre, Promo Week, and 4 weeks Post, we classified all 12 campaigns:</w:t>
      </w:r>
    </w:p>
    <w:p>
      <w:pPr>
        <w:spacing w:after="40"/>
        <w:jc w:val="center"/>
      </w:pPr>
      <w:r>
        <w:drawing>
          <wp:inline xmlns:a="http://schemas.openxmlformats.org/drawingml/2006/main" xmlns:pic="http://schemas.openxmlformats.org/drawingml/2006/picture">
            <wp:extent cx="5220000" cy="2589120"/>
            <wp:docPr id="2" name="Picture 2"/>
            <wp:cNvGraphicFramePr>
              <a:graphicFrameLocks noChangeAspect="1"/>
            </wp:cNvGraphicFramePr>
            <a:graphic>
              <a:graphicData uri="http://schemas.openxmlformats.org/drawingml/2006/picture">
                <pic:pic>
                  <pic:nvPicPr>
                    <pic:cNvPr id="0" name="01_campaign_net_incremental_roi.png"/>
                    <pic:cNvPicPr/>
                  </pic:nvPicPr>
                  <pic:blipFill>
                    <a:blip r:embed="rId10"/>
                    <a:stretch>
                      <a:fillRect/>
                    </a:stretch>
                  </pic:blipFill>
                  <pic:spPr>
                    <a:xfrm>
                      <a:off x="0" y="0"/>
                      <a:ext cx="5220000" cy="2589120"/>
                    </a:xfrm>
                    <a:prstGeom prst="rect"/>
                  </pic:spPr>
                </pic:pic>
              </a:graphicData>
            </a:graphic>
          </wp:inline>
        </w:drawing>
      </w:r>
    </w:p>
    <w:p>
      <w:pPr>
        <w:spacing w:after="40"/>
        <w:jc w:val="center"/>
      </w:pPr>
      <w:r>
        <w:drawing>
          <wp:inline xmlns:a="http://schemas.openxmlformats.org/drawingml/2006/main" xmlns:pic="http://schemas.openxmlformats.org/drawingml/2006/picture">
            <wp:extent cx="4608000" cy="2282057"/>
            <wp:docPr id="3" name="Picture 3"/>
            <wp:cNvGraphicFramePr>
              <a:graphicFrameLocks noChangeAspect="1"/>
            </wp:cNvGraphicFramePr>
            <a:graphic>
              <a:graphicData uri="http://schemas.openxmlformats.org/drawingml/2006/picture">
                <pic:pic>
                  <pic:nvPicPr>
                    <pic:cNvPr id="0" name="02_pre_post_campaign_trajectory.png"/>
                    <pic:cNvPicPr/>
                  </pic:nvPicPr>
                  <pic:blipFill>
                    <a:blip r:embed="rId11"/>
                    <a:stretch>
                      <a:fillRect/>
                    </a:stretch>
                  </pic:blipFill>
                  <pic:spPr>
                    <a:xfrm>
                      <a:off x="0" y="0"/>
                      <a:ext cx="4608000" cy="2282057"/>
                    </a:xfrm>
                    <a:prstGeom prst="rect"/>
                  </pic:spPr>
                </pic:pic>
              </a:graphicData>
            </a:graphic>
          </wp:inline>
        </w:drawing>
      </w:r>
    </w:p>
    <w:p>
      <w:pPr>
        <w:keepNext/>
        <w:spacing w:before="200" w:after="80"/>
        <w:pBdr>
          <w:bottom w:val="single" w:sz="8" w:space="2" w:color="003876"/>
        </w:pBdr>
      </w:pPr>
      <w:r>
        <w:rPr>
          <w:rFonts w:ascii="Calibri" w:hAnsi="Calibri"/>
          <w:b/>
          <w:color w:val="003876"/>
          <w:sz w:val="23"/>
        </w:rPr>
        <w:t>3. CUSTOMER RFM &amp; PROMO-SENSITIVITY SEGMENTATION &amp; STRATEGIC BOARD RECOMMENDATIONS</w:t>
      </w:r>
    </w:p>
    <w:p>
      <w:pPr>
        <w:spacing w:line="269" w:lineRule="auto" w:after="60"/>
      </w:pPr>
      <w:r>
        <w:rPr>
          <w:rFonts w:ascii="Calibri" w:hAnsi="Calibri"/>
          <w:color w:val="1E242B"/>
          <w:sz w:val="19"/>
        </w:rPr>
        <w:t>By combining RFM (Recency, Frequency, Monetary) scores with each customer's Coupon Dependency Ratio (%), we identified that 10,899 members (21.8% of the user base) act as 'Promo-Driven Cherry Pickers'—redeeming coupons on 78.1% of visits but generating an average attached non-promo basket of only €3.33 on deep item deals.</w:t>
        <w:br/>
        <w:t>• Recommendation 1 (Gate Deep Discounts Behind a €20 Basket Threshold): Requiring a minimum €20 total basket spend to unlock -35%/-40% coupons on Coffee, Oil, and Detergent eliminates cherry-picking and recovers an estimated €168,400 in annual Baltic retail margin.</w:t>
        <w:br/>
        <w:t>• Recommendation 2 (Reallocate Promo Budget to High-Halo Fresh Categories): Shift 25% of non-perishable promo budget into Fresh Meat, Produce, and Bakery app coupons, which generate €33.80+ in attached cross-category spend and +289% to +479% Net ROI.</w:t>
        <w:br/>
        <w:t>• Recommendation 3 (Automated Day-18 Churn Win-Back Trigger): Deploy an automated '€4 Off €25' push coupon when an active shopper reaches 18 days without a POS scan, capturing slipping shoppers before the 21-day churn cliff.</w:t>
      </w:r>
    </w:p>
    <w:p>
      <w:pPr>
        <w:spacing w:after="0"/>
        <w:jc w:val="center"/>
      </w:pPr>
      <w:r>
        <w:drawing>
          <wp:inline xmlns:a="http://schemas.openxmlformats.org/drawingml/2006/main" xmlns:pic="http://schemas.openxmlformats.org/drawingml/2006/picture">
            <wp:extent cx="4752000" cy="2148730"/>
            <wp:docPr id="4" name="Picture 4"/>
            <wp:cNvGraphicFramePr>
              <a:graphicFrameLocks noChangeAspect="1"/>
            </wp:cNvGraphicFramePr>
            <a:graphic>
              <a:graphicData uri="http://schemas.openxmlformats.org/drawingml/2006/picture">
                <pic:pic>
                  <pic:nvPicPr>
                    <pic:cNvPr id="0" name="04_customer_segmentation_matrix.png"/>
                    <pic:cNvPicPr/>
                  </pic:nvPicPr>
                  <pic:blipFill>
                    <a:blip r:embed="rId12"/>
                    <a:stretch>
                      <a:fillRect/>
                    </a:stretch>
                  </pic:blipFill>
                  <pic:spPr>
                    <a:xfrm>
                      <a:off x="0" y="0"/>
                      <a:ext cx="4752000" cy="2148730"/>
                    </a:xfrm>
                    <a:prstGeom prst="rect"/>
                  </pic:spPr>
                </pic:pic>
              </a:graphicData>
            </a:graphic>
          </wp:inline>
        </w:drawing>
      </w:r>
    </w:p>
    <w:sectPr w:rsidR="00FC693F" w:rsidRPr="0006063C" w:rsidSect="00034616">
      <w:pgSz w:w="11906" w:h="16838"/>
      <w:pgMar w:top="794" w:right="907" w:bottom="794" w:left="90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