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eastAsia="맑은 고딕"/>
          <w:rFonts w:ascii="맑은 고딕" w:hAnsi="맑은 고딕"/>
          <w:b/>
          <w:color w:val="1F3D7A"/>
          <w:sz w:val="32"/>
        </w:rPr>
        <w:t>소상공인 방범물품 지원 선발 배점표</w:t>
      </w:r>
    </w:p>
    <w:p>
      <w:pPr>
        <w:spacing w:after="280"/>
        <w:jc w:val="center"/>
      </w:pPr>
      <w:r>
        <w:rPr>
          <w:rFonts w:eastAsia="맑은 고딕"/>
          <w:rFonts w:ascii="맑은 고딕" w:hAnsi="맑은 고딕"/>
          <w:color w:val="4A4A4A"/>
          <w:sz w:val="20"/>
        </w:rPr>
        <w:t>총점 100점 만점  |  전남경찰청 CPO 소상공인 방범지원 선발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587"/>
            <w:tcW w:w="1587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20"/>
              </w:rPr>
              <w:t>대분류</w:t>
            </w:r>
          </w:p>
        </w:tc>
        <w:tc>
          <w:tcPr>
            <w:tcW w:type="dxa" w:w="1417"/>
            <w:tcW w:w="1417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20"/>
              </w:rPr>
              <w:t>소분류</w:t>
            </w:r>
          </w:p>
        </w:tc>
        <w:tc>
          <w:tcPr>
            <w:tcW w:type="dxa" w:w="3288"/>
            <w:tcW w:w="3288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20"/>
              </w:rPr>
              <w:t>세부 항목</w:t>
            </w:r>
          </w:p>
        </w:tc>
        <w:tc>
          <w:tcPr>
            <w:tcW w:type="dxa" w:w="907"/>
            <w:tcW w:w="907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20"/>
              </w:rPr>
              <w:t>배점</w:t>
            </w:r>
          </w:p>
        </w:tc>
        <w:tc>
          <w:tcPr>
            <w:tcW w:type="dxa" w:w="1871"/>
            <w:tcW w:w="1871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587"/>
            <w:tcW w:w="1587" w:type="dxa"/>
            <w:vMerge w:val="restart"/>
            <w:vAlign w:val="center"/>
            <w:shd w:val="clear" w:color="auto" w:fill="1F5A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①</w:t>
              <w:br/>
              <w:t>치안현황</w:t>
              <w:br/>
              <w:t>데이터</w:t>
              <w:br/>
              <w:t>(40점)</w:t>
            </w:r>
          </w:p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PRECAS</w:t>
              <w:br/>
              <w:t>112신고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100m 격자 기준 112신고 건수 (많을수록 위험)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14점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  <w:t>상대평가</w:t>
              <w:br/>
              <w:t>(전체 접수 건</w:t>
              <w:br/>
              <w:t>백분위 환산)</w:t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PRECAS</w:t>
              <w:br/>
              <w:t>범죄위험도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격자 내 범죄위험도 등급 (1~9, 1=최위험)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12점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  <w:t>↑ 동일</w:t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PRECAS</w:t>
              <w:br/>
              <w:t>탄력순찰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해당 격자 탄력순찰 횟수 (적을수록 위험)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8점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  <w:t>↑ 동일</w:t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CCTV 대수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점포 주변 CCTV 설치 대수 (적을수록 위험)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6점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  <w:t>↑ 동일</w:t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EBF2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18"/>
              </w:rPr>
              <w:t>소  계</w:t>
            </w:r>
          </w:p>
        </w:tc>
        <w:tc>
          <w:tcPr>
            <w:tcW w:type="dxa" w:w="3288"/>
            <w:tcW w:w="3288" w:type="dxa"/>
            <w:shd w:val="clear" w:color="auto" w:fill="EBF2FB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/>
                <w:color w:val="4A4A4A"/>
                <w:sz w:val="18"/>
              </w:rPr>
              <w:t>4개 항목 모두 입력 시에만 산정</w:t>
            </w:r>
          </w:p>
        </w:tc>
        <w:tc>
          <w:tcPr>
            <w:tcW w:type="dxa" w:w="907"/>
            <w:tcW w:w="907" w:type="dxa"/>
            <w:shd w:val="clear" w:color="auto" w:fill="EBF2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40점</w:t>
            </w:r>
          </w:p>
        </w:tc>
        <w:tc>
          <w:tcPr>
            <w:tcW w:type="dxa" w:w="1871"/>
            <w:tcW w:w="1871" w:type="dxa"/>
            <w:shd w:val="clear" w:color="auto" w:fill="EBF2FB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20"/>
              </w:rPr>
            </w:r>
          </w:p>
        </w:tc>
      </w:tr>
      <w:tr>
        <w:tc>
          <w:tcPr>
            <w:tcW w:type="dxa" w:w="1587"/>
            <w:tcW w:w="1587" w:type="dxa"/>
            <w:vMerge w:val="restart"/>
            <w:vAlign w:val="center"/>
            <w:shd w:val="clear" w:color="auto" w:fill="1F5A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②</w:t>
              <w:br/>
              <w:t>CPO</w:t>
              <w:br/>
              <w:t>현장</w:t>
              <w:br/>
              <w:t>안전평가</w:t>
              <w:br/>
              <w:t>(20점)</w:t>
            </w:r>
          </w:p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점포 주변</w:t>
              <w:br/>
              <w:t>환경 유형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우범지역·취약지역 등 주변 환경 분류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3점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  <w:t>절대평가</w:t>
              <w:br/>
              <w:t>(7항목 합산</w:t>
              <w:br/>
              <w:t>20점 만점)</w:t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점포</w:t>
              <w:br/>
              <w:t>위치 유형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골목·지하·단독 건물 등 위치 유형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3점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야간 가로등·</w:t>
              <w:br/>
              <w:t>조명 상태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야간 조명 수준 및 사각지대 여부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2점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파출소·</w:t>
              <w:br/>
              <w:t>지구대 거리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가장 가까운 치안시설까지의 거리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4점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주변</w:t>
              <w:br/>
              <w:t>취약시설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숙박업소·유흥시설 등 취약시설 근접도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4점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심야</w:t>
              <w:br/>
              <w:t>유동인구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심야 시간대 유동인구 밀도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2점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건물</w:t>
              <w:br/>
              <w:t>노후·고립도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건물 노후도 및 주변 고립 정도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2점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 w:val="restart"/>
            <w:vAlign w:val="center"/>
            <w:shd w:val="clear" w:color="auto" w:fill="1F5A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③</w:t>
              <w:br/>
              <w:t>점주 설문</w:t>
              <w:br/>
              <w:t>응답</w:t>
              <w:br/>
              <w:t>(30점)</w:t>
            </w:r>
          </w:p>
        </w:tc>
        <w:tc>
          <w:tcPr>
            <w:tcW w:type="dxa" w:w="1417"/>
            <w:tcW w:w="1417" w:type="dxa"/>
            <w:vMerge w:val="restart"/>
            <w:vAlign w:val="center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점포환경</w:t>
              <w:br/>
              <w:t>응답</w:t>
              <w:br/>
              <w:t>(25점)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범죄불안 경험 (최근 6개월)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5점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  <w:t>절대평가</w:t>
              <w:br/>
              <w:t>(설문 응답</w:t>
              <w:br/>
              <w:t>그대로 반영)</w:t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vMerge/>
          </w:tcPr>
          <w:p/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야간영업 여부 (22시 이후)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4점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vMerge/>
          </w:tcPr>
          <w:p/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점포 주변 환경이 어두움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4점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vMerge/>
          </w:tcPr>
          <w:p/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단독 근무 (혼자 영업)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4점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vMerge/>
          </w:tcPr>
          <w:p/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CCTV 미설치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4점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vMerge/>
          </w:tcPr>
          <w:p/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사설경비 미이용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2점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vMerge/>
          </w:tcPr>
          <w:p/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비상벨 미설치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2점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</w:r>
          </w:p>
        </w:tc>
      </w:tr>
      <w:tr>
        <w:tc>
          <w:tcPr>
            <w:tcW w:type="dxa" w:w="1587"/>
            <w:tcW w:w="1587" w:type="dxa"/>
            <w:vMerge/>
          </w:tcPr>
          <w:p/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안전체감도</w:t>
              <w:br/>
              <w:t>(5점)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체감안전도 5문항 Likert 응답 합산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5점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  <w:t>5문항</w:t>
              <w:br/>
              <w:t>정규화 합산</w:t>
            </w:r>
          </w:p>
        </w:tc>
      </w:tr>
      <w:tr>
        <w:tc>
          <w:tcPr>
            <w:tcW w:type="dxa" w:w="1587"/>
            <w:tcW w:w="1587" w:type="dxa"/>
            <w:vAlign w:val="center"/>
            <w:shd w:val="clear" w:color="auto" w:fill="1F5AA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18"/>
              </w:rPr>
              <w:t>④</w:t>
              <w:br/>
              <w:t>CPO 재량</w:t>
              <w:br/>
              <w:t>가산점</w:t>
              <w:br/>
              <w:t>(10점)</w:t>
            </w:r>
          </w:p>
        </w:tc>
        <w:tc>
          <w:tcPr>
            <w:tcW w:type="dxa" w:w="1417"/>
            <w:tcW w:w="1417" w:type="dxa"/>
            <w:shd w:val="clear" w:color="auto" w:fill="DBEAF8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8"/>
              </w:rPr>
              <w:t>CPO 재량</w:t>
            </w:r>
          </w:p>
        </w:tc>
        <w:tc>
          <w:tcPr>
            <w:tcW w:type="dxa" w:w="3288"/>
            <w:tcW w:w="3288" w:type="dxa"/>
            <w:shd w:val="clear" w:color="auto" w:fill="FFFFFF"/>
            <w:tcMar>
              <w:top w:w="80" w:type="dxa"/>
              <w:bottom w:w="80" w:type="dxa"/>
              <w:left w:w="140" w:type="dxa"/>
              <w:right w:w="120" w:type="dxa"/>
            </w:tcMar>
            <w:vAlign w:val="center"/>
          </w:tcPr>
          <w:p>
            <w:pPr>
              <w:jc w:val="left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1A1A1A"/>
                <w:sz w:val="19"/>
              </w:rPr>
              <w:t>CPO 직접 입력 (0~10점)</w:t>
              <w:br/>
              <w:t>5점 초과 시 사유 필수 / 8점 이상 시 10자 이상 구체 사유</w:t>
            </w:r>
          </w:p>
        </w:tc>
        <w:tc>
          <w:tcPr>
            <w:tcW w:type="dxa" w:w="907"/>
            <w:tcW w:w="907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1F5AA8"/>
                <w:sz w:val="20"/>
              </w:rPr>
              <w:t>10점</w:t>
            </w:r>
          </w:p>
        </w:tc>
        <w:tc>
          <w:tcPr>
            <w:tcW w:type="dxa" w:w="1871"/>
            <w:tcW w:w="1871" w:type="dxa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4A4A4A"/>
                <w:sz w:val="17"/>
              </w:rPr>
              <w:t>CPO 직접</w:t>
              <w:br/>
              <w:t>판단 입력</w:t>
            </w:r>
          </w:p>
        </w:tc>
      </w:tr>
      <w:tr>
        <w:tc>
          <w:tcPr>
            <w:tcW w:type="dxa" w:w="1587"/>
            <w:tcW w:w="1587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22"/>
              </w:rPr>
              <w:t>합  계</w:t>
            </w:r>
          </w:p>
        </w:tc>
        <w:tc>
          <w:tcPr>
            <w:tcW w:type="dxa" w:w="1417"/>
            <w:tcW w:w="1417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FFFFFF"/>
                <w:sz w:val="20"/>
              </w:rPr>
            </w:r>
          </w:p>
        </w:tc>
        <w:tc>
          <w:tcPr>
            <w:tcW w:type="dxa" w:w="3288"/>
            <w:tcW w:w="3288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20"/>
              </w:rPr>
              <w:t>4개 영역 합산</w:t>
            </w:r>
          </w:p>
        </w:tc>
        <w:tc>
          <w:tcPr>
            <w:tcW w:type="dxa" w:w="907"/>
            <w:tcW w:w="907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/>
                <w:i w:val="0"/>
                <w:color w:val="FFFFFF"/>
                <w:sz w:val="24"/>
              </w:rPr>
              <w:t>100점</w:t>
            </w:r>
          </w:p>
        </w:tc>
        <w:tc>
          <w:tcPr>
            <w:tcW w:type="dxa" w:w="1871"/>
            <w:tcW w:w="1871" w:type="dxa"/>
            <w:shd w:val="clear" w:color="auto" w:fill="1F3D7A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jc w:val="center"/>
            </w:pPr>
            <w:r>
              <w:rPr>
                <w:rFonts w:eastAsia="맑은 고딕"/>
                <w:rFonts w:ascii="맑은 고딕" w:hAnsi="맑은 고딕"/>
                <w:b w:val="0"/>
                <w:i w:val="0"/>
                <w:color w:val="FFFFFF"/>
                <w:sz w:val="20"/>
              </w:rPr>
            </w:r>
          </w:p>
        </w:tc>
      </w:tr>
    </w:tbl>
    <w:p/>
    <w:p>
      <w:pPr>
        <w:spacing w:before="80" w:after="40"/>
      </w:pPr>
      <w:r>
        <w:rPr>
          <w:rFonts w:eastAsia="맑은 고딕"/>
          <w:rFonts w:ascii="맑은 고딕" w:hAnsi="맑은 고딕"/>
          <w:b/>
          <w:color w:val="1F3D7A"/>
          <w:sz w:val="19"/>
        </w:rPr>
        <w:t>※ 유의사항</w:t>
      </w:r>
    </w:p>
    <w:p>
      <w:pPr>
        <w:spacing w:before="40" w:after="20"/>
        <w:ind w:left="227"/>
      </w:pPr>
      <w:r>
        <w:rPr>
          <w:rFonts w:eastAsia="맑은 고딕"/>
          <w:rFonts w:ascii="맑은 고딕" w:hAnsi="맑은 고딕"/>
          <w:color w:val="4A4A4A"/>
          <w:sz w:val="17"/>
        </w:rPr>
        <w:t xml:space="preserve">  ① 치안현황(PRECAS) 점수는 전체 접수 건을 대상으로 상대평가(백분위) 방식으로 산정하며, 4개 항목 중 하나라도 미입력 시 해당 영역 0점 처리합니다.</w:t>
      </w:r>
    </w:p>
    <w:p>
      <w:pPr>
        <w:spacing w:before="40" w:after="20"/>
        <w:ind w:left="227"/>
      </w:pPr>
      <w:r>
        <w:rPr>
          <w:rFonts w:eastAsia="맑은 고딕"/>
          <w:rFonts w:ascii="맑은 고딕" w:hAnsi="맑은 고딕"/>
          <w:color w:val="4A4A4A"/>
          <w:sz w:val="17"/>
        </w:rPr>
        <w:t xml:space="preserve">  ② CPO 현장 안전평가는 7개 항목 절대평가 방식으로 원점수 합산 20점 만점입니다.</w:t>
      </w:r>
    </w:p>
    <w:p>
      <w:pPr>
        <w:spacing w:before="40" w:after="20"/>
        <w:ind w:left="227"/>
      </w:pPr>
      <w:r>
        <w:rPr>
          <w:rFonts w:eastAsia="맑은 고딕"/>
          <w:rFonts w:ascii="맑은 고딕" w:hAnsi="맑은 고딕"/>
          <w:color w:val="4A4A4A"/>
          <w:sz w:val="17"/>
        </w:rPr>
        <w:t xml:space="preserve">  ③ 점주 설문 응답 점수는 신청인이 직접 입력한 값을 그대로 반영하며, 허위 입력 시 선정 취소 및 환수 대상이 됩니다.</w:t>
      </w:r>
    </w:p>
    <w:p>
      <w:pPr>
        <w:spacing w:before="40" w:after="20"/>
        <w:ind w:left="227"/>
      </w:pPr>
      <w:r>
        <w:rPr>
          <w:rFonts w:eastAsia="맑은 고딕"/>
          <w:rFonts w:ascii="맑은 고딕" w:hAnsi="맑은 고딕"/>
          <w:color w:val="4A4A4A"/>
          <w:sz w:val="17"/>
        </w:rPr>
        <w:t xml:space="preserve">  ④ CPO 재량 가산점 5점 초과 시 사유 입력 필수, 8점 이상 시 10자 이상 구체 사유를 반드시 기재해야 합니다.</w:t>
      </w:r>
    </w:p>
    <w:p>
      <w:pPr>
        <w:spacing w:before="40" w:after="20"/>
        <w:ind w:left="227"/>
      </w:pPr>
      <w:r>
        <w:rPr>
          <w:rFonts w:eastAsia="맑은 고딕"/>
          <w:rFonts w:ascii="맑은 고딕" w:hAnsi="맑은 고딕"/>
          <w:color w:val="4A4A4A"/>
          <w:sz w:val="17"/>
        </w:rPr>
        <w:t xml:space="preserve">  ⑤ 동점자 발생 시 총점 우선 → 치안현황 점수 → 접수일시 순으로 우선순위를 결정합니다.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