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 xml:space="preserve">RAHASIA</w:t>
      </w:r>
    </w:p>
    <w:p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 xml:space="preserve">KEPUTUSAN MENTERI AGAMA REPUBLIK INDONESIA</w:t>
      </w:r>
    </w:p>
    <w:p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 xml:space="preserve"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 xml:space="preserve">TL</w:t>
      </w:r>
      <w:r w:rsidRPr="00846F51">
        <w:rPr>
          <w:rFonts w:ascii="Arial" w:hAnsi="Arial" w:cs="Arial"/>
          <w:b/>
          <w:color w:val="000000"/>
        </w:rPr>
        <w:t xml:space="preserve"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 xml:space="preserve">..</w:t>
      </w:r>
      <w:r w:rsidRPr="00846F51">
        <w:rPr>
          <w:rFonts w:ascii="Arial" w:hAnsi="Arial" w:cs="Arial"/>
          <w:b/>
          <w:color w:val="FFFFFF" w:themeColor="background1"/>
        </w:rPr>
        <w:t xml:space="preserve">………….</w:t>
      </w:r>
    </w:p>
    <w:p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 xml:space="preserve">DENGAN RAHMAT TUHAN YANG MAHA ESA</w:t>
      </w:r>
    </w:p>
    <w:p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 xml:space="preserve">MENTERI AGAMA</w:t>
      </w:r>
      <w:r w:rsidRPr="00846F51">
        <w:rPr>
          <w:rFonts w:ascii="Arial" w:hAnsi="Arial" w:cs="Arial"/>
          <w:b/>
          <w:lang w:val="id-ID"/>
        </w:rPr>
        <w:t xml:space="preserve">,</w:t>
      </w:r>
    </w:p>
    <w:p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Membaca</w:t>
            </w: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9652" w:type="dxa"/>
            <w:gridSpan w:val="3"/>
          </w:tcPr>
          <w:p>
            <w:pPr>
              <w:pStyle w:val="ListParagraph"/>
              <w:numPr>
                <w:ilvl w:val="0"/>
                <w:numId w:val="3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Bahwa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berdasarkan</w:t>
            </w:r>
            <w:r w:rsidRPr="00846F51">
              <w:rPr>
                <w:rFonts w:ascii="Arial" w:hAnsi="Arial" w:cs="Arial"/>
              </w:rPr>
              <w:t xml:space="preserve"> Surat Kepala Kantor Wilayah Kementerian Agama Jawa Barat Nomor:R-10597-1/Kw.10/KP.04.2/11/2021 tanggal 30 November 2021 perihal Usul Penjatuhan Hukuman Disiplin Pegawai Negeri Sipil (PNS) atas nama Sdr. Jaka Muhlis, S.Ag; dan  Berita Acara Pemeriksaan tanggal 10 Agustus 2020 terhadap Sdr. Jaka Muhlis, S.Ag NIP 197907242005011004.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Sdr</w:t>
            </w:r>
            <w:r w:rsidRPr="00846F51">
              <w:rPr>
                <w:rFonts w:ascii="Arial" w:hAnsi="Arial" w:cs="Arial"/>
              </w:rPr>
              <w:t xml:space="preserve">. JAKA MUHLIS, S.Ag</w:t>
            </w:r>
            <w:r w:rsidRPr="00846F51">
              <w:rPr>
                <w:rFonts w:ascii="Arial" w:hAnsi="Arial" w:cs="Arial"/>
              </w:rPr>
              <w:t xml:space="preserve"> NIP 197907242005011004 </w:t>
            </w:r>
            <w:r w:rsidRPr="00846F51">
              <w:rPr>
                <w:rFonts w:ascii="Arial" w:hAnsi="Arial" w:cs="Arial"/>
              </w:rPr>
              <w:t xml:space="preserve">telah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terbukti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melakukan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perbuatan</w:t>
            </w:r>
            <w:r w:rsidRPr="00846F51">
              <w:rPr>
                <w:rFonts w:ascii="Arial" w:hAnsi="Arial" w:cs="Arial"/>
              </w:rPr>
              <w:t xml:space="preserve"> Sdr. Jaka Muhlis, S.Ag berdasarkan Berita Acara Pemeriksaan tidak masuk melaksanakan tugas selama 359 (tiga ratus lima puluh sembilan) hari, pada tanggal 01 Januari 2019 sampai dengan tanggal 10 Agustus 2020;</w:t>
            </w:r>
          </w:p>
          <w:p>
            <w:pPr>
              <w:pStyle w:val="ListParagraph"/>
              <w:numPr>
                <w:ilvl w:val="0"/>
                <w:numId w:val="3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Berdasarkan Keputusan Kepala Kantor Wilayah Kementerian Agama Kota Bandung Nomor: B.5027/Kk.10.19/Kp.04.5/08/2020 tanggal 28 Agustus 2020 yang bersangkutan pernah dilakukan pembinaan berupa penjatuhan hukuman disiplin Tingkat Ringan berupa Pernyataan Tidak Puas Secara Tertulis.</w:t>
            </w:r>
            <w:r w:rsidRPr="00846F51">
              <w:rPr>
                <w:rFonts w:ascii="Arial" w:hAnsi="Arial" w:cs="Arial"/>
              </w:rPr>
              <w:t xml:space="preserve">;</w:t>
            </w:r>
          </w:p>
          <w:p>
            <w:pPr>
              <w:pStyle w:val="ListParagraph"/>
              <w:numPr>
                <w:ilvl w:val="0"/>
                <w:numId w:val="3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B</w:t>
            </w:r>
            <w:r w:rsidRPr="00846F51">
              <w:rPr>
                <w:rFonts w:ascii="Arial" w:hAnsi="Arial" w:cs="Arial"/>
                <w:lang w:val="id-ID"/>
              </w:rPr>
              <w:t xml:space="preserve">ahwa</w:t>
            </w:r>
            <w:r w:rsidRPr="00846F51">
              <w:rPr>
                <w:rFonts w:ascii="Arial" w:hAnsi="Arial" w:cs="Arial"/>
                <w:lang w:val="id-ID"/>
              </w:rPr>
              <w:t xml:space="preserve"> perbuatan tersebut merupakan pelanggaran terhadap ketentuan </w:t>
            </w:r>
            <w:r w:rsidRPr="00846F51">
              <w:rPr>
                <w:rFonts w:ascii="Arial" w:hAnsi="Arial" w:cs="Arial"/>
              </w:rPr>
              <w:t xml:space="preserve">Pasal 4 huruf f Peraturan Pemerintah Nomor 94 Tahun 2021 tentang Disiplin Pegawai Negeri Sipil. </w:t>
            </w:r>
            <w:r w:rsidR="00C05E05">
              <w:rPr>
                <w:rFonts w:ascii="Arial" w:hAnsi="Arial" w:cs="Arial"/>
              </w:rPr>
              <w:t xml:space="preserve">;</w:t>
            </w:r>
          </w:p>
          <w:p>
            <w:pPr>
              <w:pStyle w:val="ListParagraph"/>
              <w:numPr>
                <w:ilvl w:val="0"/>
                <w:numId w:val="3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Bahwa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berdasarkan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putusan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sidang</w:t>
            </w:r>
            <w:r w:rsidRPr="00846F51">
              <w:rPr>
                <w:rFonts w:ascii="Arial" w:hAnsi="Arial" w:cs="Arial"/>
              </w:rPr>
              <w:t xml:space="preserve"> Dewan </w:t>
            </w:r>
            <w:r w:rsidRPr="00846F51">
              <w:rPr>
                <w:rFonts w:ascii="Arial" w:hAnsi="Arial" w:cs="Arial"/>
              </w:rPr>
              <w:t xml:space="preserve">Pertimbangan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Kepegawaian</w:t>
            </w:r>
            <w:r w:rsidRPr="00846F51">
              <w:rPr>
                <w:rFonts w:ascii="Arial" w:hAnsi="Arial" w:cs="Arial"/>
              </w:rPr>
              <w:t xml:space="preserve"> Tingkat II, </w:t>
            </w:r>
            <w:r w:rsidRPr="00846F51">
              <w:rPr>
                <w:rFonts w:ascii="Arial" w:hAnsi="Arial" w:cs="Arial"/>
              </w:rPr>
              <w:t xml:space="preserve">memberikan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pertimbangan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penjatuhan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hukuman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disiplin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berupa</w:t>
            </w:r>
            <w:r w:rsidRPr="00846F51">
              <w:rPr>
                <w:rFonts w:ascii="Arial" w:hAnsi="Arial" w:cs="Arial"/>
              </w:rPr>
              <w:t xml:space="preserve"> Pemberhentian Dengan Hormat Tidak Atas Permintaan Sendiri Sebagai PNS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kepada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Sdr</w:t>
            </w:r>
            <w:r w:rsidRPr="00846F51">
              <w:rPr>
                <w:rFonts w:ascii="Arial" w:hAnsi="Arial" w:cs="Arial"/>
              </w:rPr>
              <w:t xml:space="preserve"> JAKA MUHLIS, S.Ag</w:t>
            </w:r>
            <w:r w:rsidRPr="00846F51">
              <w:rPr>
                <w:rFonts w:ascii="Arial" w:hAnsi="Arial" w:cs="Arial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NIP 197907242005011004</w:t>
            </w:r>
            <w:r w:rsidRPr="00846F51">
              <w:rPr>
                <w:rFonts w:ascii="Arial" w:hAnsi="Arial" w:cs="Arial"/>
              </w:rPr>
              <w:t xml:space="preserve">;</w:t>
            </w:r>
          </w:p>
          <w:p>
            <w:pPr>
              <w:pStyle w:val="ListParagraph"/>
              <w:numPr>
                <w:ilvl w:val="0"/>
                <w:numId w:val="3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Bahwa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berdasarkan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pertimbangan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sebagaimana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dimaksud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dalam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huruf</w:t>
            </w:r>
            <w:r w:rsidRPr="00846F51">
              <w:rPr>
                <w:rFonts w:ascii="Arial" w:hAnsi="Arial" w:cs="Arial"/>
              </w:rPr>
              <w:t xml:space="preserve"> a, </w:t>
            </w:r>
            <w:r w:rsidRPr="00846F51">
              <w:rPr>
                <w:rFonts w:ascii="Arial" w:hAnsi="Arial" w:cs="Arial"/>
              </w:rPr>
              <w:t xml:space="preserve">huruf</w:t>
            </w:r>
            <w:r w:rsidRPr="00846F51">
              <w:rPr>
                <w:rFonts w:ascii="Arial" w:hAnsi="Arial" w:cs="Arial"/>
              </w:rPr>
              <w:t xml:space="preserve"> b, dan </w:t>
            </w:r>
            <w:r w:rsidRPr="00846F51">
              <w:rPr>
                <w:rFonts w:ascii="Arial" w:hAnsi="Arial" w:cs="Arial"/>
              </w:rPr>
              <w:t xml:space="preserve">huruf</w:t>
            </w:r>
            <w:r w:rsidRPr="00846F51">
              <w:rPr>
                <w:rFonts w:ascii="Arial" w:hAnsi="Arial" w:cs="Arial"/>
              </w:rPr>
              <w:t xml:space="preserve"> c, </w:t>
            </w:r>
            <w:r w:rsidRPr="00846F51">
              <w:rPr>
                <w:rFonts w:ascii="Arial" w:hAnsi="Arial" w:cs="Arial"/>
              </w:rPr>
              <w:t xml:space="preserve">perlu</w:t>
            </w:r>
            <w:r w:rsidRPr="00846F51">
              <w:rPr>
                <w:rFonts w:ascii="Arial" w:hAnsi="Arial" w:cs="Arial"/>
              </w:rPr>
              <w:t xml:space="preserve">  </w:t>
            </w:r>
            <w:r w:rsidRPr="00846F51">
              <w:rPr>
                <w:rFonts w:ascii="Arial" w:hAnsi="Arial" w:cs="Arial"/>
              </w:rPr>
              <w:t xml:space="preserve">menetapkan</w:t>
            </w:r>
            <w:r w:rsidRPr="00846F51">
              <w:rPr>
                <w:rFonts w:ascii="Arial" w:hAnsi="Arial" w:cs="Arial"/>
              </w:rPr>
              <w:t xml:space="preserve"> Keputusan Menteri Agama </w:t>
            </w:r>
            <w:r w:rsidRPr="00846F51">
              <w:rPr>
                <w:rFonts w:ascii="Arial" w:hAnsi="Arial" w:cs="Arial"/>
              </w:rPr>
              <w:t xml:space="preserve">tentang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Penjatuhan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Hukuman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Disiplin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Pernyataan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Tidak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Puas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Secara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Tertulis</w:t>
            </w:r>
            <w:r w:rsidRPr="00846F51">
              <w:rPr>
                <w:rFonts w:ascii="Arial" w:hAnsi="Arial" w:cs="Arial"/>
              </w:rPr>
              <w:t xml:space="preserve">;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Mengingat</w:t>
            </w: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9652" w:type="dxa"/>
            <w:gridSpan w:val="3"/>
          </w:tcPr>
          <w:p>
            <w:pPr>
              <w:pStyle w:val="ListParagraph"/>
              <w:numPr>
                <w:ilvl w:val="0"/>
                <w:numId w:val="9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 xml:space="preserve">Undang-Undang Nomor 5 Tahun 2014 tentang Aparatur Sipil Negara</w:t>
            </w:r>
          </w:p>
          <w:p>
            <w:pPr>
              <w:pStyle w:val="ListParagraph"/>
              <w:numPr>
                <w:ilvl w:val="0"/>
                <w:numId w:val="9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 xml:space="preserve">Peraturan Pemerintah Nomor 7 Tahun 1977  tentang Gaji Pegawai Negeri Sipil sebagaimana telah beberapa kali diubah terakhir dengan Peraturan Pemerintah Nomor 15 Tahun 2019</w:t>
            </w:r>
          </w:p>
          <w:p>
            <w:pPr>
              <w:pStyle w:val="ListParagraph"/>
              <w:numPr>
                <w:ilvl w:val="0"/>
                <w:numId w:val="9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 xml:space="preserve">Peraturan Pemerintah Nomor 11 Tahun 2017 tentang Manajemen Pegawai Negeri Sipil sebagaimana telah diubah dengan Peraturan Pemerintah Nomor 17 Tahun 2020</w:t>
            </w:r>
          </w:p>
          <w:p>
            <w:pPr>
              <w:pStyle w:val="ListParagraph"/>
              <w:numPr>
                <w:ilvl w:val="0"/>
                <w:numId w:val="9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 xml:space="preserve">Peraturan Pemerintah Nomor 94 Tahun 2021 tentang Disiplin Pegawai Negeri Sipil</w:t>
            </w:r>
          </w:p>
          <w:p>
            <w:pPr>
              <w:pStyle w:val="ListParagraph"/>
              <w:numPr>
                <w:ilvl w:val="0"/>
                <w:numId w:val="9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 xml:space="preserve">Peraturan Menteri Agama Nomor 12 Tahun 2019 tentang Kode Etik Dan Kode Perilaku Pegawai Aparatur Sipil Negara Kementerian Agama</w:t>
            </w:r>
          </w:p>
          <w:p>
            <w:pPr>
              <w:pStyle w:val="ListParagraph"/>
              <w:numPr>
                <w:ilvl w:val="0"/>
                <w:numId w:val="9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 xml:space="preserve">Peraturan Menteri Agama Nomor 14 Tahun 2021 tentang Dewan Pertimbangan Kepegawaian</w:t>
            </w:r>
          </w:p>
        </w:tc>
      </w:tr>
      <w:tr w:rsidTr="00832672">
        <w:trPr>
          <w:trHeight w:val="340"/>
        </w:trPr>
        <w:tc>
          <w:tcPr>
            <w:tcW w:w="11479" w:type="dxa"/>
            <w:gridSpan w:val="5"/>
            <w:vAlign w:val="center"/>
          </w:tcPr>
          <w:p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 xml:space="preserve">MEMUTUSKAN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Menetapkan</w:t>
            </w: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9652" w:type="dxa"/>
            <w:gridSpan w:val="3"/>
          </w:tcPr>
          <w:p>
            <w:pPr>
              <w:rPr>
                <w:rFonts w:ascii="Arial" w:hAnsi="Arial" w:cs="Arial"/>
              </w:rPr>
            </w:pP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KESATU</w:t>
            </w: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9652" w:type="dxa"/>
            <w:gridSpan w:val="3"/>
          </w:tcPr>
          <w:p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njatuhkan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 hukuman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Pernyataan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Tidak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Puas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Secara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Tertulis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kepada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: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6799" w:type="dxa"/>
          </w:tcPr>
          <w:p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JAKA MUHLIS, S.Ag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6799" w:type="dxa"/>
          </w:tcPr>
          <w:p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197907242005011004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 xml:space="preserve">Pangkat, Golongan Ruang</w:t>
            </w:r>
          </w:p>
        </w:tc>
        <w:tc>
          <w:tcPr>
            <w:tcW w:w="284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6799" w:type="dxa"/>
          </w:tcPr>
          <w:p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Penata Tk. I, III/d, Penata Tk. I, III/d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Jabatan</w:t>
            </w:r>
          </w:p>
        </w:tc>
        <w:tc>
          <w:tcPr>
            <w:tcW w:w="284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6799" w:type="dxa"/>
          </w:tcPr>
          <w:p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Guru 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Unit </w:t>
            </w:r>
            <w:r w:rsidRPr="00846F51">
              <w:rPr>
                <w:rFonts w:ascii="Arial" w:hAnsi="Arial" w:cs="Arial"/>
                <w:color w:val="000000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6799" w:type="dxa"/>
          </w:tcPr>
          <w:p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SD Negeri dilingkungan Kota Bandung Provinsi Jawa Barat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</w:t>
            </w:r>
            <w:r w:rsidRPr="00846F51">
              <w:rPr>
                <w:rFonts w:ascii="Arial" w:hAnsi="Arial" w:cs="Arial"/>
                <w:color w:val="000000"/>
              </w:rPr>
              <w:t xml:space="preserve">bersangkutan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terbukti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telah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melakukan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perbuatan</w:t>
            </w:r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r w:rsidRPr="00846F51">
              <w:rPr>
                <w:rFonts w:ascii="Arial" w:hAnsi="Arial" w:cs="Arial"/>
                <w:color w:val="000000"/>
              </w:rPr>
              <w:t xml:space="preserve">melanggar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ketentuan</w:t>
            </w:r>
            <w:r w:rsidR="001820A1">
              <w:rPr>
                <w:rFonts w:ascii="Arial" w:hAnsi="Arial" w:cs="Arial"/>
                <w:color w:val="000000"/>
              </w:rPr>
              <w:t xml:space="preserve"> Pasal 4 huruf f Peraturan Pemerintah Nomor 94 Tahun 2021 tentang Disiplin Pegawai Negeri Sipil. </w:t>
            </w:r>
            <w:r w:rsidR="001820A1">
              <w:rPr>
                <w:rFonts w:ascii="Arial" w:hAnsi="Arial" w:cs="Arial"/>
              </w:rPr>
              <w:t xml:space="preserve">.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KEDUA</w:t>
            </w: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9652" w:type="dxa"/>
            <w:gridSpan w:val="3"/>
          </w:tcPr>
          <w:p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Tr="00832672">
        <w:trPr/>
        <w:tc>
          <w:tcPr>
            <w:tcW w:w="1555" w:type="dxa"/>
          </w:tcPr>
          <w:p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KETIGA</w:t>
            </w:r>
          </w:p>
        </w:tc>
        <w:tc>
          <w:tcPr>
            <w:tcW w:w="272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:</w:t>
            </w:r>
          </w:p>
        </w:tc>
        <w:tc>
          <w:tcPr>
            <w:tcW w:w="9652" w:type="dxa"/>
            <w:gridSpan w:val="3"/>
          </w:tcPr>
          <w:p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r w:rsidRPr="00846F51">
              <w:rPr>
                <w:rFonts w:ascii="Arial" w:hAnsi="Arial" w:cs="Arial"/>
                <w:color w:val="000000"/>
              </w:rPr>
              <w:t xml:space="preserve">disampaikan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kepada</w:t>
            </w:r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r w:rsidRPr="00846F51">
              <w:rPr>
                <w:rFonts w:ascii="Arial" w:hAnsi="Arial" w:cs="Arial"/>
                <w:color w:val="000000"/>
              </w:rPr>
              <w:t xml:space="preserve">bersangkutan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untuk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dilaksanakan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sebagaimana</w:t>
            </w:r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</w:rPr>
              <w:t xml:space="preserve">mestinya</w:t>
            </w:r>
            <w:r w:rsidRPr="00846F51">
              <w:rPr>
                <w:rFonts w:ascii="Arial" w:hAnsi="Arial" w:cs="Arial"/>
                <w:color w:val="000000"/>
              </w:rPr>
              <w:t xml:space="preserve">.</w:t>
            </w:r>
          </w:p>
        </w:tc>
      </w:tr>
    </w:tbl>
    <w:p>
      <w:pPr>
        <w:rPr>
          <w:rFonts w:ascii="Arial" w:hAnsi="Arial" w:cs="Arial"/>
        </w:rPr>
      </w:pPr>
    </w:p>
    <w:tbl>
      <w:tblPr>
        <w:tblStyle w:val="TableGrid"/>
        <w:tblW w:w="11482" w:type="dxa"/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Tr="00832672">
        <w:trPr/>
        <w:tc>
          <w:tcPr>
            <w:tcW w:w="3655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 xml:space="preserve">Ditetapkan di Jakarta</w:t>
            </w:r>
          </w:p>
        </w:tc>
      </w:tr>
      <w:tr w:rsidTr="00832672">
        <w:trPr/>
        <w:tc>
          <w:tcPr>
            <w:tcW w:w="3655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p</w:t>
            </w:r>
            <w:r w:rsidRPr="00846F51" w:rsidR="00334139">
              <w:rPr>
                <w:rFonts w:ascii="Arial" w:hAnsi="Arial" w:cs="Arial"/>
                <w:noProof/>
                <w:color w:val="000000"/>
                <w:lang w:val="id-ID"/>
              </w:rPr>
              <w:t xml:space="preserve">ada tanggal</w:t>
            </w:r>
          </w:p>
        </w:tc>
      </w:tr>
      <w:tr w:rsidTr="00832672">
        <w:trPr/>
        <w:tc>
          <w:tcPr>
            <w:tcW w:w="3655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 xml:space="preserve">Menteri Agama Republik Indonesia</w:t>
            </w:r>
          </w:p>
        </w:tc>
      </w:tr>
      <w:tr w:rsidTr="00832672">
        <w:trPr/>
        <w:tc>
          <w:tcPr>
            <w:tcW w:w="3655" w:type="dxa"/>
          </w:tcPr>
          <w:p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Diterima</w:t>
            </w:r>
            <w:r w:rsidRPr="00846F51">
              <w:rPr>
                <w:rFonts w:ascii="Arial" w:hAnsi="Arial" w:cs="Arial"/>
              </w:rPr>
              <w:t xml:space="preserve"> </w:t>
            </w:r>
            <w:r w:rsidRPr="00846F51">
              <w:rPr>
                <w:rFonts w:ascii="Arial" w:hAnsi="Arial" w:cs="Arial"/>
              </w:rPr>
              <w:t xml:space="preserve">tanggal</w:t>
            </w: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</w:p>
        </w:tc>
      </w:tr>
      <w:tr w:rsidTr="00832672">
        <w:trPr/>
        <w:tc>
          <w:tcPr>
            <w:tcW w:w="3655" w:type="dxa"/>
          </w:tcPr>
          <w:p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</w:p>
        </w:tc>
      </w:tr>
      <w:tr w:rsidTr="00832672">
        <w:trPr/>
        <w:tc>
          <w:tcPr>
            <w:tcW w:w="3655" w:type="dxa"/>
          </w:tcPr>
          <w:p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</w:p>
        </w:tc>
      </w:tr>
      <w:tr w:rsidTr="00832672">
        <w:trPr/>
        <w:tc>
          <w:tcPr>
            <w:tcW w:w="3655" w:type="dxa"/>
          </w:tcPr>
          <w:p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JAKA MUHLIS, S.Ag</w:t>
            </w: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YAQUT CHOLIL QOUMAS</w:t>
            </w:r>
          </w:p>
        </w:tc>
      </w:tr>
      <w:tr w:rsidTr="00832672">
        <w:trPr/>
        <w:tc>
          <w:tcPr>
            <w:tcW w:w="3655" w:type="dxa"/>
          </w:tcPr>
          <w:p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197907242005011004</w:t>
            </w: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</w:p>
        </w:tc>
      </w:tr>
      <w:tr w:rsidTr="00832672">
        <w:trPr/>
        <w:tc>
          <w:tcPr>
            <w:tcW w:w="3655" w:type="dxa"/>
          </w:tcPr>
          <w:p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</w:p>
        </w:tc>
      </w:tr>
      <w:tr w:rsidTr="00832672">
        <w:trPr/>
        <w:tc>
          <w:tcPr>
            <w:tcW w:w="3655" w:type="dxa"/>
          </w:tcPr>
          <w:p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Tembusan</w:t>
            </w:r>
            <w:r w:rsidRPr="00846F51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4142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>
            <w:pPr>
              <w:rPr>
                <w:rFonts w:ascii="Arial" w:hAnsi="Arial" w:cs="Arial"/>
              </w:rPr>
            </w:pPr>
          </w:p>
        </w:tc>
      </w:tr>
      <w:tr w:rsidTr="00832672">
        <w:trPr/>
        <w:tc>
          <w:tcPr>
            <w:tcW w:w="11482" w:type="dxa"/>
            <w:gridSpan w:val="3"/>
          </w:tcPr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Ketua Badan Pemeriksa Keuangan, Jakarta;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Deputi Bidang Informasi Kepegawaian Badan Kepegawaian Negara, Jakarta;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Deputi Bidang SDM Kementerian Pendayagunaan Aparatur Negara dan Reformasi Birokrasi, Jakarta;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Sekretaris Jenderal Up. Kepala Biro Kepegawaian Sekretariat Jenderal Kementerian Agama Jakarta;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Inspektur Jenderal  Kementerian Agama, Jakarta;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Kepala Kanwil Kementerian Agama Provinsi Jawa Barat;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 Direktur PT. Tabungan dan Asuransi Pegawai Negeri (Persero) Jakarta;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Kepala Kantor Kementerian Agama Kota Bandung;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Kepala Kantor Regional III Badan Kepegawaian Negara Bandung;</w:t>
            </w:r>
          </w:p>
          <w:p>
            <w:pPr>
              <w:pStyle w:val="ListParagraph"/>
              <w:numPr>
                <w:ilvl w:val="0"/>
                <w:numId w:val="4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Kepala Kantor Layanan Perbendaharaan Negara Bandung;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NormalTable"/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t xml:space="preserve">DISUSUN DAN DIPROSES SESUAI DENGAN KETENTUAN PERUNDANG UNDANGAN</w:t>
            </w:r>
          </w:p>
        </w:tc>
      </w:tr>
      <w:tr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 xml:space="preserve">Analis Kepegawaian Ahli Muda Subbagian Pertimbangan Kepegawaian Bagian Pengadaan dan Pertimbangan Pegawai Biro Kepegawaian Sekretariat Jenderal Kementerian Agama</w:t>
            </w:r>
          </w:p>
          <w:p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 xml:space="preserve">ALAMSYAH, S.E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>
            <w:pPr>
              <w:spacing w:line="180" w:lineRule="exact"/>
              <w:ind w:left="317"/>
              <w:rPr/>
            </w:pPr>
          </w:p>
        </w:tc>
      </w:tr>
      <w:tr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 xml:space="preserve">Kepala</w:t>
            </w:r>
            <w:r w:rsidRPr="00B9710C">
              <w:rPr>
                <w:szCs w:val="24"/>
              </w:rPr>
              <w:t xml:space="preserve"> Sub Bagian </w:t>
            </w:r>
            <w:r w:rsidRPr="00B9710C">
              <w:rPr>
                <w:szCs w:val="24"/>
              </w:rPr>
              <w:t xml:space="preserve">Pertimbangan</w:t>
            </w:r>
            <w:r w:rsidRPr="00B9710C">
              <w:rPr>
                <w:szCs w:val="24"/>
              </w:rPr>
              <w:t xml:space="preserve"> </w:t>
            </w:r>
            <w:r w:rsidRPr="00B9710C">
              <w:rPr>
                <w:szCs w:val="24"/>
              </w:rPr>
              <w:t xml:space="preserve">Kepegawaian</w:t>
            </w:r>
          </w:p>
          <w:p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 xml:space="preserve">HJ. AZIEZAH KEBAHYANG, S.H., M.H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>
            <w:pPr>
              <w:spacing w:line="180" w:lineRule="exact"/>
              <w:ind w:left="317"/>
              <w:rPr/>
            </w:pPr>
          </w:p>
        </w:tc>
      </w:tr>
      <w:tr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 xml:space="preserve">Kepala</w:t>
            </w:r>
            <w:r w:rsidRPr="00B9710C">
              <w:rPr>
                <w:szCs w:val="24"/>
              </w:rPr>
              <w:t xml:space="preserve"> Bagian </w:t>
            </w:r>
            <w:r w:rsidRPr="00B9710C">
              <w:rPr>
                <w:szCs w:val="24"/>
              </w:rPr>
              <w:t xml:space="preserve">pengadaan</w:t>
            </w:r>
            <w:r w:rsidRPr="00B9710C">
              <w:rPr>
                <w:szCs w:val="24"/>
              </w:rPr>
              <w:t xml:space="preserve"> dan </w:t>
            </w:r>
            <w:r w:rsidRPr="00B9710C">
              <w:rPr>
                <w:szCs w:val="24"/>
              </w:rPr>
              <w:t xml:space="preserve">Pertimbangan</w:t>
            </w:r>
            <w:r w:rsidRPr="00B9710C">
              <w:rPr>
                <w:szCs w:val="24"/>
              </w:rPr>
              <w:t xml:space="preserve"> </w:t>
            </w:r>
            <w:r w:rsidRPr="00B9710C">
              <w:rPr>
                <w:szCs w:val="24"/>
              </w:rPr>
              <w:t xml:space="preserve">Pegawai</w:t>
            </w:r>
          </w:p>
          <w:p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 xml:space="preserve">SEPTIAN SAPUTRA, S.Kom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>
            <w:pPr>
              <w:spacing w:line="180" w:lineRule="exact"/>
              <w:ind w:left="317"/>
              <w:rPr/>
            </w:pPr>
          </w:p>
        </w:tc>
      </w:tr>
    </w:tbl>
    <w:p>
      <w:pPr>
        <w:rPr>
          <w:rFonts w:ascii="Arial" w:hAnsi="Arial" w:cs="Arial"/>
        </w:rPr>
      </w:pPr>
    </w:p>
    <w:sectPr w:rsidSect="00927AD3">
      <w:pgSz w:w="12240" w:h="18720" w:orient="portrait" w:code="14"/>
      <w:pgMar w:top="2268" w:right="720" w:bottom="567" w:left="544" w:header="709" w:footer="709" w:gutter="0"/>
      <w:cols w:num="1" w:space="708">
        <w:col w:w="1097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20" w:hanging="360"/>
      </w:pPr>
      <w:rPr/>
    </w:lvl>
    <w:lvl w:ilvl="2">
      <w:start w:val="1"/>
      <w:numFmt w:val="lowerRoman"/>
      <w:suff w:val="tab"/>
      <w:lvlText w:val="%3."/>
      <w:lvlJc w:val="right"/>
      <w:pPr>
        <w:ind w:left="2040" w:hanging="180"/>
      </w:pPr>
      <w:rPr/>
    </w:lvl>
    <w:lvl w:ilvl="3">
      <w:start w:val="1"/>
      <w:numFmt w:val="decimal"/>
      <w:suff w:val="tab"/>
      <w:lvlText w:val="%4."/>
      <w:lvlJc w:val="left"/>
      <w:pPr>
        <w:ind w:left="2760" w:hanging="360"/>
      </w:pPr>
      <w:rPr/>
    </w:lvl>
    <w:lvl w:ilvl="4">
      <w:start w:val="1"/>
      <w:numFmt w:val="lowerLetter"/>
      <w:suff w:val="tab"/>
      <w:lvlText w:val="%5."/>
      <w:lvlJc w:val="left"/>
      <w:pPr>
        <w:ind w:left="3480" w:hanging="360"/>
      </w:pPr>
      <w:rPr/>
    </w:lvl>
    <w:lvl w:ilvl="5">
      <w:start w:val="1"/>
      <w:numFmt w:val="lowerRoman"/>
      <w:suff w:val="tab"/>
      <w:lvlText w:val="%6."/>
      <w:lvlJc w:val="right"/>
      <w:pPr>
        <w:ind w:left="4200" w:hanging="180"/>
      </w:pPr>
      <w:rPr/>
    </w:lvl>
    <w:lvl w:ilvl="6">
      <w:start w:val="1"/>
      <w:numFmt w:val="decimal"/>
      <w:suff w:val="tab"/>
      <w:lvlText w:val="%7."/>
      <w:lvlJc w:val="left"/>
      <w:pPr>
        <w:ind w:left="4920" w:hanging="360"/>
      </w:pPr>
      <w:rPr/>
    </w:lvl>
    <w:lvl w:ilvl="7">
      <w:start w:val="1"/>
      <w:numFmt w:val="lowerLetter"/>
      <w:suff w:val="tab"/>
      <w:lvlText w:val="%8."/>
      <w:lvlJc w:val="left"/>
      <w:pPr>
        <w:ind w:left="5640" w:hanging="360"/>
      </w:pPr>
      <w:rPr/>
    </w:lvl>
    <w:lvl w:ilvl="8">
      <w:start w:val="1"/>
      <w:numFmt w:val="lowerRoman"/>
      <w:suff w:val="tab"/>
      <w:lvlText w:val="%9."/>
      <w:lvlJc w:val="right"/>
      <w:pPr>
        <w:ind w:left="6360" w:hanging="180"/>
      </w:pPr>
      <w:rPr/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8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927AD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283</TotalTime>
  <Pages>2</Pages>
  <Words>285</Words>
  <Characters>1629</Characters>
  <Application>Microsoft Office Word</Application>
  <DocSecurity>0</DocSecurity>
  <Lines>13</Lines>
  <Paragraphs>3</Paragraphs>
  <CharactersWithSpaces>1911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11</cp:revision>
  <cp:lastPrinted>2022-10-06T01:11:00Z</cp:lastPrinted>
  <dcterms:created xsi:type="dcterms:W3CDTF">2022-06-02T11:56:00Z</dcterms:created>
  <dcterms:modified xsi:type="dcterms:W3CDTF">2022-10-06T01:46:00Z</dcterms:modified>
</cp:coreProperties>
</file>