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Ahli Muda SD Negeri dilingkungan Kota Bandung Provinsi Jawa Barat</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aaaaaa</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bbbbb</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a</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b</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c</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axd</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Provinsi Jawa Barat untuk dijatuhi hukuman disiplin Tingkat ringan berupa teguran tertulis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bersifat kooperatif  dan sudah pernah dijatuhi hukuman disiplin berupa Teguran Lisan dengan SK Kepala Kantor Wilayah Kementerian Agama Provinsi Kalimantan Barat Nomor: R-1662/Kw.14.1.3/Kp.04.2/10/2020 Tanggal 27 Oktober 2020);</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Tidak bersedia memberikan jawaban terhadap pertanyaan-pertanyaan / keterangan yang diajukan oleh atasan;</w:t>
            </w:r>
          </w:p>
          <w:p>
            <w:pPr>
              <w:pStyle w:val="Heading2"/>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Tidak bersedia menandatangani Berita Acara Pemeriksaan (BAP);</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78</w:t>
      </w:r>
    </w:p>
    <w:p>
      <w:pPr>
        <w:spacing w:after="0" w:line="240" w:lineRule="auto"/>
        <w:ind w:left="6838" w:hanging="448"/>
        <w:jc w:val="both"/>
        <w:rPr>
          <w:rFonts w:ascii="Arial" w:hAnsi="Arial" w:cs="Arial"/>
        </w:rPr>
      </w:pPr>
      <w:r w:rsidRPr="00E01D0F">
        <w:rPr>
          <w:rFonts w:ascii="Arial" w:hAnsi="Arial" w:cs="Arial"/>
          <w:lang w:val="sv-SE"/>
        </w:rPr>
        <w:t xml:space="preserve">NIP </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19</cp:revision>
  <cp:lastPrinted>2021-03-30T04:23:00Z</cp:lastPrinted>
  <dcterms:created xsi:type="dcterms:W3CDTF">2022-04-29T14:56:00Z</dcterms:created>
  <dcterms:modified xsi:type="dcterms:W3CDTF">2022-09-15T03:28:00Z</dcterms:modified>
</cp:coreProperties>
</file>